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636161" w:rsidRDefault="002235F5" w:rsidP="00B62150">
      <w:pPr>
        <w:bidi w:val="0"/>
        <w:jc w:val="center"/>
        <w:rPr>
          <w:rFonts w:asciiTheme="majorBidi" w:hAnsiTheme="majorBidi" w:cstheme="majorBidi"/>
          <w:rtl/>
        </w:rPr>
      </w:pPr>
      <w:r w:rsidRPr="00636161">
        <w:rPr>
          <w:rFonts w:asciiTheme="majorBidi" w:hAnsiTheme="majorBidi" w:cstheme="majorBidi"/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636161" w:rsidRDefault="00892A46" w:rsidP="00B62150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  <w:r w:rsidRPr="00636161">
        <w:rPr>
          <w:rFonts w:asciiTheme="majorBidi" w:hAnsiTheme="majorBidi" w:cstheme="majorBidi"/>
          <w:b/>
          <w:bCs/>
        </w:rPr>
        <w:t>BANK OF ISRAEL</w:t>
      </w:r>
    </w:p>
    <w:p w:rsidR="00892A46" w:rsidRPr="00636161" w:rsidRDefault="00892A46" w:rsidP="00B62150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636161">
        <w:rPr>
          <w:rFonts w:asciiTheme="majorBidi" w:hAnsiTheme="majorBidi" w:cstheme="majorBidi"/>
        </w:rPr>
        <w:t>Office of the Spokesperson and Economic Information</w:t>
      </w:r>
    </w:p>
    <w:p w:rsidR="00B533D5" w:rsidRPr="00636161" w:rsidRDefault="007926C7" w:rsidP="00B62150">
      <w:pPr>
        <w:bidi w:val="0"/>
        <w:jc w:val="both"/>
        <w:rPr>
          <w:rFonts w:asciiTheme="majorBidi" w:hAnsiTheme="majorBidi" w:cstheme="majorBidi"/>
          <w:rtl/>
        </w:rPr>
      </w:pPr>
      <w:r w:rsidRPr="00636161">
        <w:rPr>
          <w:rFonts w:asciiTheme="majorBidi" w:hAnsiTheme="majorBidi" w:cstheme="majorBidi"/>
        </w:rPr>
        <w:br/>
      </w:r>
    </w:p>
    <w:p w:rsidR="007926C7" w:rsidRPr="00636161" w:rsidRDefault="00C27619" w:rsidP="00C71A0B">
      <w:pPr>
        <w:bidi w:val="0"/>
        <w:jc w:val="both"/>
        <w:rPr>
          <w:rFonts w:asciiTheme="majorBidi" w:hAnsiTheme="majorBidi" w:cstheme="majorBidi"/>
        </w:rPr>
      </w:pPr>
      <w:r w:rsidRPr="002D38BB">
        <w:rPr>
          <w:rFonts w:asciiTheme="majorBidi" w:hAnsiTheme="majorBidi" w:cstheme="majorBidi"/>
          <w:highlight w:val="yellow"/>
        </w:rPr>
        <w:t>March 1</w:t>
      </w:r>
      <w:r w:rsidR="00C71A0B">
        <w:rPr>
          <w:rFonts w:asciiTheme="majorBidi" w:hAnsiTheme="majorBidi" w:cstheme="majorBidi"/>
          <w:highlight w:val="yellow"/>
        </w:rPr>
        <w:t>9</w:t>
      </w:r>
      <w:r w:rsidRPr="002D38BB">
        <w:rPr>
          <w:rFonts w:asciiTheme="majorBidi" w:hAnsiTheme="majorBidi" w:cstheme="majorBidi"/>
          <w:highlight w:val="yellow"/>
        </w:rPr>
        <w:t>, 2024</w:t>
      </w:r>
    </w:p>
    <w:p w:rsidR="00C27619" w:rsidRPr="00636161" w:rsidRDefault="00C27619" w:rsidP="00B62150">
      <w:pPr>
        <w:bidi w:val="0"/>
        <w:jc w:val="both"/>
        <w:rPr>
          <w:rFonts w:asciiTheme="majorBidi" w:hAnsiTheme="majorBidi" w:cstheme="majorBidi"/>
        </w:rPr>
      </w:pPr>
    </w:p>
    <w:p w:rsidR="00C27619" w:rsidRPr="004909FD" w:rsidRDefault="00C27619" w:rsidP="00B62150">
      <w:pPr>
        <w:bidi w:val="0"/>
        <w:jc w:val="both"/>
        <w:rPr>
          <w:rFonts w:asciiTheme="majorBidi" w:hAnsiTheme="majorBidi" w:cstheme="majorBidi"/>
          <w:b/>
          <w:bCs/>
        </w:rPr>
      </w:pPr>
      <w:r w:rsidRPr="004909FD">
        <w:rPr>
          <w:rFonts w:asciiTheme="majorBidi" w:hAnsiTheme="majorBidi" w:cstheme="majorBidi"/>
          <w:b/>
          <w:bCs/>
        </w:rPr>
        <w:t>Press release:</w:t>
      </w:r>
    </w:p>
    <w:p w:rsidR="00910ACD" w:rsidRPr="008732F4" w:rsidRDefault="00910ACD" w:rsidP="00DF5686">
      <w:pPr>
        <w:bidi w:val="0"/>
        <w:jc w:val="both"/>
      </w:pPr>
      <w:r w:rsidRPr="008732F4">
        <w:t xml:space="preserve">The annual report on the investment of Israel's foreign exchange reserves for </w:t>
      </w:r>
      <w:r>
        <w:t>202</w:t>
      </w:r>
      <w:r w:rsidR="00DF5686">
        <w:t>3</w:t>
      </w:r>
      <w:r>
        <w:t xml:space="preserve"> </w:t>
      </w:r>
      <w:r w:rsidRPr="008732F4">
        <w:t>was published today.</w:t>
      </w:r>
      <w:r w:rsidRPr="008732F4">
        <w:rPr>
          <w:rStyle w:val="ad"/>
        </w:rPr>
        <w:footnoteReference w:id="1"/>
      </w:r>
      <w:r w:rsidRPr="008732F4">
        <w:t xml:space="preserve"> Following are the main points in the report:</w:t>
      </w:r>
    </w:p>
    <w:p w:rsidR="00665655" w:rsidRPr="00636161" w:rsidRDefault="00665655" w:rsidP="00B62150">
      <w:pPr>
        <w:bidi w:val="0"/>
        <w:jc w:val="both"/>
        <w:rPr>
          <w:rFonts w:asciiTheme="majorBidi" w:hAnsiTheme="majorBidi" w:cstheme="majorBidi"/>
        </w:rPr>
      </w:pPr>
    </w:p>
    <w:p w:rsidR="004130B3" w:rsidRPr="00636161" w:rsidRDefault="004130B3" w:rsidP="00B62150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6161">
        <w:rPr>
          <w:rFonts w:asciiTheme="majorBidi" w:hAnsiTheme="majorBidi" w:cstheme="majorBidi"/>
          <w:b/>
          <w:bCs/>
          <w:sz w:val="32"/>
          <w:szCs w:val="32"/>
        </w:rPr>
        <w:t>Report on the Investment of Israel's Foreign Exchange Reserves in</w:t>
      </w:r>
      <w:r w:rsidRPr="00636161" w:rsidDel="007C5B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36161">
        <w:rPr>
          <w:rFonts w:asciiTheme="majorBidi" w:hAnsiTheme="majorBidi" w:cstheme="majorBidi"/>
          <w:b/>
          <w:bCs/>
          <w:sz w:val="32"/>
          <w:szCs w:val="32"/>
        </w:rPr>
        <w:t>2023</w:t>
      </w:r>
    </w:p>
    <w:p w:rsidR="00003373" w:rsidRPr="00636161" w:rsidRDefault="00003373" w:rsidP="00B62150">
      <w:pPr>
        <w:bidi w:val="0"/>
        <w:jc w:val="both"/>
        <w:rPr>
          <w:rFonts w:asciiTheme="majorBidi" w:hAnsiTheme="majorBidi" w:cstheme="majorBidi"/>
        </w:rPr>
      </w:pPr>
    </w:p>
    <w:p w:rsidR="00003373" w:rsidRPr="00636161" w:rsidRDefault="00003373" w:rsidP="00B62150">
      <w:pPr>
        <w:bidi w:val="0"/>
        <w:jc w:val="both"/>
        <w:rPr>
          <w:rFonts w:asciiTheme="majorBidi" w:hAnsiTheme="majorBidi" w:cstheme="majorBidi"/>
        </w:rPr>
      </w:pPr>
    </w:p>
    <w:p w:rsidR="00003373" w:rsidRDefault="00003373" w:rsidP="002D38BB">
      <w:pPr>
        <w:bidi w:val="0"/>
        <w:jc w:val="both"/>
        <w:rPr>
          <w:rFonts w:asciiTheme="majorBidi" w:hAnsiTheme="majorBidi" w:cstheme="majorBidi"/>
          <w:b/>
          <w:bCs/>
        </w:rPr>
      </w:pPr>
      <w:r w:rsidRPr="00636161">
        <w:rPr>
          <w:rFonts w:asciiTheme="majorBidi" w:hAnsiTheme="majorBidi" w:cstheme="majorBidi"/>
          <w:b/>
          <w:bCs/>
        </w:rPr>
        <w:t>“In 2023, the foreign exchange reserves increased by $10.5 billion, to a total of $204.7 billion. The increase in the foreign exchange reserves was</w:t>
      </w:r>
      <w:r w:rsidR="00595E27">
        <w:rPr>
          <w:rFonts w:asciiTheme="majorBidi" w:hAnsiTheme="majorBidi" w:cstheme="majorBidi"/>
          <w:b/>
          <w:bCs/>
        </w:rPr>
        <w:t xml:space="preserve"> </w:t>
      </w:r>
      <w:r w:rsidRPr="00636161">
        <w:rPr>
          <w:rFonts w:asciiTheme="majorBidi" w:hAnsiTheme="majorBidi" w:cstheme="majorBidi"/>
          <w:b/>
          <w:bCs/>
        </w:rPr>
        <w:t xml:space="preserve">impacted primarily by </w:t>
      </w:r>
      <w:r w:rsidR="005357A5">
        <w:rPr>
          <w:rFonts w:asciiTheme="majorBidi" w:hAnsiTheme="majorBidi" w:cstheme="majorBidi"/>
          <w:b/>
          <w:bCs/>
        </w:rPr>
        <w:t>mark to market</w:t>
      </w:r>
      <w:r w:rsidRPr="00636161">
        <w:rPr>
          <w:rFonts w:asciiTheme="majorBidi" w:hAnsiTheme="majorBidi" w:cstheme="majorBidi"/>
          <w:b/>
          <w:bCs/>
        </w:rPr>
        <w:t xml:space="preserve"> </w:t>
      </w:r>
      <w:r w:rsidR="00C73E63">
        <w:rPr>
          <w:rFonts w:asciiTheme="majorBidi" w:hAnsiTheme="majorBidi" w:cstheme="majorBidi"/>
          <w:b/>
          <w:bCs/>
        </w:rPr>
        <w:t xml:space="preserve">adjustments </w:t>
      </w:r>
      <w:r w:rsidRPr="00636161">
        <w:rPr>
          <w:rFonts w:asciiTheme="majorBidi" w:hAnsiTheme="majorBidi" w:cstheme="majorBidi"/>
          <w:b/>
          <w:bCs/>
        </w:rPr>
        <w:t xml:space="preserve">of about $16.8 </w:t>
      </w:r>
      <w:r w:rsidR="00440FA1" w:rsidRPr="00636161">
        <w:rPr>
          <w:rFonts w:asciiTheme="majorBidi" w:hAnsiTheme="majorBidi" w:cstheme="majorBidi"/>
          <w:b/>
          <w:bCs/>
        </w:rPr>
        <w:t>billion, which</w:t>
      </w:r>
      <w:r w:rsidRPr="00636161">
        <w:rPr>
          <w:rFonts w:asciiTheme="majorBidi" w:hAnsiTheme="majorBidi" w:cstheme="majorBidi"/>
          <w:b/>
          <w:bCs/>
        </w:rPr>
        <w:t xml:space="preserve"> include, among other things, capital gains from equity holdings as wel</w:t>
      </w:r>
      <w:r w:rsidR="00440FA1" w:rsidRPr="00636161">
        <w:rPr>
          <w:rFonts w:asciiTheme="majorBidi" w:hAnsiTheme="majorBidi" w:cstheme="majorBidi"/>
          <w:b/>
          <w:bCs/>
        </w:rPr>
        <w:t>l</w:t>
      </w:r>
      <w:r w:rsidRPr="00636161">
        <w:rPr>
          <w:rFonts w:asciiTheme="majorBidi" w:hAnsiTheme="majorBidi" w:cstheme="majorBidi"/>
          <w:b/>
          <w:bCs/>
        </w:rPr>
        <w:t xml:space="preserve"> as capital gains and interest income from bond holdings. With the eruption of the war, the Bank of Israel </w:t>
      </w:r>
      <w:r w:rsidR="000A7388" w:rsidRPr="00636161">
        <w:rPr>
          <w:rFonts w:asciiTheme="majorBidi" w:hAnsiTheme="majorBidi" w:cstheme="majorBidi"/>
          <w:b/>
          <w:bCs/>
        </w:rPr>
        <w:t>implemented a foreign</w:t>
      </w:r>
      <w:r w:rsidR="00595E27">
        <w:rPr>
          <w:rFonts w:asciiTheme="majorBidi" w:hAnsiTheme="majorBidi" w:cstheme="majorBidi"/>
          <w:b/>
          <w:bCs/>
        </w:rPr>
        <w:t>-</w:t>
      </w:r>
      <w:r w:rsidR="000A7388" w:rsidRPr="00636161">
        <w:rPr>
          <w:rFonts w:asciiTheme="majorBidi" w:hAnsiTheme="majorBidi" w:cstheme="majorBidi"/>
          <w:b/>
          <w:bCs/>
        </w:rPr>
        <w:t>exchange sale program that helped to stabilize the foreign exchange market and financial market</w:t>
      </w:r>
      <w:r w:rsidR="00595E27">
        <w:rPr>
          <w:rFonts w:asciiTheme="majorBidi" w:hAnsiTheme="majorBidi" w:cstheme="majorBidi"/>
          <w:b/>
          <w:bCs/>
        </w:rPr>
        <w:t>s</w:t>
      </w:r>
      <w:r w:rsidR="000A7388" w:rsidRPr="00636161">
        <w:rPr>
          <w:rFonts w:asciiTheme="majorBidi" w:hAnsiTheme="majorBidi" w:cstheme="majorBidi"/>
          <w:b/>
          <w:bCs/>
        </w:rPr>
        <w:t xml:space="preserve">. The high level of the foreign exchange reserves is a strategic asset that </w:t>
      </w:r>
      <w:r w:rsidR="000A7388" w:rsidRPr="00C73E63">
        <w:rPr>
          <w:rFonts w:asciiTheme="majorBidi" w:hAnsiTheme="majorBidi" w:cstheme="majorBidi"/>
          <w:b/>
          <w:bCs/>
        </w:rPr>
        <w:t>provides maneuvering room</w:t>
      </w:r>
      <w:r w:rsidR="000A7388" w:rsidRPr="00636161">
        <w:rPr>
          <w:rFonts w:asciiTheme="majorBidi" w:hAnsiTheme="majorBidi" w:cstheme="majorBidi"/>
          <w:b/>
          <w:bCs/>
        </w:rPr>
        <w:t xml:space="preserve"> for maintaining the financial stability </w:t>
      </w:r>
      <w:r w:rsidR="00440FA1" w:rsidRPr="00636161">
        <w:rPr>
          <w:rFonts w:asciiTheme="majorBidi" w:hAnsiTheme="majorBidi" w:cstheme="majorBidi"/>
          <w:b/>
          <w:bCs/>
        </w:rPr>
        <w:t>while</w:t>
      </w:r>
      <w:r w:rsidR="000A7388" w:rsidRPr="00636161">
        <w:rPr>
          <w:rFonts w:asciiTheme="majorBidi" w:hAnsiTheme="majorBidi" w:cstheme="majorBidi"/>
          <w:b/>
          <w:bCs/>
        </w:rPr>
        <w:t xml:space="preserve"> reducing the uncertainty.” </w:t>
      </w:r>
    </w:p>
    <w:p w:rsidR="00910ACD" w:rsidRPr="00636161" w:rsidRDefault="00910ACD" w:rsidP="00910ACD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0A7388" w:rsidRPr="00636161" w:rsidRDefault="000A7388" w:rsidP="00B62150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Cs w:val="24"/>
        </w:rPr>
      </w:pPr>
      <w:r w:rsidRPr="00636161">
        <w:rPr>
          <w:rFonts w:asciiTheme="majorBidi" w:hAnsiTheme="majorBidi" w:cstheme="majorBidi"/>
          <w:b/>
          <w:bCs/>
          <w:szCs w:val="24"/>
        </w:rPr>
        <w:t>Dr. Golan Benita</w:t>
      </w:r>
    </w:p>
    <w:p w:rsidR="000A7388" w:rsidRPr="00636161" w:rsidRDefault="000A7388" w:rsidP="00B62150">
      <w:pPr>
        <w:pStyle w:val="aa"/>
        <w:ind w:left="420"/>
        <w:jc w:val="both"/>
        <w:rPr>
          <w:rFonts w:asciiTheme="majorBidi" w:hAnsiTheme="majorBidi" w:cstheme="majorBidi"/>
          <w:b/>
          <w:bCs/>
          <w:szCs w:val="24"/>
        </w:rPr>
      </w:pPr>
      <w:r w:rsidRPr="00636161">
        <w:rPr>
          <w:rFonts w:asciiTheme="majorBidi" w:hAnsiTheme="majorBidi" w:cstheme="majorBidi"/>
          <w:b/>
          <w:bCs/>
          <w:szCs w:val="24"/>
        </w:rPr>
        <w:t>Markets Department Director</w:t>
      </w:r>
    </w:p>
    <w:p w:rsidR="000A7388" w:rsidRPr="00636161" w:rsidRDefault="000A7388" w:rsidP="00B62150">
      <w:pPr>
        <w:bidi w:val="0"/>
        <w:jc w:val="both"/>
        <w:rPr>
          <w:rFonts w:asciiTheme="majorBidi" w:hAnsiTheme="majorBidi" w:cstheme="majorBidi"/>
        </w:rPr>
      </w:pPr>
    </w:p>
    <w:p w:rsidR="000A7388" w:rsidRPr="00636161" w:rsidRDefault="000A7388" w:rsidP="00B62150">
      <w:pPr>
        <w:bidi w:val="0"/>
        <w:jc w:val="both"/>
        <w:rPr>
          <w:rFonts w:asciiTheme="majorBidi" w:hAnsiTheme="majorBidi" w:cstheme="majorBid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9"/>
        <w:gridCol w:w="5073"/>
      </w:tblGrid>
      <w:tr w:rsidR="006A424A" w:rsidRPr="00636161" w:rsidTr="003D7279">
        <w:tc>
          <w:tcPr>
            <w:tcW w:w="3061" w:type="dxa"/>
          </w:tcPr>
          <w:p w:rsidR="006A424A" w:rsidRPr="00636161" w:rsidRDefault="006A424A" w:rsidP="00B62150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636161">
              <w:rPr>
                <w:rFonts w:asciiTheme="majorBidi" w:hAnsiTheme="majorBidi" w:cstheme="majorBidi"/>
                <w:color w:val="548DD4" w:themeColor="text2" w:themeTint="99"/>
              </w:rPr>
              <w:t>The level of the foreign exchange reserves and source of their change</w:t>
            </w:r>
          </w:p>
        </w:tc>
        <w:tc>
          <w:tcPr>
            <w:tcW w:w="5241" w:type="dxa"/>
          </w:tcPr>
          <w:p w:rsidR="006A424A" w:rsidRPr="00636161" w:rsidRDefault="000A18CE" w:rsidP="00EC11A7">
            <w:pPr>
              <w:bidi w:val="0"/>
              <w:jc w:val="both"/>
              <w:rPr>
                <w:rFonts w:asciiTheme="majorBidi" w:hAnsiTheme="majorBidi" w:cstheme="majorBidi"/>
                <w:rtl/>
              </w:rPr>
            </w:pPr>
            <w:r w:rsidRPr="00636161">
              <w:rPr>
                <w:rFonts w:asciiTheme="majorBidi" w:hAnsiTheme="majorBidi" w:cstheme="majorBidi"/>
              </w:rPr>
              <w:t>In 2023, the foreign exchange reserves increased by $10.5 billion, to a total of $204.7 billion, notwithstanding foreign</w:t>
            </w:r>
            <w:r w:rsidR="00BB5D57" w:rsidRPr="00636161">
              <w:rPr>
                <w:rFonts w:asciiTheme="majorBidi" w:hAnsiTheme="majorBidi" w:cstheme="majorBidi"/>
              </w:rPr>
              <w:t xml:space="preserve"> exchange sales of $8.5 billion. This increase </w:t>
            </w:r>
            <w:r w:rsidR="00D60641">
              <w:rPr>
                <w:rFonts w:asciiTheme="majorBidi" w:hAnsiTheme="majorBidi" w:cstheme="majorBidi"/>
              </w:rPr>
              <w:t xml:space="preserve">was </w:t>
            </w:r>
            <w:r w:rsidR="00BB5D57" w:rsidRPr="00636161">
              <w:rPr>
                <w:rFonts w:asciiTheme="majorBidi" w:hAnsiTheme="majorBidi" w:cstheme="majorBidi"/>
              </w:rPr>
              <w:t xml:space="preserve">derived mainly from capital gains </w:t>
            </w:r>
            <w:r w:rsidR="00EC11A7">
              <w:rPr>
                <w:rFonts w:asciiTheme="majorBidi" w:hAnsiTheme="majorBidi" w:cstheme="majorBidi"/>
              </w:rPr>
              <w:t xml:space="preserve">on equity holdings as well as capital gains and </w:t>
            </w:r>
            <w:r w:rsidR="00BB5D57" w:rsidRPr="00636161">
              <w:rPr>
                <w:rFonts w:asciiTheme="majorBidi" w:hAnsiTheme="majorBidi" w:cstheme="majorBidi"/>
              </w:rPr>
              <w:t>interest income from bond holdings.</w:t>
            </w:r>
          </w:p>
        </w:tc>
      </w:tr>
      <w:tr w:rsidR="0028233D" w:rsidRPr="00636161" w:rsidTr="003D7279">
        <w:tc>
          <w:tcPr>
            <w:tcW w:w="3061" w:type="dxa"/>
          </w:tcPr>
          <w:p w:rsidR="0028233D" w:rsidRPr="00636161" w:rsidRDefault="0028233D" w:rsidP="00B62150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636161">
              <w:rPr>
                <w:rFonts w:asciiTheme="majorBidi" w:hAnsiTheme="majorBidi" w:cstheme="majorBidi"/>
                <w:color w:val="548DD4" w:themeColor="text2" w:themeTint="99"/>
              </w:rPr>
              <w:t>The asset allocation of the foreign exchange reserves</w:t>
            </w:r>
          </w:p>
        </w:tc>
        <w:tc>
          <w:tcPr>
            <w:tcW w:w="5241" w:type="dxa"/>
          </w:tcPr>
          <w:p w:rsidR="0028233D" w:rsidRPr="00636161" w:rsidRDefault="0028233D" w:rsidP="00B62150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36161">
              <w:rPr>
                <w:rFonts w:asciiTheme="majorBidi" w:hAnsiTheme="majorBidi" w:cstheme="majorBidi"/>
              </w:rPr>
              <w:t>As of the end of 2023, the asset allocation of the foreign exchange reserves</w:t>
            </w:r>
            <w:r w:rsidR="005C4FE1" w:rsidRPr="00636161">
              <w:rPr>
                <w:rFonts w:asciiTheme="majorBidi" w:hAnsiTheme="majorBidi" w:cstheme="majorBidi"/>
              </w:rPr>
              <w:t xml:space="preserve"> was 54 percent in government assets, 21 percent in equities, 15 percent in </w:t>
            </w:r>
            <w:r w:rsidR="00354442" w:rsidRPr="00636161">
              <w:rPr>
                <w:rFonts w:asciiTheme="majorBidi" w:hAnsiTheme="majorBidi" w:cstheme="majorBidi"/>
              </w:rPr>
              <w:t>spread assets, and 10 percent in corporate bonds.</w:t>
            </w:r>
            <w:r w:rsidR="005C4FE1" w:rsidRPr="0063616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54442" w:rsidRPr="00636161" w:rsidTr="003D7279">
        <w:tc>
          <w:tcPr>
            <w:tcW w:w="3061" w:type="dxa"/>
          </w:tcPr>
          <w:p w:rsidR="00354442" w:rsidRPr="00636161" w:rsidRDefault="0098774F" w:rsidP="0098774F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>
              <w:rPr>
                <w:rFonts w:asciiTheme="majorBidi" w:hAnsiTheme="majorBidi" w:cstheme="majorBidi"/>
                <w:color w:val="548DD4" w:themeColor="text2" w:themeTint="99"/>
              </w:rPr>
              <w:t>E</w:t>
            </w:r>
            <w:r w:rsidR="00354442" w:rsidRPr="00636161">
              <w:rPr>
                <w:rFonts w:asciiTheme="majorBidi" w:hAnsiTheme="majorBidi" w:cstheme="majorBidi"/>
                <w:color w:val="548DD4" w:themeColor="text2" w:themeTint="99"/>
              </w:rPr>
              <w:t>conomic and financial conditions</w:t>
            </w:r>
          </w:p>
        </w:tc>
        <w:tc>
          <w:tcPr>
            <w:tcW w:w="5241" w:type="dxa"/>
          </w:tcPr>
          <w:p w:rsidR="00354442" w:rsidRPr="00636161" w:rsidRDefault="00354442" w:rsidP="0098774F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36161">
              <w:rPr>
                <w:rFonts w:asciiTheme="majorBidi" w:hAnsiTheme="majorBidi" w:cstheme="majorBidi"/>
              </w:rPr>
              <w:t>During the course of 2023, global financial markets were volatile,  impacte</w:t>
            </w:r>
            <w:r w:rsidR="00C96F3D" w:rsidRPr="00636161">
              <w:rPr>
                <w:rFonts w:asciiTheme="majorBidi" w:hAnsiTheme="majorBidi" w:cstheme="majorBidi"/>
              </w:rPr>
              <w:t xml:space="preserve">d mainly by market assessments regarding the development of inflation, the expected path of central bank interest rates, and the </w:t>
            </w:r>
            <w:r w:rsidR="00EC11A7">
              <w:rPr>
                <w:rFonts w:asciiTheme="majorBidi" w:hAnsiTheme="majorBidi" w:cstheme="majorBidi"/>
              </w:rPr>
              <w:t xml:space="preserve">effect </w:t>
            </w:r>
            <w:r w:rsidR="00C96F3D" w:rsidRPr="00636161">
              <w:rPr>
                <w:rFonts w:asciiTheme="majorBidi" w:hAnsiTheme="majorBidi" w:cstheme="majorBidi"/>
              </w:rPr>
              <w:t>of this path on economic activity worldwide.</w:t>
            </w:r>
            <w:r w:rsidR="00BA0AFF" w:rsidRPr="00636161">
              <w:rPr>
                <w:rFonts w:asciiTheme="majorBidi" w:hAnsiTheme="majorBidi" w:cstheme="majorBidi"/>
              </w:rPr>
              <w:t xml:space="preserve"> </w:t>
            </w:r>
            <w:r w:rsidR="00BA0AFF" w:rsidRPr="006E70D3">
              <w:rPr>
                <w:rFonts w:asciiTheme="majorBidi" w:hAnsiTheme="majorBidi" w:cstheme="majorBidi"/>
              </w:rPr>
              <w:t xml:space="preserve">Alongside </w:t>
            </w:r>
            <w:r w:rsidR="00A67F76" w:rsidRPr="006E70D3">
              <w:rPr>
                <w:rFonts w:asciiTheme="majorBidi" w:hAnsiTheme="majorBidi" w:cstheme="majorBidi"/>
              </w:rPr>
              <w:t xml:space="preserve">these factors, markets were impacted </w:t>
            </w:r>
            <w:r w:rsidR="006E70D3" w:rsidRPr="0098774F">
              <w:rPr>
                <w:rFonts w:asciiTheme="majorBidi" w:hAnsiTheme="majorBidi" w:cstheme="majorBidi"/>
              </w:rPr>
              <w:t xml:space="preserve">by a marked increase in risk to banking sector stability </w:t>
            </w:r>
            <w:r w:rsidR="00D60641">
              <w:rPr>
                <w:rFonts w:asciiTheme="majorBidi" w:hAnsiTheme="majorBidi" w:cstheme="majorBidi"/>
              </w:rPr>
              <w:t>due to</w:t>
            </w:r>
            <w:r w:rsidR="00A67F76" w:rsidRPr="006E70D3">
              <w:rPr>
                <w:rFonts w:asciiTheme="majorBidi" w:hAnsiTheme="majorBidi" w:cstheme="majorBidi"/>
              </w:rPr>
              <w:t xml:space="preserve"> di</w:t>
            </w:r>
            <w:r w:rsidR="00A67F76" w:rsidRPr="00EA336F">
              <w:rPr>
                <w:rFonts w:asciiTheme="majorBidi" w:hAnsiTheme="majorBidi" w:cstheme="majorBidi"/>
              </w:rPr>
              <w:t xml:space="preserve">fficulties at several banks in the US and Europe, </w:t>
            </w:r>
            <w:r w:rsidR="0098774F">
              <w:rPr>
                <w:rFonts w:asciiTheme="majorBidi" w:hAnsiTheme="majorBidi" w:cstheme="majorBidi"/>
              </w:rPr>
              <w:t xml:space="preserve">as well as </w:t>
            </w:r>
            <w:r w:rsidR="00A67F76" w:rsidRPr="00636161">
              <w:rPr>
                <w:rFonts w:asciiTheme="majorBidi" w:hAnsiTheme="majorBidi" w:cstheme="majorBidi"/>
              </w:rPr>
              <w:t xml:space="preserve">by an increase in geopolitical risk, in view of the concern of an eruption of a regional war in the </w:t>
            </w:r>
            <w:r w:rsidR="00AD6AA3" w:rsidRPr="00636161">
              <w:rPr>
                <w:rFonts w:asciiTheme="majorBidi" w:hAnsiTheme="majorBidi" w:cstheme="majorBidi"/>
              </w:rPr>
              <w:t>M</w:t>
            </w:r>
            <w:r w:rsidR="00A67F76" w:rsidRPr="00636161">
              <w:rPr>
                <w:rFonts w:asciiTheme="majorBidi" w:hAnsiTheme="majorBidi" w:cstheme="majorBidi"/>
              </w:rPr>
              <w:t xml:space="preserve">iddle </w:t>
            </w:r>
            <w:r w:rsidR="00AD6AA3" w:rsidRPr="00636161">
              <w:rPr>
                <w:rFonts w:asciiTheme="majorBidi" w:hAnsiTheme="majorBidi" w:cstheme="majorBidi"/>
              </w:rPr>
              <w:t>E</w:t>
            </w:r>
            <w:r w:rsidR="00A67F76" w:rsidRPr="00636161">
              <w:rPr>
                <w:rFonts w:asciiTheme="majorBidi" w:hAnsiTheme="majorBidi" w:cstheme="majorBidi"/>
              </w:rPr>
              <w:t>ast.</w:t>
            </w:r>
            <w:r w:rsidR="00AD6AA3" w:rsidRPr="00636161">
              <w:rPr>
                <w:rFonts w:asciiTheme="majorBidi" w:hAnsiTheme="majorBidi" w:cstheme="majorBidi"/>
              </w:rPr>
              <w:t xml:space="preserve"> Toward the end of the year, there was a change in sentiment </w:t>
            </w:r>
            <w:r w:rsidR="00B72CFE" w:rsidRPr="00636161">
              <w:rPr>
                <w:rFonts w:asciiTheme="majorBidi" w:hAnsiTheme="majorBidi" w:cstheme="majorBidi"/>
              </w:rPr>
              <w:t xml:space="preserve">and markets trended upward, </w:t>
            </w:r>
            <w:r w:rsidR="00D60641">
              <w:rPr>
                <w:rFonts w:asciiTheme="majorBidi" w:hAnsiTheme="majorBidi" w:cstheme="majorBidi"/>
              </w:rPr>
              <w:t>due to</w:t>
            </w:r>
            <w:r w:rsidR="00B72CFE" w:rsidRPr="00636161">
              <w:rPr>
                <w:rFonts w:asciiTheme="majorBidi" w:hAnsiTheme="majorBidi" w:cstheme="majorBidi"/>
              </w:rPr>
              <w:t xml:space="preserve"> signs indicating the convergence of inflation to central bank targets, which enhanced expectations of the start of interest rate</w:t>
            </w:r>
            <w:r w:rsidR="0098774F">
              <w:rPr>
                <w:rFonts w:asciiTheme="majorBidi" w:hAnsiTheme="majorBidi" w:cstheme="majorBidi"/>
              </w:rPr>
              <w:t xml:space="preserve"> reductions</w:t>
            </w:r>
            <w:r w:rsidR="00106BF3">
              <w:rPr>
                <w:rFonts w:asciiTheme="majorBidi" w:hAnsiTheme="majorBidi" w:cstheme="majorBidi"/>
              </w:rPr>
              <w:t xml:space="preserve"> </w:t>
            </w:r>
            <w:r w:rsidR="00B72CFE" w:rsidRPr="00636161">
              <w:rPr>
                <w:rFonts w:asciiTheme="majorBidi" w:hAnsiTheme="majorBidi" w:cstheme="majorBidi"/>
              </w:rPr>
              <w:t>by central banks.</w:t>
            </w:r>
          </w:p>
        </w:tc>
      </w:tr>
      <w:tr w:rsidR="00826A61" w:rsidRPr="00636161" w:rsidTr="003D7279">
        <w:tc>
          <w:tcPr>
            <w:tcW w:w="3061" w:type="dxa"/>
          </w:tcPr>
          <w:p w:rsidR="00826A61" w:rsidRPr="00636161" w:rsidRDefault="00826A61" w:rsidP="00B62150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636161">
              <w:rPr>
                <w:rFonts w:asciiTheme="majorBidi" w:hAnsiTheme="majorBidi" w:cstheme="majorBidi"/>
                <w:color w:val="548DD4" w:themeColor="text2" w:themeTint="99"/>
              </w:rPr>
              <w:t>The return on the foreign exchange reserves portfolio in terms of the currency benchmark</w:t>
            </w:r>
          </w:p>
        </w:tc>
        <w:tc>
          <w:tcPr>
            <w:tcW w:w="5241" w:type="dxa"/>
          </w:tcPr>
          <w:p w:rsidR="00826A61" w:rsidRPr="00636161" w:rsidRDefault="00826A61" w:rsidP="001F26E4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36161">
              <w:rPr>
                <w:rFonts w:asciiTheme="majorBidi" w:hAnsiTheme="majorBidi" w:cstheme="majorBidi"/>
              </w:rPr>
              <w:t>Global financial market developments were reflected in the returns on the foreign exchange reserves portfolio: the rate of return of the reserves portfolio in terms of the currency benchmark was 8.3 percent in 2023. The return in terms of the basic benchmark</w:t>
            </w:r>
            <w:r w:rsidR="00875314" w:rsidRPr="00636161">
              <w:rPr>
                <w:rStyle w:val="ad"/>
                <w:rFonts w:asciiTheme="majorBidi" w:hAnsiTheme="majorBidi" w:cstheme="majorBidi"/>
              </w:rPr>
              <w:footnoteReference w:id="2"/>
            </w:r>
            <w:r w:rsidRPr="00636161">
              <w:rPr>
                <w:rFonts w:asciiTheme="majorBidi" w:hAnsiTheme="majorBidi" w:cstheme="majorBidi"/>
              </w:rPr>
              <w:t xml:space="preserve"> was relatively high compared to previous years, at 4.2 percent. The excess </w:t>
            </w:r>
            <w:r w:rsidR="00D60641">
              <w:rPr>
                <w:rFonts w:asciiTheme="majorBidi" w:hAnsiTheme="majorBidi" w:cstheme="majorBidi"/>
              </w:rPr>
              <w:t>r</w:t>
            </w:r>
            <w:r w:rsidR="00F90F0D">
              <w:rPr>
                <w:rFonts w:asciiTheme="majorBidi" w:hAnsiTheme="majorBidi" w:cstheme="majorBidi"/>
              </w:rPr>
              <w:t>eturn</w:t>
            </w:r>
            <w:r w:rsidR="00F90F0D" w:rsidRPr="00636161">
              <w:rPr>
                <w:rFonts w:asciiTheme="majorBidi" w:hAnsiTheme="majorBidi" w:cstheme="majorBidi"/>
              </w:rPr>
              <w:t xml:space="preserve"> </w:t>
            </w:r>
            <w:r w:rsidRPr="00636161">
              <w:rPr>
                <w:rFonts w:asciiTheme="majorBidi" w:hAnsiTheme="majorBidi" w:cstheme="majorBidi"/>
              </w:rPr>
              <w:t>in 2023 was 4.1 percent, mainly due to equity holdings.</w:t>
            </w:r>
          </w:p>
        </w:tc>
      </w:tr>
      <w:tr w:rsidR="00AC5957" w:rsidRPr="00636161" w:rsidTr="00877A63">
        <w:tc>
          <w:tcPr>
            <w:tcW w:w="8302" w:type="dxa"/>
            <w:gridSpan w:val="2"/>
          </w:tcPr>
          <w:p w:rsidR="00AC5957" w:rsidRPr="00064002" w:rsidRDefault="00AC5957" w:rsidP="00B6215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</w:pP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Table 1a</w:t>
            </w:r>
          </w:p>
          <w:p w:rsidR="00C41E62" w:rsidRPr="00064002" w:rsidRDefault="00AC5957" w:rsidP="0042355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</w:pP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The </w:t>
            </w:r>
            <w:r w:rsidR="004415A3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rate of 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return </w:t>
            </w:r>
            <w:r w:rsidR="00EC11A7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on </w:t>
            </w:r>
            <w:r w:rsidR="002722AF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the </w:t>
            </w:r>
            <w:r w:rsidR="00C41E62"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foreign exchange reserves</w:t>
            </w:r>
            <w:r w:rsidR="002722AF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portfolio,</w:t>
            </w:r>
            <w:r w:rsidR="00C41E62"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yearly and multiyear average</w:t>
            </w:r>
            <w:r w:rsidR="002722AF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,</w:t>
            </w:r>
            <w:r w:rsidR="00C41E62"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in terms of the currency benchmark </w:t>
            </w:r>
          </w:p>
          <w:p w:rsidR="00B62150" w:rsidRPr="00E702C5" w:rsidRDefault="00C41E62" w:rsidP="004415A3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  <w:sz w:val="22"/>
                <w:szCs w:val="22"/>
              </w:rPr>
            </w:pPr>
            <w:r w:rsidRPr="00E702C5">
              <w:rPr>
                <w:rFonts w:asciiTheme="majorBidi" w:hAnsiTheme="majorBidi" w:cstheme="majorBidi"/>
                <w:color w:val="548DD4" w:themeColor="text2" w:themeTint="99"/>
                <w:sz w:val="22"/>
                <w:szCs w:val="22"/>
              </w:rPr>
              <w:t xml:space="preserve">(Percent, annual </w:t>
            </w:r>
            <w:r w:rsidR="004415A3" w:rsidRPr="00E702C5">
              <w:rPr>
                <w:rFonts w:asciiTheme="majorBidi" w:hAnsiTheme="majorBidi" w:cstheme="majorBidi"/>
                <w:color w:val="548DD4" w:themeColor="text2" w:themeTint="99"/>
                <w:sz w:val="22"/>
                <w:szCs w:val="22"/>
              </w:rPr>
              <w:t>terms</w:t>
            </w:r>
            <w:r w:rsidRPr="00E702C5">
              <w:rPr>
                <w:rFonts w:asciiTheme="majorBidi" w:hAnsiTheme="majorBidi" w:cstheme="majorBidi"/>
                <w:color w:val="548DD4" w:themeColor="text2" w:themeTint="99"/>
                <w:sz w:val="22"/>
                <w:szCs w:val="22"/>
              </w:rPr>
              <w:t>)</w:t>
            </w:r>
          </w:p>
          <w:tbl>
            <w:tblPr>
              <w:tblStyle w:val="1-4"/>
              <w:bidiVisual/>
              <w:tblW w:w="8818" w:type="dxa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1254"/>
              <w:gridCol w:w="1253"/>
              <w:gridCol w:w="1253"/>
              <w:gridCol w:w="4316"/>
            </w:tblGrid>
            <w:tr w:rsidR="00AC5957" w:rsidRPr="00064002" w:rsidTr="000C6B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tcBorders>
                    <w:bottom w:val="none" w:sz="0" w:space="0" w:color="auto"/>
                  </w:tcBorders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5 years</w:t>
                  </w:r>
                </w:p>
              </w:tc>
              <w:tc>
                <w:tcPr>
                  <w:tcW w:w="1360" w:type="dxa"/>
                  <w:tcBorders>
                    <w:bottom w:val="none" w:sz="0" w:space="0" w:color="auto"/>
                  </w:tcBorders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3 years</w:t>
                  </w:r>
                </w:p>
              </w:tc>
              <w:tc>
                <w:tcPr>
                  <w:tcW w:w="1360" w:type="dxa"/>
                  <w:tcBorders>
                    <w:bottom w:val="none" w:sz="0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738" w:type="dxa"/>
                  <w:tcBorders>
                    <w:bottom w:val="none" w:sz="0" w:space="0" w:color="auto"/>
                  </w:tcBorders>
                  <w:hideMark/>
                </w:tcPr>
                <w:p w:rsidR="00AC5957" w:rsidRPr="00064002" w:rsidRDefault="00AC5957" w:rsidP="00B62150">
                  <w:pPr>
                    <w:bidi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 </w:t>
                  </w:r>
                </w:p>
              </w:tc>
            </w:tr>
            <w:tr w:rsidR="00AC5957" w:rsidRPr="00064002" w:rsidTr="000C6B8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  <w:t>3.0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Actual portfolio return</w:t>
                  </w:r>
                </w:p>
              </w:tc>
            </w:tr>
            <w:tr w:rsidR="00AC5957" w:rsidRPr="00064002" w:rsidTr="000C6B8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Basic benchmark return</w:t>
                  </w:r>
                </w:p>
              </w:tc>
            </w:tr>
            <w:tr w:rsidR="00AC5957" w:rsidRPr="00064002" w:rsidTr="000C6B8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 w:val="0"/>
                      <w:bCs w:val="0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0.4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:rsidR="00AC5957" w:rsidRPr="00064002" w:rsidRDefault="00AC5957" w:rsidP="00B62150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Excess return</w:t>
                  </w:r>
                </w:p>
              </w:tc>
            </w:tr>
          </w:tbl>
          <w:p w:rsidR="00B62150" w:rsidRDefault="00B62150" w:rsidP="00B62150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  <w:p w:rsidR="001121AE" w:rsidRPr="00636161" w:rsidRDefault="001121AE" w:rsidP="001121AE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685C0A" w:rsidRPr="00636161" w:rsidTr="003D7279">
        <w:tc>
          <w:tcPr>
            <w:tcW w:w="3061" w:type="dxa"/>
          </w:tcPr>
          <w:p w:rsidR="00685C0A" w:rsidRPr="00636161" w:rsidRDefault="00685C0A" w:rsidP="00B62150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636161">
              <w:rPr>
                <w:rFonts w:asciiTheme="majorBidi" w:hAnsiTheme="majorBidi" w:cstheme="majorBidi"/>
                <w:color w:val="548DD4" w:themeColor="text2" w:themeTint="99"/>
              </w:rPr>
              <w:t>The risk level of the foreign exchange reserves portfolio</w:t>
            </w:r>
          </w:p>
        </w:tc>
        <w:tc>
          <w:tcPr>
            <w:tcW w:w="5241" w:type="dxa"/>
          </w:tcPr>
          <w:p w:rsidR="00685C0A" w:rsidRPr="00636161" w:rsidRDefault="00685C0A" w:rsidP="00B62150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36161">
              <w:rPr>
                <w:rFonts w:asciiTheme="majorBidi" w:hAnsiTheme="majorBidi" w:cstheme="majorBidi"/>
              </w:rPr>
              <w:t>The risk level of the foreign exchange reserves portfolio moderated this year as a result of the decline in volatility in equity markets and impacted by the increase in the risk-free interest rate that is used as a cushion to absorb losses.</w:t>
            </w:r>
          </w:p>
        </w:tc>
      </w:tr>
      <w:tr w:rsidR="00685C0A" w:rsidRPr="00636161" w:rsidTr="003D7279">
        <w:tc>
          <w:tcPr>
            <w:tcW w:w="3061" w:type="dxa"/>
          </w:tcPr>
          <w:p w:rsidR="00685C0A" w:rsidRPr="00636161" w:rsidRDefault="00F90F0D" w:rsidP="004909FD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1121AE">
              <w:rPr>
                <w:rFonts w:asciiTheme="majorBidi" w:hAnsiTheme="majorBidi" w:cstheme="majorBidi"/>
                <w:color w:val="548DD4" w:themeColor="text2" w:themeTint="99"/>
              </w:rPr>
              <w:t xml:space="preserve">The </w:t>
            </w:r>
            <w:r w:rsidR="004909FD" w:rsidRPr="001121AE">
              <w:rPr>
                <w:rFonts w:asciiTheme="majorBidi" w:hAnsiTheme="majorBidi" w:cstheme="majorBidi"/>
                <w:color w:val="548DD4" w:themeColor="text2" w:themeTint="99"/>
              </w:rPr>
              <w:t>r</w:t>
            </w:r>
            <w:r w:rsidRPr="001121AE">
              <w:rPr>
                <w:rFonts w:asciiTheme="majorBidi" w:hAnsiTheme="majorBidi" w:cstheme="majorBidi"/>
                <w:color w:val="548DD4" w:themeColor="text2" w:themeTint="99"/>
              </w:rPr>
              <w:t>eturn on the portfolio in shekel terms</w:t>
            </w:r>
          </w:p>
        </w:tc>
        <w:tc>
          <w:tcPr>
            <w:tcW w:w="5241" w:type="dxa"/>
          </w:tcPr>
          <w:p w:rsidR="00685C0A" w:rsidRPr="00636161" w:rsidRDefault="00685C0A" w:rsidP="00423553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36161">
              <w:rPr>
                <w:rFonts w:asciiTheme="majorBidi" w:hAnsiTheme="majorBidi" w:cstheme="majorBidi"/>
              </w:rPr>
              <w:t xml:space="preserve">Due to the weakening of the shekel by 3.8 percent, the rate of return on the foreign exchange reserves portfolio in </w:t>
            </w:r>
            <w:r w:rsidR="00D60641">
              <w:rPr>
                <w:rFonts w:asciiTheme="majorBidi" w:hAnsiTheme="majorBidi" w:cstheme="majorBidi"/>
              </w:rPr>
              <w:t>shekel</w:t>
            </w:r>
            <w:r w:rsidR="00D60641" w:rsidRPr="00636161">
              <w:rPr>
                <w:rFonts w:asciiTheme="majorBidi" w:hAnsiTheme="majorBidi" w:cstheme="majorBidi"/>
              </w:rPr>
              <w:t xml:space="preserve"> </w:t>
            </w:r>
            <w:r w:rsidRPr="00636161">
              <w:rPr>
                <w:rFonts w:asciiTheme="majorBidi" w:hAnsiTheme="majorBidi" w:cstheme="majorBidi"/>
              </w:rPr>
              <w:t>terms totaled 12.4 percent.</w:t>
            </w:r>
          </w:p>
        </w:tc>
      </w:tr>
      <w:tr w:rsidR="003D7279" w:rsidRPr="00636161" w:rsidTr="00754BBA">
        <w:tc>
          <w:tcPr>
            <w:tcW w:w="8302" w:type="dxa"/>
            <w:gridSpan w:val="2"/>
          </w:tcPr>
          <w:p w:rsidR="00423553" w:rsidRPr="00064002" w:rsidRDefault="00423553" w:rsidP="0042355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</w:pP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Table 1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b</w:t>
            </w:r>
          </w:p>
          <w:p w:rsidR="00423553" w:rsidRDefault="00423553" w:rsidP="0042355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</w:pP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rate of 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return 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on the 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foreign exchange reserves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portfolio,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yearly and multiyear average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>,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 in </w:t>
            </w: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shekel </w:t>
            </w:r>
            <w:r w:rsidRPr="0006400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2"/>
                <w:szCs w:val="22"/>
              </w:rPr>
              <w:t xml:space="preserve">terms </w:t>
            </w:r>
          </w:p>
          <w:p w:rsidR="00423553" w:rsidRPr="001121AE" w:rsidRDefault="00423553" w:rsidP="0042355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1121AE">
              <w:rPr>
                <w:rFonts w:asciiTheme="majorBidi" w:hAnsiTheme="majorBidi" w:cstheme="majorBidi"/>
                <w:color w:val="548DD4" w:themeColor="text2" w:themeTint="99"/>
                <w:sz w:val="22"/>
                <w:szCs w:val="22"/>
              </w:rPr>
              <w:t>(Percent, annual terms)</w:t>
            </w:r>
          </w:p>
          <w:tbl>
            <w:tblPr>
              <w:tblStyle w:val="ae"/>
              <w:bidiVisual/>
              <w:tblW w:w="8076" w:type="dxa"/>
              <w:tblLook w:val="04A0" w:firstRow="1" w:lastRow="0" w:firstColumn="1" w:lastColumn="0" w:noHBand="0" w:noVBand="1"/>
            </w:tblPr>
            <w:tblGrid>
              <w:gridCol w:w="1254"/>
              <w:gridCol w:w="1253"/>
              <w:gridCol w:w="1253"/>
              <w:gridCol w:w="4316"/>
            </w:tblGrid>
            <w:tr w:rsidR="00636161" w:rsidRPr="00064002" w:rsidTr="00636161">
              <w:trPr>
                <w:trHeight w:val="315"/>
              </w:trPr>
              <w:tc>
                <w:tcPr>
                  <w:tcW w:w="1254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5 years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3 years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31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hideMark/>
                </w:tcPr>
                <w:p w:rsidR="00636161" w:rsidRPr="00064002" w:rsidRDefault="00636161" w:rsidP="00B62150">
                  <w:pPr>
                    <w:bidi w:val="0"/>
                    <w:ind w:right="-730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</w:p>
              </w:tc>
            </w:tr>
            <w:tr w:rsidR="00636161" w:rsidRPr="00064002" w:rsidTr="00636161">
              <w:trPr>
                <w:trHeight w:val="300"/>
              </w:trPr>
              <w:tc>
                <w:tcPr>
                  <w:tcW w:w="1254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636161" w:rsidRPr="00064002" w:rsidRDefault="00636161" w:rsidP="00B62150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431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hideMark/>
                </w:tcPr>
                <w:p w:rsidR="00636161" w:rsidRPr="00064002" w:rsidRDefault="00636161" w:rsidP="00B62150">
                  <w:pPr>
                    <w:bidi w:val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  <w:t>Reserves portfolio return: annual terms</w:t>
                  </w:r>
                </w:p>
                <w:p w:rsidR="00636161" w:rsidRPr="00064002" w:rsidRDefault="00636161" w:rsidP="00B62150">
                  <w:pPr>
                    <w:bidi w:val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90F0D" w:rsidRPr="00064002" w:rsidTr="00423553">
              <w:trPr>
                <w:trHeight w:val="300"/>
              </w:trPr>
              <w:tc>
                <w:tcPr>
                  <w:tcW w:w="1254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:rsidR="00F90F0D" w:rsidRPr="00064002" w:rsidRDefault="00F90F0D" w:rsidP="00F90F0D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-1.2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:rsidR="00F90F0D" w:rsidRPr="00064002" w:rsidRDefault="00F90F0D" w:rsidP="00F90F0D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1253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90F0D" w:rsidRPr="00064002" w:rsidRDefault="00F90F0D" w:rsidP="00F90F0D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2"/>
                      <w:szCs w:val="22"/>
                      <w:rtl/>
                    </w:rPr>
                  </w:pPr>
                  <w:r w:rsidRPr="00064002">
                    <w:rPr>
                      <w:rFonts w:asciiTheme="majorBidi" w:eastAsia="Times New Roman" w:hAnsiTheme="majorBidi" w:cstheme="majorBid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431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:rsidR="00F90F0D" w:rsidRPr="00064002" w:rsidRDefault="00F90F0D" w:rsidP="00F90F0D">
                  <w:pPr>
                    <w:bidi w:val="0"/>
                    <w:rPr>
                      <w:rFonts w:asciiTheme="majorBidi" w:eastAsia="Times New Roman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937CDC">
                    <w:rPr>
                      <w:rFonts w:asciiTheme="majorBidi" w:hAnsiTheme="majorBidi" w:cstheme="majorBidi"/>
                      <w:b/>
                      <w:bCs/>
                    </w:rPr>
                    <w:t>Change in exchange rate of currency benchmark/shekel</w:t>
                  </w:r>
                </w:p>
              </w:tc>
            </w:tr>
          </w:tbl>
          <w:p w:rsidR="00636161" w:rsidRPr="001121AE" w:rsidRDefault="002735FF" w:rsidP="00B62150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21AE">
              <w:rPr>
                <w:rFonts w:asciiTheme="majorBidi" w:hAnsiTheme="majorBidi" w:cstheme="majorBidi"/>
                <w:sz w:val="20"/>
                <w:szCs w:val="20"/>
              </w:rPr>
              <w:t>A negative sign in the change of the exchange rate indicates shekel appreciation.</w:t>
            </w:r>
          </w:p>
          <w:p w:rsidR="003D7279" w:rsidRPr="00636161" w:rsidRDefault="003D7279" w:rsidP="00B62150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4124" w:rsidRPr="00636161" w:rsidTr="003D7279">
        <w:tc>
          <w:tcPr>
            <w:tcW w:w="3061" w:type="dxa"/>
          </w:tcPr>
          <w:p w:rsidR="00EB4124" w:rsidRPr="00636161" w:rsidRDefault="00EB4124" w:rsidP="00B62150">
            <w:pPr>
              <w:bidi w:val="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  <w:r w:rsidRPr="00636161">
              <w:rPr>
                <w:rFonts w:asciiTheme="majorBidi" w:hAnsiTheme="majorBidi" w:cstheme="majorBidi"/>
                <w:color w:val="548DD4" w:themeColor="text2" w:themeTint="99"/>
              </w:rPr>
              <w:t>The “Swords of Iron” War</w:t>
            </w:r>
          </w:p>
        </w:tc>
        <w:tc>
          <w:tcPr>
            <w:tcW w:w="5241" w:type="dxa"/>
          </w:tcPr>
          <w:p w:rsidR="00EB4124" w:rsidRPr="00636161" w:rsidRDefault="00EB4124" w:rsidP="001121AE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36161">
              <w:rPr>
                <w:rFonts w:asciiTheme="majorBidi" w:hAnsiTheme="majorBidi" w:cstheme="majorBidi"/>
              </w:rPr>
              <w:t xml:space="preserve">With the eruption of the war in October 2023, the Bank of Israel </w:t>
            </w:r>
            <w:r w:rsidR="001061D5">
              <w:rPr>
                <w:rFonts w:asciiTheme="majorBidi" w:hAnsiTheme="majorBidi" w:cstheme="majorBidi"/>
              </w:rPr>
              <w:t xml:space="preserve">sold, </w:t>
            </w:r>
            <w:r w:rsidR="00D60641">
              <w:rPr>
                <w:rFonts w:asciiTheme="majorBidi" w:hAnsiTheme="majorBidi" w:cstheme="majorBidi"/>
              </w:rPr>
              <w:t xml:space="preserve">for the </w:t>
            </w:r>
            <w:r w:rsidRPr="00636161">
              <w:rPr>
                <w:rFonts w:asciiTheme="majorBidi" w:hAnsiTheme="majorBidi" w:cstheme="majorBidi"/>
              </w:rPr>
              <w:t>first</w:t>
            </w:r>
            <w:r w:rsidR="00D60641">
              <w:rPr>
                <w:rFonts w:asciiTheme="majorBidi" w:hAnsiTheme="majorBidi" w:cstheme="majorBidi"/>
              </w:rPr>
              <w:t xml:space="preserve"> time</w:t>
            </w:r>
            <w:r w:rsidR="001061D5">
              <w:rPr>
                <w:rFonts w:asciiTheme="majorBidi" w:hAnsiTheme="majorBidi" w:cstheme="majorBidi"/>
              </w:rPr>
              <w:t>,</w:t>
            </w:r>
            <w:r w:rsidRPr="00636161">
              <w:rPr>
                <w:rFonts w:asciiTheme="majorBidi" w:hAnsiTheme="majorBidi" w:cstheme="majorBidi"/>
              </w:rPr>
              <w:t xml:space="preserve"> $8.5 billion from the foreign exchange reserves. The sales </w:t>
            </w:r>
            <w:r w:rsidR="007F6A0C" w:rsidRPr="00636161">
              <w:rPr>
                <w:rFonts w:asciiTheme="majorBidi" w:hAnsiTheme="majorBidi" w:cstheme="majorBidi"/>
              </w:rPr>
              <w:t>were carried out as part of a program that included foreign exchange sales of up to $30 billion, and the supply of liquidity totaling up to $15 billion, by implementing Swap</w:t>
            </w:r>
            <w:r w:rsidR="00462F93" w:rsidRPr="00636161">
              <w:rPr>
                <w:rStyle w:val="ad"/>
                <w:rFonts w:asciiTheme="majorBidi" w:hAnsiTheme="majorBidi" w:cstheme="majorBidi"/>
              </w:rPr>
              <w:footnoteReference w:id="3"/>
            </w:r>
            <w:r w:rsidR="007F6A0C" w:rsidRPr="00636161">
              <w:rPr>
                <w:rFonts w:asciiTheme="majorBidi" w:hAnsiTheme="majorBidi" w:cstheme="majorBidi"/>
              </w:rPr>
              <w:t xml:space="preserve"> transaction mechanisms. The program was implemented with the goal of moderating </w:t>
            </w:r>
            <w:r w:rsidR="0057276A" w:rsidRPr="00636161">
              <w:rPr>
                <w:rFonts w:asciiTheme="majorBidi" w:hAnsiTheme="majorBidi" w:cstheme="majorBidi"/>
              </w:rPr>
              <w:t xml:space="preserve">the fluctuations in the exchange rate and to provide the liquidity required for continued orderly activity </w:t>
            </w:r>
            <w:r w:rsidR="00FC5861" w:rsidRPr="00636161">
              <w:rPr>
                <w:rFonts w:asciiTheme="majorBidi" w:hAnsiTheme="majorBidi" w:cstheme="majorBidi"/>
              </w:rPr>
              <w:t xml:space="preserve">of the markets. The program’s implementation, which was possible due to the high level of the reserves, </w:t>
            </w:r>
            <w:r w:rsidR="001121AE">
              <w:rPr>
                <w:rFonts w:asciiTheme="majorBidi" w:hAnsiTheme="majorBidi" w:cstheme="majorBidi"/>
              </w:rPr>
              <w:t xml:space="preserve">made </w:t>
            </w:r>
            <w:r w:rsidR="00FC5861" w:rsidRPr="00636161">
              <w:rPr>
                <w:rFonts w:asciiTheme="majorBidi" w:hAnsiTheme="majorBidi" w:cstheme="majorBidi"/>
              </w:rPr>
              <w:t xml:space="preserve">a marked contribution </w:t>
            </w:r>
            <w:r w:rsidR="00FC5861" w:rsidRPr="00B33C34">
              <w:rPr>
                <w:rFonts w:asciiTheme="majorBidi" w:hAnsiTheme="majorBidi" w:cstheme="majorBidi"/>
              </w:rPr>
              <w:t>to maintaining the stability of the foreign exchange market and the financial markets.</w:t>
            </w:r>
          </w:p>
        </w:tc>
      </w:tr>
    </w:tbl>
    <w:p w:rsidR="006A424A" w:rsidRPr="00636161" w:rsidRDefault="006A424A" w:rsidP="00B62150">
      <w:pPr>
        <w:bidi w:val="0"/>
        <w:jc w:val="both"/>
        <w:rPr>
          <w:rFonts w:asciiTheme="majorBidi" w:hAnsiTheme="majorBidi" w:cstheme="majorBidi"/>
        </w:rPr>
      </w:pPr>
    </w:p>
    <w:sectPr w:rsidR="006A424A" w:rsidRPr="00636161" w:rsidSect="00D1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D7" w:rsidRDefault="005E14D7" w:rsidP="00E64B36">
      <w:r>
        <w:separator/>
      </w:r>
    </w:p>
  </w:endnote>
  <w:endnote w:type="continuationSeparator" w:id="0">
    <w:p w:rsidR="005E14D7" w:rsidRDefault="005E14D7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2" w:rsidRPr="00986270" w:rsidRDefault="00986270" w:rsidP="00EB0782">
    <w:pPr>
      <w:bidi w:val="0"/>
      <w:ind w:right="-52"/>
      <w:rPr>
        <w:b/>
        <w:bCs/>
        <w:sz w:val="26"/>
        <w:szCs w:val="26"/>
        <w:u w:val="single"/>
        <w:rtl/>
        <w:cs/>
      </w:rPr>
    </w:pPr>
    <w:r w:rsidRPr="00986270">
      <w:rPr>
        <w:sz w:val="18"/>
        <w:szCs w:val="18"/>
      </w:rPr>
      <w:t>Bank of Israel</w:t>
    </w:r>
    <w:r>
      <w:rPr>
        <w:sz w:val="18"/>
        <w:szCs w:val="18"/>
      </w:rPr>
      <w:tab/>
    </w:r>
    <w:r w:rsidR="00596FB4" w:rsidRPr="00CD0A35">
      <w:rPr>
        <w:sz w:val="18"/>
        <w:szCs w:val="18"/>
      </w:rPr>
      <w:tab/>
    </w:r>
    <w:r w:rsidR="00B96022" w:rsidRPr="00CD0A35">
      <w:rPr>
        <w:sz w:val="18"/>
        <w:szCs w:val="18"/>
      </w:rPr>
      <w:t>Page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PAGE</w:instrText>
    </w:r>
    <w:r w:rsidR="00B96022" w:rsidRPr="00CD0A35">
      <w:rPr>
        <w:b/>
        <w:bCs/>
        <w:sz w:val="18"/>
        <w:szCs w:val="18"/>
      </w:rPr>
      <w:fldChar w:fldCharType="separate"/>
    </w:r>
    <w:r w:rsidR="00EB5D3B">
      <w:rPr>
        <w:b/>
        <w:bCs/>
        <w:noProof/>
        <w:sz w:val="18"/>
        <w:szCs w:val="18"/>
      </w:rPr>
      <w:t>3</w:t>
    </w:r>
    <w:r w:rsidR="00B96022" w:rsidRPr="00CD0A35">
      <w:rPr>
        <w:b/>
        <w:bCs/>
        <w:sz w:val="18"/>
        <w:szCs w:val="18"/>
      </w:rPr>
      <w:fldChar w:fldCharType="end"/>
    </w:r>
    <w:r w:rsidR="00B96022" w:rsidRPr="00CD0A35">
      <w:rPr>
        <w:sz w:val="18"/>
        <w:szCs w:val="18"/>
      </w:rPr>
      <w:t xml:space="preserve"> Of</w:t>
    </w:r>
    <w:r w:rsidR="00B96022" w:rsidRPr="00CD0A35">
      <w:rPr>
        <w:sz w:val="18"/>
        <w:szCs w:val="18"/>
        <w:rtl/>
        <w:cs/>
        <w:lang w:val="he-IL"/>
      </w:rPr>
      <w:t xml:space="preserve"> </w:t>
    </w:r>
    <w:r w:rsidR="00B96022" w:rsidRPr="00CD0A35">
      <w:rPr>
        <w:b/>
        <w:bCs/>
        <w:sz w:val="18"/>
        <w:szCs w:val="18"/>
      </w:rPr>
      <w:fldChar w:fldCharType="begin"/>
    </w:r>
    <w:r w:rsidR="00B96022" w:rsidRPr="00CD0A35">
      <w:rPr>
        <w:b/>
        <w:bCs/>
        <w:sz w:val="18"/>
        <w:szCs w:val="18"/>
        <w:rtl/>
        <w:cs/>
      </w:rPr>
      <w:instrText>NUMPAGES</w:instrText>
    </w:r>
    <w:r w:rsidR="00B96022" w:rsidRPr="00CD0A35">
      <w:rPr>
        <w:b/>
        <w:bCs/>
        <w:sz w:val="18"/>
        <w:szCs w:val="18"/>
      </w:rPr>
      <w:fldChar w:fldCharType="separate"/>
    </w:r>
    <w:r w:rsidR="00EB5D3B">
      <w:rPr>
        <w:b/>
        <w:bCs/>
        <w:noProof/>
        <w:sz w:val="18"/>
        <w:szCs w:val="18"/>
      </w:rPr>
      <w:t>3</w:t>
    </w:r>
    <w:r w:rsidR="00B96022" w:rsidRPr="00CD0A35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D7" w:rsidRDefault="005E14D7" w:rsidP="00E64B36">
      <w:r>
        <w:separator/>
      </w:r>
    </w:p>
  </w:footnote>
  <w:footnote w:type="continuationSeparator" w:id="0">
    <w:p w:rsidR="005E14D7" w:rsidRDefault="005E14D7" w:rsidP="00E64B36">
      <w:r>
        <w:continuationSeparator/>
      </w:r>
    </w:p>
  </w:footnote>
  <w:footnote w:id="1">
    <w:p w:rsidR="00910ACD" w:rsidRDefault="00910ACD" w:rsidP="00910ACD">
      <w:pPr>
        <w:pStyle w:val="ab"/>
        <w:spacing w:line="240" w:lineRule="auto"/>
      </w:pPr>
      <w:r w:rsidRPr="00266871">
        <w:rPr>
          <w:rStyle w:val="ad"/>
        </w:rPr>
        <w:footnoteRef/>
      </w:r>
      <w:r w:rsidRPr="00266871">
        <w:rPr>
          <w:rtl/>
        </w:rPr>
        <w:t xml:space="preserve"> </w:t>
      </w:r>
      <w:r w:rsidRPr="00266871">
        <w:t xml:space="preserve">The Hebrew version of the report was published today. The English version will be available within </w:t>
      </w:r>
      <w:r>
        <w:t>several months</w:t>
      </w:r>
      <w:r w:rsidRPr="00266871">
        <w:t>.</w:t>
      </w:r>
    </w:p>
  </w:footnote>
  <w:footnote w:id="2">
    <w:p w:rsidR="00875314" w:rsidRDefault="00875314" w:rsidP="009C031F">
      <w:pPr>
        <w:pStyle w:val="ab"/>
        <w:spacing w:line="240" w:lineRule="auto"/>
      </w:pPr>
      <w:r>
        <w:rPr>
          <w:rStyle w:val="ad"/>
        </w:rPr>
        <w:footnoteRef/>
      </w:r>
      <w:r>
        <w:t xml:space="preserve"> Incorporates short-term government bonds in the currency benchmark currencies and with a</w:t>
      </w:r>
      <w:r w:rsidR="001F26E4">
        <w:t xml:space="preserve"> duration of 6 months. </w:t>
      </w:r>
    </w:p>
  </w:footnote>
  <w:footnote w:id="3">
    <w:p w:rsidR="00462F93" w:rsidRDefault="00462F93" w:rsidP="009C031F">
      <w:pPr>
        <w:pStyle w:val="ab"/>
        <w:spacing w:line="240" w:lineRule="auto"/>
      </w:pPr>
      <w:r>
        <w:rPr>
          <w:rStyle w:val="ad"/>
        </w:rPr>
        <w:footnoteRef/>
      </w:r>
      <w:r>
        <w:t xml:space="preserve"> An agreement between 2 sides to exchange financial assets at a predetermined future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19A"/>
    <w:multiLevelType w:val="hybridMultilevel"/>
    <w:tmpl w:val="5914AA0A"/>
    <w:lvl w:ilvl="0" w:tplc="F7A035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3373"/>
    <w:rsid w:val="00007FFE"/>
    <w:rsid w:val="0001385E"/>
    <w:rsid w:val="0001413F"/>
    <w:rsid w:val="00022DA8"/>
    <w:rsid w:val="000236B1"/>
    <w:rsid w:val="00033569"/>
    <w:rsid w:val="00051247"/>
    <w:rsid w:val="000526A0"/>
    <w:rsid w:val="0005726E"/>
    <w:rsid w:val="00064002"/>
    <w:rsid w:val="00065D9C"/>
    <w:rsid w:val="000753A4"/>
    <w:rsid w:val="000A18CE"/>
    <w:rsid w:val="000A520E"/>
    <w:rsid w:val="000A7388"/>
    <w:rsid w:val="000B165B"/>
    <w:rsid w:val="000C710C"/>
    <w:rsid w:val="000D4E65"/>
    <w:rsid w:val="000F48F6"/>
    <w:rsid w:val="000F4BF2"/>
    <w:rsid w:val="001001A2"/>
    <w:rsid w:val="00101B55"/>
    <w:rsid w:val="00101CD2"/>
    <w:rsid w:val="001061D5"/>
    <w:rsid w:val="00106BF3"/>
    <w:rsid w:val="001121AE"/>
    <w:rsid w:val="00117F4F"/>
    <w:rsid w:val="00130245"/>
    <w:rsid w:val="001428C4"/>
    <w:rsid w:val="00143F3A"/>
    <w:rsid w:val="00151D84"/>
    <w:rsid w:val="00160B25"/>
    <w:rsid w:val="00161A15"/>
    <w:rsid w:val="00162F5E"/>
    <w:rsid w:val="00165CB6"/>
    <w:rsid w:val="00175CDA"/>
    <w:rsid w:val="00180019"/>
    <w:rsid w:val="001815E1"/>
    <w:rsid w:val="00182CF0"/>
    <w:rsid w:val="001963C6"/>
    <w:rsid w:val="001A4816"/>
    <w:rsid w:val="001B4E73"/>
    <w:rsid w:val="001C1BC1"/>
    <w:rsid w:val="001C388F"/>
    <w:rsid w:val="001C71E8"/>
    <w:rsid w:val="001D381C"/>
    <w:rsid w:val="001F26E4"/>
    <w:rsid w:val="001F57DE"/>
    <w:rsid w:val="00202E77"/>
    <w:rsid w:val="002117DC"/>
    <w:rsid w:val="0021327F"/>
    <w:rsid w:val="002235F5"/>
    <w:rsid w:val="002271A2"/>
    <w:rsid w:val="00237CE5"/>
    <w:rsid w:val="00247387"/>
    <w:rsid w:val="00252C62"/>
    <w:rsid w:val="002722AF"/>
    <w:rsid w:val="002735FF"/>
    <w:rsid w:val="00273AE1"/>
    <w:rsid w:val="00275D3F"/>
    <w:rsid w:val="00281C70"/>
    <w:rsid w:val="0028233D"/>
    <w:rsid w:val="00283FB7"/>
    <w:rsid w:val="0029640A"/>
    <w:rsid w:val="00297100"/>
    <w:rsid w:val="002A0D2A"/>
    <w:rsid w:val="002B48CC"/>
    <w:rsid w:val="002C6A25"/>
    <w:rsid w:val="002D38BB"/>
    <w:rsid w:val="002F4149"/>
    <w:rsid w:val="002F7EEF"/>
    <w:rsid w:val="0030279B"/>
    <w:rsid w:val="0031224E"/>
    <w:rsid w:val="003129D6"/>
    <w:rsid w:val="003136EE"/>
    <w:rsid w:val="00321832"/>
    <w:rsid w:val="00322C28"/>
    <w:rsid w:val="003276ED"/>
    <w:rsid w:val="00335E82"/>
    <w:rsid w:val="003365E0"/>
    <w:rsid w:val="00344E60"/>
    <w:rsid w:val="00354442"/>
    <w:rsid w:val="00360B5C"/>
    <w:rsid w:val="00364AF8"/>
    <w:rsid w:val="00364C08"/>
    <w:rsid w:val="00367078"/>
    <w:rsid w:val="00371527"/>
    <w:rsid w:val="003727EE"/>
    <w:rsid w:val="003772AF"/>
    <w:rsid w:val="00385CB3"/>
    <w:rsid w:val="00387840"/>
    <w:rsid w:val="0039059D"/>
    <w:rsid w:val="00390CA5"/>
    <w:rsid w:val="003919F4"/>
    <w:rsid w:val="003A1AC9"/>
    <w:rsid w:val="003A2526"/>
    <w:rsid w:val="003A335C"/>
    <w:rsid w:val="003A3813"/>
    <w:rsid w:val="003B4DD7"/>
    <w:rsid w:val="003B715F"/>
    <w:rsid w:val="003B7DC3"/>
    <w:rsid w:val="003C7815"/>
    <w:rsid w:val="003D6F31"/>
    <w:rsid w:val="003D7279"/>
    <w:rsid w:val="003D7860"/>
    <w:rsid w:val="003D7BF1"/>
    <w:rsid w:val="003E3F4C"/>
    <w:rsid w:val="003F745D"/>
    <w:rsid w:val="00401395"/>
    <w:rsid w:val="004033B8"/>
    <w:rsid w:val="00403D99"/>
    <w:rsid w:val="00404ECF"/>
    <w:rsid w:val="00411BA4"/>
    <w:rsid w:val="00412846"/>
    <w:rsid w:val="004130B3"/>
    <w:rsid w:val="00413339"/>
    <w:rsid w:val="004147FC"/>
    <w:rsid w:val="0042309E"/>
    <w:rsid w:val="00423553"/>
    <w:rsid w:val="00430365"/>
    <w:rsid w:val="004309C6"/>
    <w:rsid w:val="00440FA1"/>
    <w:rsid w:val="004415A3"/>
    <w:rsid w:val="00443044"/>
    <w:rsid w:val="00445B15"/>
    <w:rsid w:val="00447E5A"/>
    <w:rsid w:val="00462F93"/>
    <w:rsid w:val="0046455D"/>
    <w:rsid w:val="0046672E"/>
    <w:rsid w:val="00474107"/>
    <w:rsid w:val="00482E08"/>
    <w:rsid w:val="004909FD"/>
    <w:rsid w:val="00492391"/>
    <w:rsid w:val="004A20A5"/>
    <w:rsid w:val="004D02F4"/>
    <w:rsid w:val="004D32A7"/>
    <w:rsid w:val="004D5D6F"/>
    <w:rsid w:val="004E25DD"/>
    <w:rsid w:val="004E3B2E"/>
    <w:rsid w:val="004E4AEC"/>
    <w:rsid w:val="004F4341"/>
    <w:rsid w:val="0050183E"/>
    <w:rsid w:val="00513B3C"/>
    <w:rsid w:val="005165DB"/>
    <w:rsid w:val="005221FC"/>
    <w:rsid w:val="00534EE9"/>
    <w:rsid w:val="005357A5"/>
    <w:rsid w:val="005406F8"/>
    <w:rsid w:val="00540B03"/>
    <w:rsid w:val="005462D0"/>
    <w:rsid w:val="0055455A"/>
    <w:rsid w:val="00555C8A"/>
    <w:rsid w:val="005576E1"/>
    <w:rsid w:val="00566FAC"/>
    <w:rsid w:val="00567733"/>
    <w:rsid w:val="005713A8"/>
    <w:rsid w:val="0057276A"/>
    <w:rsid w:val="00580825"/>
    <w:rsid w:val="00583DAD"/>
    <w:rsid w:val="005843A7"/>
    <w:rsid w:val="0059277F"/>
    <w:rsid w:val="00592870"/>
    <w:rsid w:val="00592A99"/>
    <w:rsid w:val="00595E27"/>
    <w:rsid w:val="00596FB4"/>
    <w:rsid w:val="00597EED"/>
    <w:rsid w:val="005A2991"/>
    <w:rsid w:val="005C4FE1"/>
    <w:rsid w:val="005D0AF8"/>
    <w:rsid w:val="005E14D7"/>
    <w:rsid w:val="005F3A83"/>
    <w:rsid w:val="005F3E47"/>
    <w:rsid w:val="0060215A"/>
    <w:rsid w:val="00604945"/>
    <w:rsid w:val="0061692C"/>
    <w:rsid w:val="006216F9"/>
    <w:rsid w:val="00621BB5"/>
    <w:rsid w:val="0062658F"/>
    <w:rsid w:val="00636161"/>
    <w:rsid w:val="00640EEA"/>
    <w:rsid w:val="0064482B"/>
    <w:rsid w:val="00652D53"/>
    <w:rsid w:val="00662FB1"/>
    <w:rsid w:val="00665655"/>
    <w:rsid w:val="0067516F"/>
    <w:rsid w:val="006832D0"/>
    <w:rsid w:val="00685C0A"/>
    <w:rsid w:val="006A36CC"/>
    <w:rsid w:val="006A424A"/>
    <w:rsid w:val="006A66C5"/>
    <w:rsid w:val="006B029C"/>
    <w:rsid w:val="006B4683"/>
    <w:rsid w:val="006B5BA9"/>
    <w:rsid w:val="006B679C"/>
    <w:rsid w:val="006C714C"/>
    <w:rsid w:val="006D3582"/>
    <w:rsid w:val="006D7651"/>
    <w:rsid w:val="006E1B6A"/>
    <w:rsid w:val="006E70D3"/>
    <w:rsid w:val="0070010B"/>
    <w:rsid w:val="0070029F"/>
    <w:rsid w:val="00701734"/>
    <w:rsid w:val="00721560"/>
    <w:rsid w:val="00726036"/>
    <w:rsid w:val="0074341E"/>
    <w:rsid w:val="00751F08"/>
    <w:rsid w:val="00760371"/>
    <w:rsid w:val="007625F3"/>
    <w:rsid w:val="00764B65"/>
    <w:rsid w:val="007666A8"/>
    <w:rsid w:val="00776535"/>
    <w:rsid w:val="007806C5"/>
    <w:rsid w:val="00786563"/>
    <w:rsid w:val="00787142"/>
    <w:rsid w:val="007926C7"/>
    <w:rsid w:val="00793399"/>
    <w:rsid w:val="007A2030"/>
    <w:rsid w:val="007A589B"/>
    <w:rsid w:val="007A64CC"/>
    <w:rsid w:val="007B2769"/>
    <w:rsid w:val="007C6400"/>
    <w:rsid w:val="007D57EE"/>
    <w:rsid w:val="007E0C1F"/>
    <w:rsid w:val="007E1CB3"/>
    <w:rsid w:val="007F6A0C"/>
    <w:rsid w:val="007F7993"/>
    <w:rsid w:val="0081026B"/>
    <w:rsid w:val="00826A61"/>
    <w:rsid w:val="00830099"/>
    <w:rsid w:val="008403F1"/>
    <w:rsid w:val="00842057"/>
    <w:rsid w:val="00842BAF"/>
    <w:rsid w:val="0086005B"/>
    <w:rsid w:val="00864C55"/>
    <w:rsid w:val="0086637C"/>
    <w:rsid w:val="00875314"/>
    <w:rsid w:val="008817F1"/>
    <w:rsid w:val="00884167"/>
    <w:rsid w:val="008914B1"/>
    <w:rsid w:val="00892A46"/>
    <w:rsid w:val="008A7212"/>
    <w:rsid w:val="008B2431"/>
    <w:rsid w:val="008B257A"/>
    <w:rsid w:val="008C082F"/>
    <w:rsid w:val="008C366C"/>
    <w:rsid w:val="008D390B"/>
    <w:rsid w:val="008D6FB6"/>
    <w:rsid w:val="008E38F1"/>
    <w:rsid w:val="008E4D8E"/>
    <w:rsid w:val="008F17A3"/>
    <w:rsid w:val="008F1FCF"/>
    <w:rsid w:val="00900453"/>
    <w:rsid w:val="00904100"/>
    <w:rsid w:val="0090462E"/>
    <w:rsid w:val="00905463"/>
    <w:rsid w:val="00910ACD"/>
    <w:rsid w:val="0091307F"/>
    <w:rsid w:val="00933EF4"/>
    <w:rsid w:val="0093574D"/>
    <w:rsid w:val="00961BD6"/>
    <w:rsid w:val="0097278E"/>
    <w:rsid w:val="009744A0"/>
    <w:rsid w:val="00976781"/>
    <w:rsid w:val="00985B4F"/>
    <w:rsid w:val="00986270"/>
    <w:rsid w:val="0098774F"/>
    <w:rsid w:val="00994692"/>
    <w:rsid w:val="009B166B"/>
    <w:rsid w:val="009B17B3"/>
    <w:rsid w:val="009B66C8"/>
    <w:rsid w:val="009C031F"/>
    <w:rsid w:val="009C21B3"/>
    <w:rsid w:val="009C2C42"/>
    <w:rsid w:val="009E3D4E"/>
    <w:rsid w:val="009E6A28"/>
    <w:rsid w:val="009F010F"/>
    <w:rsid w:val="009F3FB7"/>
    <w:rsid w:val="009F6CDE"/>
    <w:rsid w:val="00A117D2"/>
    <w:rsid w:val="00A17420"/>
    <w:rsid w:val="00A239A7"/>
    <w:rsid w:val="00A3549C"/>
    <w:rsid w:val="00A374AC"/>
    <w:rsid w:val="00A37869"/>
    <w:rsid w:val="00A421E5"/>
    <w:rsid w:val="00A44A88"/>
    <w:rsid w:val="00A67F76"/>
    <w:rsid w:val="00A72122"/>
    <w:rsid w:val="00A74752"/>
    <w:rsid w:val="00A749E1"/>
    <w:rsid w:val="00A81B6C"/>
    <w:rsid w:val="00A94775"/>
    <w:rsid w:val="00A962CF"/>
    <w:rsid w:val="00AB75B4"/>
    <w:rsid w:val="00AC5957"/>
    <w:rsid w:val="00AC74EC"/>
    <w:rsid w:val="00AD6AA3"/>
    <w:rsid w:val="00AD7CC8"/>
    <w:rsid w:val="00AE6E25"/>
    <w:rsid w:val="00AF6B3A"/>
    <w:rsid w:val="00B054AD"/>
    <w:rsid w:val="00B108AE"/>
    <w:rsid w:val="00B13C9D"/>
    <w:rsid w:val="00B2219A"/>
    <w:rsid w:val="00B2426C"/>
    <w:rsid w:val="00B33C34"/>
    <w:rsid w:val="00B40E49"/>
    <w:rsid w:val="00B533D5"/>
    <w:rsid w:val="00B54F09"/>
    <w:rsid w:val="00B62150"/>
    <w:rsid w:val="00B71972"/>
    <w:rsid w:val="00B72CFE"/>
    <w:rsid w:val="00B84789"/>
    <w:rsid w:val="00B85769"/>
    <w:rsid w:val="00B87F00"/>
    <w:rsid w:val="00B9176B"/>
    <w:rsid w:val="00B96022"/>
    <w:rsid w:val="00BA0AFF"/>
    <w:rsid w:val="00BB5019"/>
    <w:rsid w:val="00BB5D57"/>
    <w:rsid w:val="00BC113A"/>
    <w:rsid w:val="00BC71FF"/>
    <w:rsid w:val="00BD0FFD"/>
    <w:rsid w:val="00BE27B4"/>
    <w:rsid w:val="00BE4CAF"/>
    <w:rsid w:val="00BE52BF"/>
    <w:rsid w:val="00BF73FD"/>
    <w:rsid w:val="00C00BB8"/>
    <w:rsid w:val="00C02233"/>
    <w:rsid w:val="00C05BED"/>
    <w:rsid w:val="00C06B06"/>
    <w:rsid w:val="00C106C2"/>
    <w:rsid w:val="00C15121"/>
    <w:rsid w:val="00C171FF"/>
    <w:rsid w:val="00C21009"/>
    <w:rsid w:val="00C21363"/>
    <w:rsid w:val="00C2294B"/>
    <w:rsid w:val="00C27619"/>
    <w:rsid w:val="00C37129"/>
    <w:rsid w:val="00C41E62"/>
    <w:rsid w:val="00C47A56"/>
    <w:rsid w:val="00C52224"/>
    <w:rsid w:val="00C52FC2"/>
    <w:rsid w:val="00C5755A"/>
    <w:rsid w:val="00C67CE0"/>
    <w:rsid w:val="00C71A0B"/>
    <w:rsid w:val="00C73E63"/>
    <w:rsid w:val="00C74F11"/>
    <w:rsid w:val="00C7643D"/>
    <w:rsid w:val="00C76E10"/>
    <w:rsid w:val="00C84E31"/>
    <w:rsid w:val="00C96F3D"/>
    <w:rsid w:val="00CB5D78"/>
    <w:rsid w:val="00CC58F8"/>
    <w:rsid w:val="00CD0A35"/>
    <w:rsid w:val="00CD50B6"/>
    <w:rsid w:val="00CD5F91"/>
    <w:rsid w:val="00CD6927"/>
    <w:rsid w:val="00CE0B40"/>
    <w:rsid w:val="00CF481A"/>
    <w:rsid w:val="00D040A2"/>
    <w:rsid w:val="00D114C9"/>
    <w:rsid w:val="00D13C47"/>
    <w:rsid w:val="00D21685"/>
    <w:rsid w:val="00D318A3"/>
    <w:rsid w:val="00D326DC"/>
    <w:rsid w:val="00D353EC"/>
    <w:rsid w:val="00D354E8"/>
    <w:rsid w:val="00D44122"/>
    <w:rsid w:val="00D554DA"/>
    <w:rsid w:val="00D60641"/>
    <w:rsid w:val="00D60BFC"/>
    <w:rsid w:val="00D60FF3"/>
    <w:rsid w:val="00D655F5"/>
    <w:rsid w:val="00D67C46"/>
    <w:rsid w:val="00D70591"/>
    <w:rsid w:val="00D75CFB"/>
    <w:rsid w:val="00D77847"/>
    <w:rsid w:val="00D83245"/>
    <w:rsid w:val="00D86369"/>
    <w:rsid w:val="00D907A2"/>
    <w:rsid w:val="00DA6116"/>
    <w:rsid w:val="00DD195D"/>
    <w:rsid w:val="00DD4976"/>
    <w:rsid w:val="00DE01A0"/>
    <w:rsid w:val="00DE0699"/>
    <w:rsid w:val="00DF4CC2"/>
    <w:rsid w:val="00DF5686"/>
    <w:rsid w:val="00DF6966"/>
    <w:rsid w:val="00E04222"/>
    <w:rsid w:val="00E0503C"/>
    <w:rsid w:val="00E1281F"/>
    <w:rsid w:val="00E16FFB"/>
    <w:rsid w:val="00E2493A"/>
    <w:rsid w:val="00E369B9"/>
    <w:rsid w:val="00E4365F"/>
    <w:rsid w:val="00E50F50"/>
    <w:rsid w:val="00E51E99"/>
    <w:rsid w:val="00E64B36"/>
    <w:rsid w:val="00E660F1"/>
    <w:rsid w:val="00E702C5"/>
    <w:rsid w:val="00E7204F"/>
    <w:rsid w:val="00E74DBF"/>
    <w:rsid w:val="00E8008F"/>
    <w:rsid w:val="00E83503"/>
    <w:rsid w:val="00E8413B"/>
    <w:rsid w:val="00E85DB1"/>
    <w:rsid w:val="00EA336F"/>
    <w:rsid w:val="00EB0782"/>
    <w:rsid w:val="00EB0DEC"/>
    <w:rsid w:val="00EB4124"/>
    <w:rsid w:val="00EB44F5"/>
    <w:rsid w:val="00EB5D3B"/>
    <w:rsid w:val="00EB669A"/>
    <w:rsid w:val="00EC11A7"/>
    <w:rsid w:val="00EC126C"/>
    <w:rsid w:val="00EC13FB"/>
    <w:rsid w:val="00EC48D4"/>
    <w:rsid w:val="00ED5226"/>
    <w:rsid w:val="00EE2AA0"/>
    <w:rsid w:val="00EE3596"/>
    <w:rsid w:val="00EF0973"/>
    <w:rsid w:val="00EF1554"/>
    <w:rsid w:val="00EF1AC2"/>
    <w:rsid w:val="00F033FC"/>
    <w:rsid w:val="00F15E93"/>
    <w:rsid w:val="00F45181"/>
    <w:rsid w:val="00F45972"/>
    <w:rsid w:val="00F53236"/>
    <w:rsid w:val="00F56917"/>
    <w:rsid w:val="00F56B66"/>
    <w:rsid w:val="00F576F6"/>
    <w:rsid w:val="00F806F6"/>
    <w:rsid w:val="00F90F0D"/>
    <w:rsid w:val="00FA13BA"/>
    <w:rsid w:val="00FA4548"/>
    <w:rsid w:val="00FB0A57"/>
    <w:rsid w:val="00FC2A67"/>
    <w:rsid w:val="00FC586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8E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a"/>
    <w:rsid w:val="00A3549C"/>
    <w:pPr>
      <w:bidi w:val="0"/>
      <w:ind w:firstLine="432"/>
    </w:pPr>
    <w:rPr>
      <w:szCs w:val="20"/>
      <w:lang w:bidi="ar-SA"/>
    </w:rPr>
  </w:style>
  <w:style w:type="table" w:styleId="1-4">
    <w:name w:val="Grid Table 1 Light Accent 4"/>
    <w:basedOn w:val="a1"/>
    <w:uiPriority w:val="46"/>
    <w:rsid w:val="00AC595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6361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C5A-0727-4A5B-91B7-936B33FC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4916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2024-03-19T08:57:00Z</dcterms:created>
  <dcterms:modified xsi:type="dcterms:W3CDTF">2024-03-19T08:57:00Z</dcterms:modified>
</cp:coreProperties>
</file>