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7016A" w:rsidRPr="00CC1100" w:rsidTr="00D412E5">
        <w:tc>
          <w:tcPr>
            <w:tcW w:w="3343" w:type="dxa"/>
            <w:tcBorders>
              <w:top w:val="nil"/>
              <w:left w:val="nil"/>
              <w:bottom w:val="nil"/>
              <w:right w:val="nil"/>
            </w:tcBorders>
            <w:vAlign w:val="center"/>
          </w:tcPr>
          <w:p w:rsidR="0007016A" w:rsidRPr="00CC1100" w:rsidRDefault="0007016A" w:rsidP="00D412E5">
            <w:pPr>
              <w:rPr>
                <w:rFonts w:cstheme="minorHAnsi"/>
                <w:b/>
                <w:bCs/>
                <w:rtl/>
              </w:rPr>
            </w:pPr>
            <w:r w:rsidRPr="00CC1100">
              <w:rPr>
                <w:rFonts w:cstheme="minorHAnsi"/>
                <w:b/>
                <w:bCs/>
                <w:rtl/>
              </w:rPr>
              <w:t>בנק ישראל</w:t>
            </w:r>
          </w:p>
          <w:p w:rsidR="0007016A" w:rsidRPr="00CC1100" w:rsidRDefault="0007016A" w:rsidP="00D412E5">
            <w:pPr>
              <w:rPr>
                <w:rFonts w:cstheme="minorHAnsi"/>
                <w:b/>
                <w:bCs/>
              </w:rPr>
            </w:pPr>
            <w:r w:rsidRPr="00CC1100">
              <w:rPr>
                <w:rFonts w:cstheme="minorHAnsi"/>
                <w:rtl/>
              </w:rPr>
              <w:t>דוברות והסברה כלכלית</w:t>
            </w:r>
          </w:p>
        </w:tc>
        <w:tc>
          <w:tcPr>
            <w:tcW w:w="2596" w:type="dxa"/>
            <w:tcBorders>
              <w:top w:val="nil"/>
              <w:left w:val="nil"/>
              <w:bottom w:val="nil"/>
              <w:right w:val="nil"/>
            </w:tcBorders>
            <w:shd w:val="clear" w:color="auto" w:fill="FFFFFF"/>
          </w:tcPr>
          <w:p w:rsidR="0007016A" w:rsidRPr="00CC1100" w:rsidRDefault="0007016A" w:rsidP="00D412E5">
            <w:pPr>
              <w:jc w:val="center"/>
              <w:rPr>
                <w:rFonts w:cstheme="minorHAnsi"/>
              </w:rPr>
            </w:pPr>
            <w:r w:rsidRPr="00CC1100">
              <w:rPr>
                <w:rFonts w:cstheme="minorHAnsi"/>
                <w:noProof/>
              </w:rPr>
              <w:drawing>
                <wp:anchor distT="0" distB="0" distL="114300" distR="114300" simplePos="0" relativeHeight="251659264" behindDoc="0" locked="0" layoutInCell="1" allowOverlap="1" wp14:anchorId="18E61CE0" wp14:editId="4EEE8B13">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7016A" w:rsidRPr="00CC1100" w:rsidRDefault="0007016A" w:rsidP="00D412E5">
            <w:pPr>
              <w:jc w:val="right"/>
              <w:rPr>
                <w:rFonts w:cstheme="minorHAnsi"/>
                <w:rtl/>
              </w:rPr>
            </w:pPr>
            <w:r w:rsidRPr="00CC1100">
              <w:rPr>
                <w:rFonts w:cstheme="minorHAnsi"/>
                <w:highlight w:val="green"/>
                <w:rtl/>
              </w:rPr>
              <w:t>‏</w:t>
            </w:r>
            <w:r w:rsidRPr="00CC1100">
              <w:rPr>
                <w:rFonts w:cstheme="minorHAnsi"/>
                <w:rtl/>
              </w:rPr>
              <w:t xml:space="preserve">ירושלים, </w:t>
            </w:r>
            <w:r w:rsidRPr="00CC1100">
              <w:rPr>
                <w:rFonts w:cstheme="minorHAnsi"/>
                <w:rtl/>
              </w:rPr>
              <w:fldChar w:fldCharType="begin"/>
            </w:r>
            <w:r w:rsidRPr="00CC1100">
              <w:rPr>
                <w:rFonts w:cstheme="minorHAnsi"/>
                <w:rtl/>
              </w:rPr>
              <w:instrText xml:space="preserve"> </w:instrText>
            </w:r>
            <w:r w:rsidRPr="00CC1100">
              <w:rPr>
                <w:rFonts w:cstheme="minorHAnsi"/>
              </w:rPr>
              <w:instrText>DATE</w:instrText>
            </w:r>
            <w:r w:rsidRPr="00CC1100">
              <w:rPr>
                <w:rFonts w:cstheme="minorHAnsi"/>
                <w:rtl/>
              </w:rPr>
              <w:instrText xml:space="preserve"> \@ "</w:instrText>
            </w:r>
            <w:r w:rsidRPr="00CC1100">
              <w:rPr>
                <w:rFonts w:cstheme="minorHAnsi"/>
              </w:rPr>
              <w:instrText>d MMMM, yyyy" \h</w:instrText>
            </w:r>
            <w:r w:rsidRPr="00CC1100">
              <w:rPr>
                <w:rFonts w:cstheme="minorHAnsi"/>
                <w:rtl/>
              </w:rPr>
              <w:instrText xml:space="preserve"> </w:instrText>
            </w:r>
            <w:r w:rsidRPr="00CC1100">
              <w:rPr>
                <w:rFonts w:cstheme="minorHAnsi"/>
                <w:rtl/>
              </w:rPr>
              <w:fldChar w:fldCharType="separate"/>
            </w:r>
            <w:r>
              <w:rPr>
                <w:rFonts w:cstheme="minorHAnsi"/>
                <w:noProof/>
                <w:rtl/>
              </w:rPr>
              <w:t>‏י"ג שבט, תשפ"ה</w:t>
            </w:r>
            <w:r w:rsidRPr="00CC1100">
              <w:rPr>
                <w:rFonts w:cstheme="minorHAnsi"/>
                <w:rtl/>
              </w:rPr>
              <w:fldChar w:fldCharType="end"/>
            </w:r>
          </w:p>
          <w:p w:rsidR="0007016A" w:rsidRPr="00CC1100" w:rsidRDefault="0007016A" w:rsidP="00D412E5">
            <w:pPr>
              <w:jc w:val="right"/>
              <w:rPr>
                <w:rFonts w:cstheme="minorHAnsi"/>
                <w:highlight w:val="green"/>
              </w:rPr>
            </w:pPr>
            <w:r w:rsidRPr="00CC1100">
              <w:rPr>
                <w:rFonts w:cstheme="minorHAnsi"/>
                <w:rtl/>
              </w:rPr>
              <w:fldChar w:fldCharType="begin"/>
            </w:r>
            <w:r w:rsidRPr="00CC1100">
              <w:rPr>
                <w:rFonts w:cstheme="minorHAnsi"/>
                <w:rtl/>
              </w:rPr>
              <w:instrText xml:space="preserve"> </w:instrText>
            </w:r>
            <w:r w:rsidRPr="00CC1100">
              <w:rPr>
                <w:rFonts w:cstheme="minorHAnsi"/>
              </w:rPr>
              <w:instrText>DATE</w:instrText>
            </w:r>
            <w:r w:rsidRPr="00CC1100">
              <w:rPr>
                <w:rFonts w:cstheme="minorHAnsi"/>
                <w:rtl/>
              </w:rPr>
              <w:instrText xml:space="preserve"> \@ "</w:instrText>
            </w:r>
            <w:r w:rsidRPr="00CC1100">
              <w:rPr>
                <w:rFonts w:cstheme="minorHAnsi"/>
              </w:rPr>
              <w:instrText>d MMMM, yyyy</w:instrText>
            </w:r>
            <w:r w:rsidRPr="00CC1100">
              <w:rPr>
                <w:rFonts w:cstheme="minorHAnsi"/>
                <w:rtl/>
              </w:rPr>
              <w:instrText xml:space="preserve">" </w:instrText>
            </w:r>
            <w:r w:rsidRPr="00CC1100">
              <w:rPr>
                <w:rFonts w:cstheme="minorHAnsi"/>
                <w:rtl/>
              </w:rPr>
              <w:fldChar w:fldCharType="separate"/>
            </w:r>
            <w:r>
              <w:rPr>
                <w:rFonts w:cstheme="minorHAnsi"/>
                <w:noProof/>
                <w:rtl/>
              </w:rPr>
              <w:t>‏11 פברואר, 2025</w:t>
            </w:r>
            <w:r w:rsidRPr="00CC1100">
              <w:rPr>
                <w:rFonts w:cstheme="minorHAnsi"/>
                <w:rtl/>
              </w:rPr>
              <w:fldChar w:fldCharType="end"/>
            </w:r>
          </w:p>
        </w:tc>
      </w:tr>
    </w:tbl>
    <w:p w:rsidR="00EE4846" w:rsidRPr="00EC2F77" w:rsidRDefault="00EE4846">
      <w:pPr>
        <w:rPr>
          <w:rFonts w:ascii="Calibri" w:eastAsiaTheme="majorEastAsia" w:hAnsi="Calibri" w:cs="Calibri"/>
          <w:sz w:val="24"/>
          <w:szCs w:val="24"/>
          <w:rtl/>
        </w:rPr>
      </w:pPr>
    </w:p>
    <w:p w:rsidR="00EE4846" w:rsidRPr="00EC2F77" w:rsidRDefault="00EE4846" w:rsidP="00EE4846">
      <w:pPr>
        <w:rPr>
          <w:rFonts w:ascii="Calibri" w:eastAsiaTheme="majorEastAsia" w:hAnsi="Calibri" w:cs="Calibri"/>
          <w:sz w:val="24"/>
          <w:szCs w:val="24"/>
          <w:rtl/>
        </w:rPr>
      </w:pPr>
      <w:r w:rsidRPr="00EC2F77">
        <w:rPr>
          <w:rFonts w:ascii="Calibri" w:eastAsiaTheme="majorEastAsia" w:hAnsi="Calibri" w:cs="Calibri"/>
          <w:sz w:val="24"/>
          <w:szCs w:val="24"/>
          <w:rtl/>
        </w:rPr>
        <w:t>הודעה לעיתונות:</w:t>
      </w:r>
    </w:p>
    <w:p w:rsidR="00116F0C" w:rsidRPr="00EC2F77" w:rsidRDefault="00116F0C" w:rsidP="006110FA">
      <w:pPr>
        <w:jc w:val="center"/>
        <w:rPr>
          <w:rFonts w:ascii="Calibri" w:eastAsiaTheme="majorEastAsia" w:hAnsi="Calibri" w:cs="Calibri"/>
          <w:b/>
          <w:bCs/>
          <w:sz w:val="28"/>
          <w:szCs w:val="28"/>
          <w:rtl/>
        </w:rPr>
      </w:pPr>
      <w:r w:rsidRPr="00EC2F77">
        <w:rPr>
          <w:rFonts w:ascii="Calibri" w:eastAsiaTheme="majorEastAsia" w:hAnsi="Calibri" w:cs="Calibri"/>
          <w:b/>
          <w:bCs/>
          <w:sz w:val="28"/>
          <w:szCs w:val="28"/>
          <w:rtl/>
        </w:rPr>
        <w:t xml:space="preserve">דוח היציבות הפיננסית </w:t>
      </w:r>
      <w:r w:rsidR="00FB4CE4" w:rsidRPr="00EC2F77">
        <w:rPr>
          <w:rFonts w:ascii="Calibri" w:eastAsiaTheme="majorEastAsia" w:hAnsi="Calibri" w:cs="Calibri"/>
          <w:b/>
          <w:bCs/>
          <w:sz w:val="28"/>
          <w:szCs w:val="28"/>
          <w:rtl/>
        </w:rPr>
        <w:t>ל</w:t>
      </w:r>
      <w:r w:rsidRPr="00EC2F77">
        <w:rPr>
          <w:rFonts w:ascii="Calibri" w:eastAsiaTheme="majorEastAsia" w:hAnsi="Calibri" w:cs="Calibri"/>
          <w:b/>
          <w:bCs/>
          <w:sz w:val="28"/>
          <w:szCs w:val="28"/>
          <w:rtl/>
        </w:rPr>
        <w:t xml:space="preserve">מחצית </w:t>
      </w:r>
      <w:r w:rsidR="006110FA">
        <w:rPr>
          <w:rFonts w:ascii="Calibri" w:eastAsiaTheme="majorEastAsia" w:hAnsi="Calibri" w:cs="Calibri" w:hint="cs"/>
          <w:b/>
          <w:bCs/>
          <w:sz w:val="28"/>
          <w:szCs w:val="28"/>
          <w:rtl/>
        </w:rPr>
        <w:t>השנייה</w:t>
      </w:r>
      <w:r w:rsidRPr="00EC2F77">
        <w:rPr>
          <w:rFonts w:ascii="Calibri" w:eastAsiaTheme="majorEastAsia" w:hAnsi="Calibri" w:cs="Calibri"/>
          <w:b/>
          <w:bCs/>
          <w:sz w:val="28"/>
          <w:szCs w:val="28"/>
          <w:rtl/>
        </w:rPr>
        <w:t xml:space="preserve"> של </w:t>
      </w:r>
      <w:r w:rsidR="00920B9F" w:rsidRPr="00EC2F77">
        <w:rPr>
          <w:rFonts w:ascii="Calibri" w:eastAsiaTheme="majorEastAsia" w:hAnsi="Calibri" w:cs="Calibri"/>
          <w:b/>
          <w:bCs/>
          <w:sz w:val="28"/>
          <w:szCs w:val="28"/>
          <w:rtl/>
        </w:rPr>
        <w:t>2024</w:t>
      </w:r>
    </w:p>
    <w:p w:rsidR="00FB4CE4" w:rsidRPr="00EC2F77" w:rsidRDefault="00FB4CE4" w:rsidP="00920B9F">
      <w:pPr>
        <w:pStyle w:val="-"/>
        <w:rPr>
          <w:rFonts w:ascii="Calibri" w:hAnsi="Calibri" w:cs="Calibri"/>
          <w:rtl/>
        </w:rPr>
      </w:pPr>
    </w:p>
    <w:p w:rsidR="006110FA" w:rsidRDefault="006110FA" w:rsidP="006110FA">
      <w:pPr>
        <w:keepNext/>
        <w:keepLines/>
        <w:numPr>
          <w:ilvl w:val="1"/>
          <w:numId w:val="0"/>
        </w:numPr>
        <w:spacing w:before="40" w:after="0" w:line="360" w:lineRule="auto"/>
        <w:ind w:left="84"/>
        <w:jc w:val="both"/>
        <w:outlineLvl w:val="2"/>
        <w:rPr>
          <w:rFonts w:ascii="Calibri" w:hAnsi="Calibri" w:cs="Calibri"/>
          <w:sz w:val="24"/>
          <w:szCs w:val="24"/>
          <w:rtl/>
        </w:rPr>
      </w:pPr>
      <w:bookmarkStart w:id="0" w:name="_Toc102389429"/>
      <w:bookmarkStart w:id="1" w:name="_Toc110496336"/>
      <w:r w:rsidRPr="006110FA">
        <w:rPr>
          <w:rFonts w:ascii="Calibri" w:hAnsi="Calibri" w:cs="Calibri"/>
          <w:sz w:val="24"/>
          <w:szCs w:val="24"/>
          <w:rtl/>
        </w:rPr>
        <w:t>דוח היציבות הפיננסית למחצית השנייה של 2024 סוקר את ההתפתחויות הפיננסיות בתקופה זו ומעריך את יציבות המערכת על רקע מלחמת "חרבות ברזל" המתמשכת בעזה, בדרום לבנון והתרחבותה לגזרות נוספות. הדוח בוחן את השפעת המלחמה על ערוצי החשיפה לסיכון, בהינתן כושר העמידות של המוסדות הפיננסים. רמת היציבות הפיננסית מוערכת על סמך ניתוחים אלה.</w:t>
      </w:r>
    </w:p>
    <w:p w:rsidR="00116F0C" w:rsidRPr="00EC2F77" w:rsidRDefault="00116F0C" w:rsidP="00C10936">
      <w:pPr>
        <w:keepNext/>
        <w:keepLines/>
        <w:numPr>
          <w:ilvl w:val="1"/>
          <w:numId w:val="0"/>
        </w:numPr>
        <w:spacing w:before="40" w:after="0" w:line="360" w:lineRule="auto"/>
        <w:ind w:left="360" w:hanging="360"/>
        <w:jc w:val="both"/>
        <w:outlineLvl w:val="2"/>
        <w:rPr>
          <w:rFonts w:ascii="Calibri" w:eastAsiaTheme="majorEastAsia" w:hAnsi="Calibri" w:cs="Calibri"/>
          <w:sz w:val="24"/>
          <w:szCs w:val="24"/>
          <w:rtl/>
        </w:rPr>
      </w:pPr>
      <w:r w:rsidRPr="00EC2F77">
        <w:rPr>
          <w:rFonts w:ascii="Calibri" w:eastAsiaTheme="majorEastAsia" w:hAnsi="Calibri" w:cs="Calibri"/>
          <w:b/>
          <w:bCs/>
          <w:sz w:val="24"/>
          <w:szCs w:val="24"/>
          <w:rtl/>
        </w:rPr>
        <w:t xml:space="preserve">עיקרי </w:t>
      </w:r>
      <w:bookmarkEnd w:id="0"/>
      <w:bookmarkEnd w:id="1"/>
      <w:r w:rsidR="00C10936">
        <w:rPr>
          <w:rFonts w:ascii="Calibri" w:eastAsiaTheme="majorEastAsia" w:hAnsi="Calibri" w:cs="Calibri" w:hint="cs"/>
          <w:b/>
          <w:bCs/>
          <w:sz w:val="24"/>
          <w:szCs w:val="24"/>
          <w:rtl/>
        </w:rPr>
        <w:t>הדברים</w:t>
      </w:r>
      <w:r w:rsidR="00C34632" w:rsidRPr="00EC2F77">
        <w:rPr>
          <w:rFonts w:ascii="Calibri" w:eastAsiaTheme="majorEastAsia" w:hAnsi="Calibri" w:cs="Calibri"/>
          <w:sz w:val="24"/>
          <w:szCs w:val="24"/>
          <w:rtl/>
        </w:rPr>
        <w:t>:</w:t>
      </w:r>
    </w:p>
    <w:p w:rsidR="006110FA" w:rsidRPr="006110FA" w:rsidRDefault="006110FA" w:rsidP="006110FA">
      <w:pPr>
        <w:pStyle w:val="ListParagraph"/>
        <w:numPr>
          <w:ilvl w:val="0"/>
          <w:numId w:val="8"/>
        </w:numPr>
        <w:bidi/>
        <w:spacing w:line="360" w:lineRule="auto"/>
        <w:jc w:val="both"/>
        <w:rPr>
          <w:rFonts w:cs="Calibri"/>
          <w:b/>
          <w:bCs/>
        </w:rPr>
      </w:pPr>
      <w:r w:rsidRPr="006110FA">
        <w:rPr>
          <w:rFonts w:cs="Calibri"/>
          <w:b/>
          <w:bCs/>
          <w:rtl/>
        </w:rPr>
        <w:t xml:space="preserve">המערכת הפיננסית בישראל מפגינה עמידות גבוהה מול האתגרים הביטחוניים ואי הודאות הגיאופוליטית המתמשכים למעלה משנה. </w:t>
      </w:r>
    </w:p>
    <w:p w:rsidR="00D43E24" w:rsidRDefault="006110FA" w:rsidP="00D43E24">
      <w:pPr>
        <w:pStyle w:val="ListParagraph"/>
        <w:numPr>
          <w:ilvl w:val="0"/>
          <w:numId w:val="8"/>
        </w:numPr>
        <w:bidi/>
        <w:spacing w:line="360" w:lineRule="auto"/>
        <w:jc w:val="both"/>
        <w:rPr>
          <w:rFonts w:cs="Calibri"/>
          <w:b/>
          <w:bCs/>
        </w:rPr>
      </w:pPr>
      <w:r w:rsidRPr="006110FA">
        <w:rPr>
          <w:rFonts w:cs="Calibri"/>
          <w:b/>
          <w:bCs/>
          <w:rtl/>
        </w:rPr>
        <w:t>במהלך התקופה הנסקרת נותר הסיכון בערוץ המאקרו ברמה גבוהה, על רקע המצב הביטחוני והשלכותיו על הפעילות הכלכלית שנותרה ברמה נמוכה מהמגמה ארוכת הטווח</w:t>
      </w:r>
      <w:r w:rsidR="00D43E24">
        <w:rPr>
          <w:rFonts w:cs="Calibri" w:hint="cs"/>
          <w:b/>
          <w:bCs/>
          <w:rtl/>
        </w:rPr>
        <w:t>;</w:t>
      </w:r>
      <w:r w:rsidRPr="006110FA">
        <w:rPr>
          <w:rFonts w:cs="Calibri"/>
          <w:b/>
          <w:bCs/>
          <w:rtl/>
        </w:rPr>
        <w:t xml:space="preserve"> צורכי המימון של הממשלה ועלותם גדלו, פרמיית הסיכון של ישראל בשווקים הפיננסיים עלתה, וסוכנויות דירוג האשראי הפחיתו את הדירוג של ישראל והותירו אופק שלילי לתחזיות הדירוג.</w:t>
      </w:r>
      <w:r w:rsidR="00D43E24">
        <w:rPr>
          <w:rFonts w:cs="Calibri" w:hint="cs"/>
          <w:b/>
          <w:bCs/>
          <w:rtl/>
        </w:rPr>
        <w:t xml:space="preserve"> </w:t>
      </w:r>
    </w:p>
    <w:p w:rsidR="006110FA" w:rsidRPr="006110FA" w:rsidRDefault="00D43E24" w:rsidP="00D43E24">
      <w:pPr>
        <w:pStyle w:val="ListParagraph"/>
        <w:numPr>
          <w:ilvl w:val="0"/>
          <w:numId w:val="8"/>
        </w:numPr>
        <w:bidi/>
        <w:spacing w:line="360" w:lineRule="auto"/>
        <w:jc w:val="both"/>
        <w:rPr>
          <w:rFonts w:cs="Calibri"/>
          <w:b/>
          <w:bCs/>
        </w:rPr>
      </w:pPr>
      <w:r>
        <w:rPr>
          <w:rFonts w:cs="Calibri" w:hint="cs"/>
          <w:b/>
          <w:bCs/>
          <w:rtl/>
        </w:rPr>
        <w:t xml:space="preserve">עם זאת, </w:t>
      </w:r>
      <w:r w:rsidRPr="00D43E24">
        <w:rPr>
          <w:rFonts w:cs="Calibri"/>
          <w:b/>
          <w:bCs/>
          <w:rtl/>
        </w:rPr>
        <w:t xml:space="preserve">לקראת תום התקופה הנסקרת ירדו </w:t>
      </w:r>
      <w:r>
        <w:rPr>
          <w:rFonts w:cs="Calibri" w:hint="cs"/>
          <w:b/>
          <w:bCs/>
          <w:rtl/>
        </w:rPr>
        <w:t xml:space="preserve">במידה מסוימת </w:t>
      </w:r>
      <w:r w:rsidRPr="00D43E24">
        <w:rPr>
          <w:rFonts w:cs="Calibri"/>
          <w:b/>
          <w:bCs/>
          <w:rtl/>
        </w:rPr>
        <w:t>פרמיית הסיכון ועלויות מימון החוב, על רקע התמתנות בהערכות הסיכון הגיאופוליטי שהתבטאה בשיפור בסנטימנט כלפי השווקים המקומיים.</w:t>
      </w:r>
    </w:p>
    <w:p w:rsidR="006110FA" w:rsidRPr="006110FA" w:rsidRDefault="006110FA" w:rsidP="00D43E24">
      <w:pPr>
        <w:pStyle w:val="ListParagraph"/>
        <w:numPr>
          <w:ilvl w:val="0"/>
          <w:numId w:val="8"/>
        </w:numPr>
        <w:bidi/>
        <w:spacing w:line="360" w:lineRule="auto"/>
        <w:jc w:val="both"/>
        <w:rPr>
          <w:rFonts w:cs="Calibri"/>
          <w:b/>
          <w:bCs/>
        </w:rPr>
      </w:pPr>
      <w:r w:rsidRPr="006110FA">
        <w:rPr>
          <w:rFonts w:cs="Calibri"/>
          <w:b/>
          <w:bCs/>
          <w:rtl/>
        </w:rPr>
        <w:t xml:space="preserve">מדדי המניות המקומיים עלו ברבעון האחרון וצמצמו חלקית את ביצועי החסר שהצטברו מתחילת 2023 במונחים דולריים. למרות העליות, מחירי המניות בישראל עדיין נמוכים ביחס למדדי מניות בעולם במונחים דולריים, ונראה שהם עדיין מגלמים הערכת סיכונים גבוהה יחסית בישראל. </w:t>
      </w:r>
    </w:p>
    <w:p w:rsidR="006110FA" w:rsidRDefault="006110FA" w:rsidP="006110FA">
      <w:pPr>
        <w:pStyle w:val="ListParagraph"/>
        <w:numPr>
          <w:ilvl w:val="0"/>
          <w:numId w:val="8"/>
        </w:numPr>
        <w:bidi/>
        <w:spacing w:line="360" w:lineRule="auto"/>
        <w:jc w:val="both"/>
        <w:rPr>
          <w:rFonts w:cs="Calibri"/>
          <w:b/>
          <w:bCs/>
        </w:rPr>
      </w:pPr>
      <w:r w:rsidRPr="006110FA">
        <w:rPr>
          <w:rFonts w:cs="Calibri"/>
          <w:b/>
          <w:bCs/>
          <w:rtl/>
        </w:rPr>
        <w:t xml:space="preserve">מחירי הדירות המשיכו לעלות בתקופה הנסקרת, לאחר שעלייתם התחדשה במחצית הראשונה של השנה, לצד התאוששות בהיקף העסקות. שכר הדירה המשיך לעלות והוביל לייצוב ואף לירידה קלה ביחס בין מחיר הדירה לשכר הדירה. </w:t>
      </w:r>
    </w:p>
    <w:p w:rsidR="00D43E24" w:rsidRPr="006110FA" w:rsidRDefault="00D43E24" w:rsidP="00D43E24">
      <w:pPr>
        <w:pStyle w:val="ListParagraph"/>
        <w:numPr>
          <w:ilvl w:val="0"/>
          <w:numId w:val="8"/>
        </w:numPr>
        <w:bidi/>
        <w:spacing w:line="360" w:lineRule="auto"/>
        <w:jc w:val="both"/>
        <w:rPr>
          <w:rFonts w:cs="Calibri"/>
          <w:b/>
          <w:bCs/>
        </w:rPr>
      </w:pPr>
      <w:r>
        <w:rPr>
          <w:rFonts w:cs="Calibri" w:hint="cs"/>
          <w:b/>
          <w:bCs/>
          <w:rtl/>
        </w:rPr>
        <w:t xml:space="preserve">על רקע זאת, יחד עם ירידת </w:t>
      </w:r>
      <w:r w:rsidRPr="00D43E24">
        <w:rPr>
          <w:rFonts w:cs="Calibri"/>
          <w:b/>
          <w:bCs/>
          <w:rtl/>
        </w:rPr>
        <w:t>פוטנציאל ההשפעות השליליות על מחירי המניות</w:t>
      </w:r>
      <w:r>
        <w:rPr>
          <w:rFonts w:cs="Calibri" w:hint="cs"/>
          <w:b/>
          <w:bCs/>
          <w:rtl/>
        </w:rPr>
        <w:t>,</w:t>
      </w:r>
      <w:r w:rsidRPr="00D43E24">
        <w:rPr>
          <w:rFonts w:cs="Calibri"/>
          <w:b/>
          <w:bCs/>
          <w:rtl/>
        </w:rPr>
        <w:t xml:space="preserve"> עקב הטמעת הסיכונים</w:t>
      </w:r>
      <w:r>
        <w:rPr>
          <w:rFonts w:cs="Calibri" w:hint="cs"/>
          <w:b/>
          <w:bCs/>
          <w:rtl/>
        </w:rPr>
        <w:t>,</w:t>
      </w:r>
      <w:r w:rsidRPr="00D43E24">
        <w:rPr>
          <w:rFonts w:cs="Calibri"/>
          <w:b/>
          <w:bCs/>
          <w:rtl/>
        </w:rPr>
        <w:t xml:space="preserve"> פגיעותה של המערכת הפיננסית מערוץ מחירי הנכסים ירדה ביחס למחצית הראשונה של השנה לרמה בינונית-גבוהה.</w:t>
      </w:r>
    </w:p>
    <w:p w:rsidR="006110FA" w:rsidRPr="006110FA" w:rsidRDefault="006110FA" w:rsidP="00D43E24">
      <w:pPr>
        <w:pStyle w:val="ListParagraph"/>
        <w:numPr>
          <w:ilvl w:val="0"/>
          <w:numId w:val="8"/>
        </w:numPr>
        <w:bidi/>
        <w:spacing w:line="360" w:lineRule="auto"/>
        <w:jc w:val="both"/>
        <w:rPr>
          <w:rFonts w:cs="Calibri"/>
          <w:b/>
          <w:bCs/>
        </w:rPr>
      </w:pPr>
      <w:r w:rsidRPr="006110FA">
        <w:rPr>
          <w:rFonts w:cs="Calibri"/>
          <w:b/>
          <w:bCs/>
          <w:rtl/>
        </w:rPr>
        <w:lastRenderedPageBreak/>
        <w:t>שיעורי הפיגור בהחזרי האשראי נותרו יציבים ורמתם נמוכה בראייה היסטורית. במהלך התקופה הנסקרת גם ירדו הוצאות הבנקים להפסדי אשראי. על רקע זה, רמת הסיכון בערוץ האשראי התמתנה במחצית השנייה של 2024 לרמה בינונית-גבוהה.</w:t>
      </w:r>
    </w:p>
    <w:p w:rsidR="006110FA" w:rsidRPr="006110FA" w:rsidRDefault="006110FA" w:rsidP="006110FA">
      <w:pPr>
        <w:pStyle w:val="ListParagraph"/>
        <w:numPr>
          <w:ilvl w:val="0"/>
          <w:numId w:val="8"/>
        </w:numPr>
        <w:bidi/>
        <w:spacing w:line="360" w:lineRule="auto"/>
        <w:jc w:val="both"/>
        <w:rPr>
          <w:rFonts w:cs="Calibri"/>
          <w:b/>
          <w:bCs/>
        </w:rPr>
      </w:pPr>
      <w:r w:rsidRPr="006110FA">
        <w:rPr>
          <w:rFonts w:cs="Calibri"/>
          <w:b/>
          <w:bCs/>
          <w:rtl/>
        </w:rPr>
        <w:t xml:space="preserve">עמידות המוסדות הפיננסיים המרכזיים נותרה גבוהה; חל שיפור ביחסי ההון הן של הבנקים והן של חברות הביטוח, שהיו גבוהים עוד קודם. </w:t>
      </w:r>
    </w:p>
    <w:p w:rsidR="006110FA" w:rsidRPr="006110FA" w:rsidRDefault="006110FA" w:rsidP="001966CF">
      <w:pPr>
        <w:pStyle w:val="ListParagraph"/>
        <w:numPr>
          <w:ilvl w:val="0"/>
          <w:numId w:val="8"/>
        </w:numPr>
        <w:bidi/>
        <w:spacing w:line="360" w:lineRule="auto"/>
        <w:jc w:val="both"/>
        <w:rPr>
          <w:rFonts w:cs="Calibri"/>
          <w:b/>
          <w:bCs/>
        </w:rPr>
      </w:pPr>
      <w:r w:rsidRPr="006110FA">
        <w:rPr>
          <w:rFonts w:cs="Calibri"/>
          <w:b/>
          <w:bCs/>
          <w:rtl/>
        </w:rPr>
        <w:t>שני תרחישי סיכון למשק מתייחסים לפוטנציאל לפגיעה נוספת בערוץ המאקרו. התרחיש הראשון הינו המשך הסיכון הביטחוני שהתממש עם פרוץ מלחמת "חרבות ברזל". הוא מתייחס להחמרה במצב הגיאופוליטי המקומי. התרחיש השני עוסק באי-הוודאות הגבוהה בכלכלה העולמית, לצד תהליכים של דה-גלובליזציה וירידה בצמיחה הגלובלית.</w:t>
      </w:r>
    </w:p>
    <w:p w:rsidR="00740DB1" w:rsidRDefault="00740DB1" w:rsidP="006110FA">
      <w:pPr>
        <w:pStyle w:val="ListParagraph"/>
        <w:bidi/>
        <w:spacing w:line="360" w:lineRule="auto"/>
        <w:ind w:left="0"/>
        <w:jc w:val="both"/>
        <w:rPr>
          <w:rFonts w:eastAsiaTheme="majorEastAsia" w:cs="Calibri"/>
          <w:b/>
          <w:bCs/>
          <w:kern w:val="0"/>
          <w:rtl/>
        </w:rPr>
      </w:pPr>
    </w:p>
    <w:p w:rsidR="001966CF" w:rsidRPr="001966CF" w:rsidRDefault="001966CF" w:rsidP="00740DB1">
      <w:pPr>
        <w:pStyle w:val="ListParagraph"/>
        <w:bidi/>
        <w:spacing w:line="360" w:lineRule="auto"/>
        <w:ind w:left="0"/>
        <w:jc w:val="both"/>
        <w:rPr>
          <w:rFonts w:eastAsiaTheme="majorEastAsia" w:cs="Calibri"/>
          <w:b/>
          <w:bCs/>
          <w:kern w:val="0"/>
          <w:rtl/>
        </w:rPr>
      </w:pPr>
      <w:bookmarkStart w:id="2" w:name="_GoBack"/>
      <w:bookmarkEnd w:id="2"/>
      <w:r w:rsidRPr="001966CF">
        <w:rPr>
          <w:rFonts w:eastAsiaTheme="majorEastAsia" w:cs="Calibri"/>
          <w:b/>
          <w:bCs/>
          <w:kern w:val="0"/>
          <w:rtl/>
        </w:rPr>
        <w:t>רקע על הדו"ח</w:t>
      </w:r>
      <w:r w:rsidRPr="001966CF">
        <w:rPr>
          <w:rFonts w:eastAsiaTheme="majorEastAsia" w:cs="Calibri"/>
          <w:b/>
          <w:bCs/>
          <w:kern w:val="0"/>
        </w:rPr>
        <w:t>:</w:t>
      </w:r>
    </w:p>
    <w:p w:rsidR="00736380" w:rsidRPr="00EC2F77" w:rsidRDefault="00736380" w:rsidP="001966CF">
      <w:pPr>
        <w:pStyle w:val="ListParagraph"/>
        <w:bidi/>
        <w:spacing w:line="360" w:lineRule="auto"/>
        <w:ind w:left="0"/>
        <w:jc w:val="both"/>
        <w:rPr>
          <w:rFonts w:cs="Calibri"/>
          <w:rtl/>
        </w:rPr>
      </w:pPr>
      <w:r w:rsidRPr="00EC2F77">
        <w:rPr>
          <w:rFonts w:cs="Calibri"/>
          <w:rtl/>
        </w:rPr>
        <w:t>בדוח זה מבטאים כלכלני הבנק את הערכתם בעניין החשיפות לסיכונים העיקריים הנשקפים למערכת הפיננסית, מנתחים את החשיפות העיקריות ומעריכים תרחישי סיכון פוטנציאליים. ההערכות והניתוחים מתבססים על סקירת ההתפתחויות בתקופה הנסקרת, בחינת השינויים המבניים, שימוש במודלים אנליטיים והערכה של תנאי הרקע בכלכלות העולמיות והמקומית. הדוח מתאר את ההשפעה של התממשות תרחישי סיכון על המערכת הפיננסית בטווחים הקצר והבינוני, במטרה להגביר את המודעות להם בקרב קובעי המדיניות ובציבור הרחב ולאפשר היערכות מתאימה</w:t>
      </w:r>
      <w:r w:rsidRPr="00EC2F77">
        <w:rPr>
          <w:rFonts w:cs="Calibri"/>
        </w:rPr>
        <w:t>.</w:t>
      </w:r>
    </w:p>
    <w:p w:rsidR="00736380" w:rsidRPr="001966CF" w:rsidRDefault="001966CF" w:rsidP="006110FA">
      <w:pPr>
        <w:spacing w:after="240" w:line="360" w:lineRule="auto"/>
        <w:jc w:val="both"/>
        <w:rPr>
          <w:rFonts w:ascii="Calibri" w:eastAsia="Calibri" w:hAnsi="Calibri" w:cs="Calibri"/>
          <w:b/>
          <w:bCs/>
          <w:kern w:val="2"/>
          <w:sz w:val="24"/>
          <w:szCs w:val="24"/>
        </w:rPr>
      </w:pPr>
      <w:r w:rsidRPr="001966CF">
        <w:rPr>
          <w:rFonts w:ascii="Calibri" w:eastAsia="Calibri" w:hAnsi="Calibri" w:cs="Calibri"/>
          <w:b/>
          <w:bCs/>
          <w:kern w:val="2"/>
          <w:sz w:val="24"/>
          <w:szCs w:val="24"/>
          <w:rtl/>
        </w:rPr>
        <w:t>החל משנת 2025, הדוח יפורסם במתכונת שנתית במקום חצי שנתית</w:t>
      </w:r>
      <w:r>
        <w:rPr>
          <w:rFonts w:ascii="Calibri" w:eastAsia="Calibri" w:hAnsi="Calibri" w:cs="Calibri" w:hint="cs"/>
          <w:b/>
          <w:bCs/>
          <w:kern w:val="2"/>
          <w:sz w:val="24"/>
          <w:szCs w:val="24"/>
          <w:rtl/>
        </w:rPr>
        <w:t xml:space="preserve">. </w:t>
      </w:r>
    </w:p>
    <w:p w:rsidR="00116F0C" w:rsidRPr="00EC2F77" w:rsidRDefault="00116F0C" w:rsidP="00C34632">
      <w:pPr>
        <w:spacing w:after="200" w:line="360" w:lineRule="auto"/>
        <w:ind w:left="720"/>
        <w:contextualSpacing/>
        <w:jc w:val="both"/>
        <w:rPr>
          <w:rFonts w:ascii="Calibri" w:hAnsi="Calibri" w:cs="Calibri"/>
          <w:sz w:val="24"/>
          <w:szCs w:val="24"/>
        </w:rPr>
      </w:pPr>
    </w:p>
    <w:sectPr w:rsidR="00116F0C" w:rsidRPr="00EC2F77" w:rsidSect="00B30CA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51" w:rsidRDefault="00707451" w:rsidP="00D8598E">
      <w:pPr>
        <w:spacing w:after="0" w:line="240" w:lineRule="auto"/>
      </w:pPr>
      <w:r>
        <w:separator/>
      </w:r>
    </w:p>
  </w:endnote>
  <w:endnote w:type="continuationSeparator" w:id="0">
    <w:p w:rsidR="00707451" w:rsidRDefault="00707451" w:rsidP="00D8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6A" w:rsidRDefault="0007016A" w:rsidP="001A6D01">
    <w:pPr>
      <w:pStyle w:val="Footer"/>
      <w:jc w:val="both"/>
      <w:rPr>
        <w:rtl/>
      </w:rPr>
    </w:pPr>
    <w:r>
      <w:rPr>
        <w:noProof/>
      </w:rPr>
      <mc:AlternateContent>
        <mc:Choice Requires="wps">
          <w:drawing>
            <wp:anchor distT="0" distB="0" distL="114300" distR="114300" simplePos="0" relativeHeight="251659264" behindDoc="0" locked="0" layoutInCell="1" allowOverlap="1" wp14:anchorId="4FC35BE0" wp14:editId="14A88F92">
              <wp:simplePos x="0" y="0"/>
              <wp:positionH relativeFrom="column">
                <wp:posOffset>4607916</wp:posOffset>
              </wp:positionH>
              <wp:positionV relativeFrom="paragraph">
                <wp:posOffset>81584</wp:posOffset>
              </wp:positionV>
              <wp:extent cx="1535430" cy="457200"/>
              <wp:effectExtent l="0" t="0" r="0" b="0"/>
              <wp:wrapNone/>
              <wp:docPr id="2"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07016A" w:rsidRPr="00B677DC" w:rsidRDefault="0007016A" w:rsidP="001A6D01">
                          <w:pPr>
                            <w:jc w:val="center"/>
                            <w:rPr>
                              <w:rFonts w:cstheme="minorHAnsi"/>
                              <w:sz w:val="16"/>
                              <w:szCs w:val="16"/>
                              <w:rtl/>
                            </w:rPr>
                          </w:pPr>
                          <w:r w:rsidRPr="00B677DC">
                            <w:rPr>
                              <w:rFonts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C35BE0"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" filled="f" stroked="f" strokeweight=".5pt">
              <v:textbox>
                <w:txbxContent>
                  <w:p w:rsidR="0007016A" w:rsidRPr="00B677DC" w:rsidRDefault="0007016A" w:rsidP="001A6D01">
                    <w:pPr>
                      <w:jc w:val="center"/>
                      <w:rPr>
                        <w:rFonts w:cstheme="minorHAnsi"/>
                        <w:sz w:val="16"/>
                        <w:szCs w:val="16"/>
                        <w:rtl/>
                      </w:rPr>
                    </w:pPr>
                    <w:r w:rsidRPr="00B677DC">
                      <w:rPr>
                        <w:rFonts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4384" behindDoc="0" locked="0" layoutInCell="1" allowOverlap="1" wp14:anchorId="21989CCC" wp14:editId="76C3FFE5">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83CE076" wp14:editId="327BFAD7">
              <wp:simplePos x="0" y="0"/>
              <wp:positionH relativeFrom="column">
                <wp:posOffset>2796692</wp:posOffset>
              </wp:positionH>
              <wp:positionV relativeFrom="paragraph">
                <wp:posOffset>118796</wp:posOffset>
              </wp:positionV>
              <wp:extent cx="2181860" cy="457200"/>
              <wp:effectExtent l="0" t="0" r="0" b="0"/>
              <wp:wrapNone/>
              <wp:docPr id="4"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07016A" w:rsidRPr="00B677DC" w:rsidRDefault="0007016A" w:rsidP="001A6D01">
                          <w:pPr>
                            <w:jc w:val="center"/>
                            <w:rPr>
                              <w:rFonts w:cstheme="minorHAnsi"/>
                              <w:sz w:val="14"/>
                              <w:szCs w:val="14"/>
                              <w:rtl/>
                            </w:rPr>
                          </w:pPr>
                          <w:r w:rsidRPr="00B677DC">
                            <w:rPr>
                              <w:rFonts w:hint="cs"/>
                              <w:noProof/>
                              <w:sz w:val="16"/>
                              <w:szCs w:val="16"/>
                              <w:rtl/>
                            </w:rPr>
                            <w:t xml:space="preserve">עמוד הפייסבוק של בנק ישראל </w:t>
                          </w:r>
                          <w:r w:rsidRPr="00B677DC">
                            <w:rPr>
                              <w:rFonts w:cs="Calibri"/>
                              <w:noProof/>
                              <w:sz w:val="16"/>
                              <w:szCs w:val="16"/>
                              <w:rtl/>
                            </w:rPr>
                            <w:t>–</w:t>
                          </w:r>
                          <w:r w:rsidRPr="00B677DC">
                            <w:rPr>
                              <w:rFonts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3CE076" id="תיבת טקסט 2"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DA0pvPRAIA&#10;AGEEAAAOAAAAAAAAAAAAAAAAAC4CAABkcnMvZTJvRG9jLnhtbFBLAQItABQABgAIAAAAIQDjpQOC&#10;4AAAAAkBAAAPAAAAAAAAAAAAAAAAAJ4EAABkcnMvZG93bnJldi54bWxQSwUGAAAAAAQABADzAAAA&#10;qwUAAAAA&#10;" filled="f" stroked="f" strokeweight=".5pt">
              <v:textbox>
                <w:txbxContent>
                  <w:p w:rsidR="0007016A" w:rsidRPr="00B677DC" w:rsidRDefault="0007016A" w:rsidP="001A6D01">
                    <w:pPr>
                      <w:jc w:val="center"/>
                      <w:rPr>
                        <w:rFonts w:cstheme="minorHAnsi"/>
                        <w:sz w:val="14"/>
                        <w:szCs w:val="14"/>
                        <w:rtl/>
                      </w:rPr>
                    </w:pPr>
                    <w:r w:rsidRPr="00B677DC">
                      <w:rPr>
                        <w:rFonts w:hint="cs"/>
                        <w:noProof/>
                        <w:sz w:val="16"/>
                        <w:szCs w:val="16"/>
                        <w:rtl/>
                      </w:rPr>
                      <w:t xml:space="preserve">עמוד הפייסבוק של בנק ישראל </w:t>
                    </w:r>
                    <w:r w:rsidRPr="00B677DC">
                      <w:rPr>
                        <w:rFonts w:cs="Calibri"/>
                        <w:noProof/>
                        <w:sz w:val="16"/>
                        <w:szCs w:val="16"/>
                        <w:rtl/>
                      </w:rPr>
                      <w:t>–</w:t>
                    </w:r>
                    <w:r w:rsidRPr="00B677DC">
                      <w:rPr>
                        <w:rFonts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5952DA21" wp14:editId="5A86FD87">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7B90035" wp14:editId="5F49B4C3">
              <wp:simplePos x="0" y="0"/>
              <wp:positionH relativeFrom="margin">
                <wp:posOffset>1013562</wp:posOffset>
              </wp:positionH>
              <wp:positionV relativeFrom="paragraph">
                <wp:posOffset>150520</wp:posOffset>
              </wp:positionV>
              <wp:extent cx="2129790" cy="621030"/>
              <wp:effectExtent l="0" t="0" r="0" b="7620"/>
              <wp:wrapNone/>
              <wp:docPr id="5"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07016A" w:rsidRPr="00B677DC" w:rsidRDefault="0007016A" w:rsidP="001A6D01">
                          <w:pPr>
                            <w:jc w:val="center"/>
                            <w:rPr>
                              <w:rFonts w:cstheme="minorHAnsi"/>
                              <w:sz w:val="16"/>
                              <w:szCs w:val="16"/>
                              <w:rtl/>
                            </w:rPr>
                          </w:pPr>
                          <w:r w:rsidRPr="00B677DC">
                            <w:rPr>
                              <w:rFonts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90035" id="תיבת טקסט 3"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" filled="f" stroked="f" strokeweight=".5pt">
              <v:textbox>
                <w:txbxContent>
                  <w:p w:rsidR="0007016A" w:rsidRPr="00B677DC" w:rsidRDefault="0007016A" w:rsidP="001A6D01">
                    <w:pPr>
                      <w:jc w:val="center"/>
                      <w:rPr>
                        <w:rFonts w:cstheme="minorHAnsi"/>
                        <w:sz w:val="16"/>
                        <w:szCs w:val="16"/>
                        <w:rtl/>
                      </w:rPr>
                    </w:pPr>
                    <w:r w:rsidRPr="00B677DC">
                      <w:rPr>
                        <w:rFonts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29A88FEE" wp14:editId="42A6774D">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73B96A6" wp14:editId="140F1155">
              <wp:simplePos x="0" y="0"/>
              <wp:positionH relativeFrom="margin">
                <wp:posOffset>-811480</wp:posOffset>
              </wp:positionH>
              <wp:positionV relativeFrom="paragraph">
                <wp:posOffset>149250</wp:posOffset>
              </wp:positionV>
              <wp:extent cx="2130281" cy="621030"/>
              <wp:effectExtent l="0" t="0" r="0" b="7620"/>
              <wp:wrapNone/>
              <wp:docPr id="7"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07016A" w:rsidRPr="00F20046" w:rsidRDefault="0007016A" w:rsidP="001A6D01">
                          <w:pPr>
                            <w:jc w:val="center"/>
                            <w:rPr>
                              <w:rFonts w:cs="Calibri"/>
                              <w:noProof/>
                              <w:sz w:val="16"/>
                              <w:szCs w:val="16"/>
                              <w:rtl/>
                            </w:rPr>
                          </w:pPr>
                          <w:r>
                            <w:rPr>
                              <w:rFonts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B96A6" id="תיבת טקסט 4"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Bu&#10;VYyTSAIAAGEEAAAOAAAAAAAAAAAAAAAAAC4CAABkcnMvZTJvRG9jLnhtbFBLAQItABQABgAIAAAA&#10;IQBu/Md84gAAAAsBAAAPAAAAAAAAAAAAAAAAAKIEAABkcnMvZG93bnJldi54bWxQSwUGAAAAAAQA&#10;BADzAAAAsQUAAAAA&#10;" filled="f" stroked="f" strokeweight=".5pt">
              <v:textbox>
                <w:txbxContent>
                  <w:p w:rsidR="0007016A" w:rsidRPr="00F20046" w:rsidRDefault="0007016A" w:rsidP="001A6D01">
                    <w:pPr>
                      <w:jc w:val="center"/>
                      <w:rPr>
                        <w:rFonts w:cs="Calibri"/>
                        <w:noProof/>
                        <w:sz w:val="16"/>
                        <w:szCs w:val="16"/>
                        <w:rtl/>
                      </w:rPr>
                    </w:pPr>
                    <w:r>
                      <w:rPr>
                        <w:rFonts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2118B81B" wp14:editId="4C5BAF90">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46AF349" wp14:editId="46043EC4">
              <wp:simplePos x="0" y="0"/>
              <wp:positionH relativeFrom="column">
                <wp:posOffset>-81915</wp:posOffset>
              </wp:positionH>
              <wp:positionV relativeFrom="paragraph">
                <wp:posOffset>-223149</wp:posOffset>
              </wp:positionV>
              <wp:extent cx="6228080" cy="0"/>
              <wp:effectExtent l="0" t="0" r="20320" b="19050"/>
              <wp:wrapNone/>
              <wp:docPr id="8"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8AB489" id="מחבר ישר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" strokecolor="black [3200]" strokeweight=".5pt">
              <v:stroke joinstyle="miter"/>
            </v:line>
          </w:pict>
        </mc:Fallback>
      </mc:AlternateContent>
    </w:r>
  </w:p>
  <w:p w:rsidR="0007016A" w:rsidRDefault="0007016A">
    <w:pPr>
      <w:pStyle w:val="Footer"/>
    </w:pPr>
  </w:p>
  <w:p w:rsidR="00D8598E" w:rsidRDefault="00D8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51" w:rsidRDefault="00707451" w:rsidP="00D8598E">
      <w:pPr>
        <w:spacing w:after="0" w:line="240" w:lineRule="auto"/>
      </w:pPr>
      <w:r>
        <w:separator/>
      </w:r>
    </w:p>
  </w:footnote>
  <w:footnote w:type="continuationSeparator" w:id="0">
    <w:p w:rsidR="00707451" w:rsidRDefault="00707451" w:rsidP="00D85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7244"/>
    <w:multiLevelType w:val="hybridMultilevel"/>
    <w:tmpl w:val="D0144104"/>
    <w:lvl w:ilvl="0" w:tplc="18CEF1C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40C"/>
    <w:multiLevelType w:val="hybridMultilevel"/>
    <w:tmpl w:val="E5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35360"/>
    <w:multiLevelType w:val="hybridMultilevel"/>
    <w:tmpl w:val="8158A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BA5E95"/>
    <w:multiLevelType w:val="hybridMultilevel"/>
    <w:tmpl w:val="B82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35677"/>
    <w:multiLevelType w:val="hybridMultilevel"/>
    <w:tmpl w:val="C41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36297"/>
    <w:multiLevelType w:val="hybridMultilevel"/>
    <w:tmpl w:val="6332FB30"/>
    <w:lvl w:ilvl="0" w:tplc="80DAC3A0">
      <w:start w:val="20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01B18"/>
    <w:multiLevelType w:val="hybridMultilevel"/>
    <w:tmpl w:val="7C94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E2804"/>
    <w:multiLevelType w:val="hybridMultilevel"/>
    <w:tmpl w:val="9F9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0C"/>
    <w:rsid w:val="0007016A"/>
    <w:rsid w:val="00116F0C"/>
    <w:rsid w:val="001966CF"/>
    <w:rsid w:val="0026017C"/>
    <w:rsid w:val="002E6766"/>
    <w:rsid w:val="003D4B79"/>
    <w:rsid w:val="00462526"/>
    <w:rsid w:val="0054188D"/>
    <w:rsid w:val="006110FA"/>
    <w:rsid w:val="006326FF"/>
    <w:rsid w:val="00707451"/>
    <w:rsid w:val="00736380"/>
    <w:rsid w:val="00740DB1"/>
    <w:rsid w:val="007D6F17"/>
    <w:rsid w:val="00904320"/>
    <w:rsid w:val="00920B9F"/>
    <w:rsid w:val="00934634"/>
    <w:rsid w:val="009C4D23"/>
    <w:rsid w:val="00A54D23"/>
    <w:rsid w:val="00AA7945"/>
    <w:rsid w:val="00B30CA0"/>
    <w:rsid w:val="00B75FF3"/>
    <w:rsid w:val="00BE294D"/>
    <w:rsid w:val="00C10936"/>
    <w:rsid w:val="00C34632"/>
    <w:rsid w:val="00CD296C"/>
    <w:rsid w:val="00D11BBA"/>
    <w:rsid w:val="00D43E24"/>
    <w:rsid w:val="00D8598E"/>
    <w:rsid w:val="00E41DD1"/>
    <w:rsid w:val="00E63FE7"/>
    <w:rsid w:val="00EC2F77"/>
    <w:rsid w:val="00EE4846"/>
    <w:rsid w:val="00EF462A"/>
    <w:rsid w:val="00F202FC"/>
    <w:rsid w:val="00FB4C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C12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9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598E"/>
  </w:style>
  <w:style w:type="paragraph" w:styleId="Footer">
    <w:name w:val="footer"/>
    <w:basedOn w:val="Normal"/>
    <w:link w:val="FooterChar"/>
    <w:uiPriority w:val="99"/>
    <w:unhideWhenUsed/>
    <w:rsid w:val="00D859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598E"/>
  </w:style>
  <w:style w:type="paragraph" w:styleId="BalloonText">
    <w:name w:val="Balloon Text"/>
    <w:basedOn w:val="Normal"/>
    <w:link w:val="BalloonTextChar"/>
    <w:uiPriority w:val="99"/>
    <w:semiHidden/>
    <w:unhideWhenUsed/>
    <w:rsid w:val="0026017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6017C"/>
    <w:rPr>
      <w:rFonts w:ascii="Tahoma" w:hAnsi="Tahoma" w:cs="Tahoma"/>
      <w:sz w:val="18"/>
      <w:szCs w:val="18"/>
    </w:rPr>
  </w:style>
  <w:style w:type="paragraph" w:customStyle="1" w:styleId="-">
    <w:name w:val="טקסט רגיל - תכנון מוניטרי"/>
    <w:basedOn w:val="Normal"/>
    <w:link w:val="-0"/>
    <w:qFormat/>
    <w:rsid w:val="00C34632"/>
    <w:pPr>
      <w:spacing w:after="120" w:line="360" w:lineRule="auto"/>
      <w:jc w:val="both"/>
    </w:pPr>
    <w:rPr>
      <w:rFonts w:cs="David"/>
      <w:szCs w:val="24"/>
    </w:rPr>
  </w:style>
  <w:style w:type="character" w:customStyle="1" w:styleId="-0">
    <w:name w:val="טקסט רגיל - תכנון מוניטרי תו"/>
    <w:basedOn w:val="DefaultParagraphFont"/>
    <w:link w:val="-"/>
    <w:rsid w:val="00C34632"/>
    <w:rPr>
      <w:rFonts w:cs="David"/>
      <w:szCs w:val="24"/>
    </w:rPr>
  </w:style>
  <w:style w:type="paragraph" w:styleId="ListParagraph">
    <w:name w:val="List Paragraph"/>
    <w:basedOn w:val="Normal"/>
    <w:link w:val="ListParagraphChar"/>
    <w:uiPriority w:val="34"/>
    <w:qFormat/>
    <w:rsid w:val="00920B9F"/>
    <w:pPr>
      <w:bidi w:val="0"/>
      <w:spacing w:after="0" w:line="240" w:lineRule="auto"/>
      <w:ind w:left="720"/>
      <w:contextualSpacing/>
    </w:pPr>
    <w:rPr>
      <w:rFonts w:ascii="Calibri" w:eastAsia="Calibri" w:hAnsi="Calibri" w:cs="Arial"/>
      <w:kern w:val="2"/>
      <w:sz w:val="24"/>
      <w:szCs w:val="24"/>
    </w:rPr>
  </w:style>
  <w:style w:type="character" w:customStyle="1" w:styleId="ListParagraphChar">
    <w:name w:val="List Paragraph Char"/>
    <w:link w:val="ListParagraph"/>
    <w:uiPriority w:val="34"/>
    <w:locked/>
    <w:rsid w:val="00920B9F"/>
    <w:rPr>
      <w:rFonts w:ascii="Calibri" w:eastAsia="Calibri" w:hAnsi="Calibri" w:cs="Arial"/>
      <w:kern w:val="2"/>
      <w:sz w:val="24"/>
      <w:szCs w:val="24"/>
    </w:rPr>
  </w:style>
  <w:style w:type="character" w:styleId="Strong">
    <w:name w:val="Strong"/>
    <w:basedOn w:val="DefaultParagraphFont"/>
    <w:uiPriority w:val="22"/>
    <w:qFormat/>
    <w:rsid w:val="001966CF"/>
    <w:rPr>
      <w:b/>
      <w:bCs/>
    </w:rPr>
  </w:style>
  <w:style w:type="character" w:styleId="Hyperlink">
    <w:name w:val="Hyperlink"/>
    <w:basedOn w:val="DefaultParagraphFont"/>
    <w:uiPriority w:val="99"/>
    <w:unhideWhenUsed/>
    <w:rsid w:val="00070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524C5-8BE1-41A7-B7C7-8F7108A8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85DBA-10CC-4D86-AB79-DF28EC846C0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microsoft.com/sharepoint/v3/field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DE1EB0-BD00-4773-A2EF-0B817915F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2453</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2025-02-11T08:12:00Z</dcterms:created>
  <dcterms:modified xsi:type="dcterms:W3CDTF">2025-02-11T08:18:00Z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