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B5" w:rsidRPr="00D01F07" w:rsidRDefault="00DD0AB5" w:rsidP="00A60E0E">
      <w:pPr>
        <w:pStyle w:val="regpar"/>
        <w:spacing w:line="300" w:lineRule="atLeast"/>
        <w:ind w:firstLine="0"/>
        <w:jc w:val="center"/>
        <w:rPr>
          <w:rFonts w:ascii="Calibri" w:hAnsi="Calibri" w:cs="Calibri"/>
          <w:b/>
        </w:rPr>
      </w:pPr>
    </w:p>
    <w:p w:rsidR="00D01F07" w:rsidRPr="00D01F07" w:rsidRDefault="00D01F07" w:rsidP="00D01F07">
      <w:pPr>
        <w:rPr>
          <w:rFonts w:ascii="Calibri" w:hAnsi="Calibri" w:cs="Calibri"/>
          <w:b/>
          <w:bCs/>
          <w:sz w:val="26"/>
          <w:szCs w:val="26"/>
          <w:rtl/>
        </w:rPr>
      </w:pPr>
    </w:p>
    <w:p w:rsidR="00D01F07" w:rsidRPr="00D01F07" w:rsidRDefault="00D01F07" w:rsidP="00D01F07">
      <w:pPr>
        <w:rPr>
          <w:rFonts w:ascii="Calibri" w:hAnsi="Calibri" w:cs="Calibri"/>
          <w:b/>
          <w:bCs/>
          <w:sz w:val="26"/>
          <w:szCs w:val="26"/>
          <w:rtl/>
        </w:rPr>
      </w:pPr>
    </w:p>
    <w:p w:rsidR="00D01F07" w:rsidRPr="00D01F07" w:rsidRDefault="00D01F07" w:rsidP="00D01F07">
      <w:pPr>
        <w:rPr>
          <w:rFonts w:ascii="Calibri" w:hAnsi="Calibri" w:cs="Calibri"/>
          <w:b/>
          <w:bCs/>
          <w:sz w:val="26"/>
          <w:szCs w:val="26"/>
          <w:rtl/>
        </w:rPr>
      </w:pPr>
    </w:p>
    <w:p w:rsidR="00D01F07" w:rsidRPr="00D01F07" w:rsidRDefault="00D01F07" w:rsidP="00D01F07">
      <w:pPr>
        <w:spacing w:line="300" w:lineRule="atLeast"/>
        <w:rPr>
          <w:rFonts w:ascii="Calibri" w:hAnsi="Calibri" w:cs="Calibri"/>
          <w:bCs/>
        </w:rPr>
      </w:pPr>
      <w:r w:rsidRPr="00D01F07">
        <w:rPr>
          <w:rFonts w:ascii="Calibri" w:hAnsi="Calibri" w:cs="Calibri"/>
          <w:noProof/>
        </w:rPr>
        <w:drawing>
          <wp:anchor distT="0" distB="0" distL="114300" distR="114300" simplePos="0" relativeHeight="251659264" behindDoc="0" locked="0" layoutInCell="1" allowOverlap="1" wp14:anchorId="1A0B7C58" wp14:editId="45AE0C24">
            <wp:simplePos x="0" y="0"/>
            <wp:positionH relativeFrom="margin">
              <wp:align>center</wp:align>
            </wp:positionH>
            <wp:positionV relativeFrom="paragraph">
              <wp:posOffset>-601585</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1F07" w:rsidRPr="00D01F07" w:rsidRDefault="00D01F07" w:rsidP="00D01F07">
      <w:pPr>
        <w:spacing w:line="300" w:lineRule="atLeast"/>
        <w:rPr>
          <w:rFonts w:ascii="Calibri" w:hAnsi="Calibri" w:cs="Calibri"/>
          <w:bCs/>
        </w:rPr>
      </w:pPr>
    </w:p>
    <w:p w:rsidR="00D01F07" w:rsidRPr="00D01F07" w:rsidRDefault="00D01F07" w:rsidP="00D01F07">
      <w:pPr>
        <w:spacing w:line="300" w:lineRule="atLeast"/>
        <w:jc w:val="center"/>
        <w:rPr>
          <w:rFonts w:ascii="Calibri" w:hAnsi="Calibri" w:cs="Calibri"/>
          <w:bCs/>
        </w:rPr>
      </w:pPr>
      <w:r w:rsidRPr="00D01F07">
        <w:rPr>
          <w:rFonts w:ascii="Calibri" w:hAnsi="Calibri" w:cs="Calibri"/>
          <w:bCs/>
        </w:rPr>
        <w:t>BANK OF ISRAEL</w:t>
      </w:r>
    </w:p>
    <w:p w:rsidR="00D01F07" w:rsidRPr="00D01F07" w:rsidRDefault="00D01F07" w:rsidP="00D01F07">
      <w:pPr>
        <w:spacing w:line="300" w:lineRule="atLeast"/>
        <w:jc w:val="center"/>
        <w:rPr>
          <w:rFonts w:ascii="Calibri" w:hAnsi="Calibri" w:cs="Calibri"/>
        </w:rPr>
      </w:pPr>
      <w:r w:rsidRPr="00D01F07">
        <w:rPr>
          <w:rFonts w:ascii="Calibri" w:hAnsi="Calibri" w:cs="Calibri"/>
        </w:rPr>
        <w:t>Office of the Spokesperson and Economic Information</w:t>
      </w:r>
    </w:p>
    <w:p w:rsidR="00D01F07" w:rsidRPr="00D01F07" w:rsidRDefault="00D01F07" w:rsidP="00D01F07">
      <w:pPr>
        <w:pStyle w:val="Letterhead2"/>
        <w:tabs>
          <w:tab w:val="center" w:pos="5174"/>
          <w:tab w:val="left" w:pos="9088"/>
        </w:tabs>
        <w:rPr>
          <w:rFonts w:ascii="Calibri" w:hAnsi="Calibri" w:cs="Calibri"/>
          <w:sz w:val="24"/>
          <w:szCs w:val="24"/>
        </w:rPr>
      </w:pPr>
    </w:p>
    <w:p w:rsidR="00D01F07" w:rsidRPr="00D01F07" w:rsidRDefault="00D01F07" w:rsidP="00884946">
      <w:pPr>
        <w:pStyle w:val="regpar"/>
        <w:jc w:val="right"/>
        <w:rPr>
          <w:rFonts w:ascii="Calibri" w:hAnsi="Calibri" w:cs="Calibri"/>
        </w:rPr>
      </w:pPr>
    </w:p>
    <w:p w:rsidR="00D01F07" w:rsidRPr="00D01F07" w:rsidRDefault="00D01F07" w:rsidP="00884946">
      <w:pPr>
        <w:pStyle w:val="regpar"/>
        <w:jc w:val="right"/>
        <w:rPr>
          <w:rFonts w:ascii="Calibri" w:hAnsi="Calibri" w:cs="Calibri"/>
        </w:rPr>
      </w:pPr>
    </w:p>
    <w:p w:rsidR="00F23C43" w:rsidRPr="00D01F07" w:rsidRDefault="008C7B14" w:rsidP="00884946">
      <w:pPr>
        <w:pStyle w:val="regpar"/>
        <w:jc w:val="right"/>
        <w:rPr>
          <w:rFonts w:ascii="Calibri" w:hAnsi="Calibri" w:cs="Calibri"/>
        </w:rPr>
      </w:pPr>
      <w:r w:rsidRPr="00D01F07">
        <w:rPr>
          <w:rFonts w:ascii="Calibri" w:hAnsi="Calibri" w:cs="Calibri"/>
        </w:rPr>
        <w:t>January 28</w:t>
      </w:r>
      <w:r w:rsidR="00514DB6" w:rsidRPr="00D01F07">
        <w:rPr>
          <w:rFonts w:ascii="Calibri" w:hAnsi="Calibri" w:cs="Calibri"/>
        </w:rPr>
        <w:t xml:space="preserve">, </w:t>
      </w:r>
      <w:r w:rsidR="00884946" w:rsidRPr="00D01F07">
        <w:rPr>
          <w:rFonts w:ascii="Calibri" w:hAnsi="Calibri" w:cs="Calibri"/>
        </w:rPr>
        <w:t>2025</w:t>
      </w:r>
    </w:p>
    <w:p w:rsidR="00650B9A" w:rsidRPr="00D01F07" w:rsidRDefault="00650B9A" w:rsidP="00D01F07">
      <w:pPr>
        <w:tabs>
          <w:tab w:val="center" w:pos="4156"/>
          <w:tab w:val="right" w:pos="8312"/>
        </w:tabs>
        <w:jc w:val="center"/>
        <w:rPr>
          <w:rFonts w:ascii="Calibri" w:hAnsi="Calibri" w:cs="Calibri"/>
        </w:rPr>
      </w:pPr>
      <w:r w:rsidRPr="00D01F07">
        <w:rPr>
          <w:rFonts w:ascii="Calibri" w:hAnsi="Calibri" w:cs="Calibri"/>
        </w:rPr>
        <w:t>Press Release</w:t>
      </w:r>
      <w:r w:rsidR="00D01F07">
        <w:rPr>
          <w:rFonts w:ascii="Calibri" w:hAnsi="Calibri" w:cs="Calibri"/>
        </w:rPr>
        <w:t>:</w:t>
      </w:r>
    </w:p>
    <w:p w:rsidR="00DD0AB5" w:rsidRPr="00D01F07" w:rsidRDefault="00DD0AB5" w:rsidP="00DD0AB5">
      <w:pPr>
        <w:pStyle w:val="regpar"/>
        <w:rPr>
          <w:rFonts w:ascii="Calibri" w:hAnsi="Calibri" w:cs="Calibri"/>
        </w:rPr>
      </w:pPr>
    </w:p>
    <w:p w:rsidR="00A2557F" w:rsidRPr="00D01F07" w:rsidRDefault="00EB22BD" w:rsidP="00514DB6">
      <w:pPr>
        <w:pStyle w:val="regpar"/>
        <w:ind w:firstLine="0"/>
        <w:jc w:val="center"/>
        <w:rPr>
          <w:rFonts w:ascii="Calibri" w:hAnsi="Calibri" w:cs="Calibri"/>
          <w:b/>
          <w:bCs/>
          <w:sz w:val="32"/>
          <w:szCs w:val="32"/>
        </w:rPr>
      </w:pPr>
      <w:bookmarkStart w:id="0" w:name="_GoBack"/>
      <w:r w:rsidRPr="00D01F07">
        <w:rPr>
          <w:rFonts w:ascii="Calibri" w:hAnsi="Calibri" w:cs="Calibri"/>
          <w:b/>
          <w:bCs/>
          <w:sz w:val="32"/>
          <w:szCs w:val="32"/>
        </w:rPr>
        <w:t>The Bank of Israel publishe</w:t>
      </w:r>
      <w:r w:rsidR="00445085" w:rsidRPr="00D01F07">
        <w:rPr>
          <w:rFonts w:ascii="Calibri" w:hAnsi="Calibri" w:cs="Calibri"/>
          <w:b/>
          <w:bCs/>
          <w:sz w:val="32"/>
          <w:szCs w:val="32"/>
        </w:rPr>
        <w:t>s</w:t>
      </w:r>
      <w:r w:rsidRPr="00D01F07">
        <w:rPr>
          <w:rFonts w:ascii="Calibri" w:hAnsi="Calibri" w:cs="Calibri"/>
          <w:b/>
          <w:bCs/>
          <w:sz w:val="32"/>
          <w:szCs w:val="32"/>
        </w:rPr>
        <w:t xml:space="preserve"> its work plan and budget for </w:t>
      </w:r>
      <w:r w:rsidR="00445085" w:rsidRPr="00D01F07">
        <w:rPr>
          <w:rFonts w:ascii="Calibri" w:hAnsi="Calibri" w:cs="Calibri"/>
          <w:b/>
          <w:bCs/>
          <w:sz w:val="32"/>
          <w:szCs w:val="32"/>
        </w:rPr>
        <w:t>202</w:t>
      </w:r>
      <w:r w:rsidR="00514DB6" w:rsidRPr="00D01F07">
        <w:rPr>
          <w:rFonts w:ascii="Calibri" w:hAnsi="Calibri" w:cs="Calibri"/>
          <w:b/>
          <w:bCs/>
          <w:sz w:val="32"/>
          <w:szCs w:val="32"/>
        </w:rPr>
        <w:t>5</w:t>
      </w:r>
    </w:p>
    <w:bookmarkEnd w:id="0"/>
    <w:p w:rsidR="00901F1C" w:rsidRPr="00D01F07" w:rsidRDefault="00901F1C" w:rsidP="00514DB6">
      <w:pPr>
        <w:pStyle w:val="regpar"/>
        <w:ind w:firstLine="0"/>
        <w:jc w:val="right"/>
        <w:rPr>
          <w:rFonts w:ascii="Calibri" w:hAnsi="Calibri" w:cs="Calibri"/>
        </w:rPr>
      </w:pPr>
    </w:p>
    <w:p w:rsidR="00687F53" w:rsidRPr="00D01F07" w:rsidRDefault="000F755D" w:rsidP="00514DB6">
      <w:pPr>
        <w:pStyle w:val="regpar"/>
        <w:ind w:firstLine="0"/>
        <w:rPr>
          <w:rFonts w:ascii="Calibri" w:hAnsi="Calibri" w:cs="Calibri"/>
        </w:rPr>
      </w:pPr>
      <w:r w:rsidRPr="00D01F07">
        <w:rPr>
          <w:rFonts w:ascii="Calibri" w:hAnsi="Calibri" w:cs="Calibri"/>
        </w:rPr>
        <w:t xml:space="preserve">The Bank of Israel </w:t>
      </w:r>
      <w:r w:rsidR="00445085" w:rsidRPr="00D01F07">
        <w:rPr>
          <w:rFonts w:ascii="Calibri" w:hAnsi="Calibri" w:cs="Calibri"/>
        </w:rPr>
        <w:t xml:space="preserve">today </w:t>
      </w:r>
      <w:r w:rsidRPr="00D01F07">
        <w:rPr>
          <w:rFonts w:ascii="Calibri" w:hAnsi="Calibri" w:cs="Calibri"/>
        </w:rPr>
        <w:t xml:space="preserve">published the main points of its work plan and the budget for its administrative </w:t>
      </w:r>
      <w:r w:rsidR="003A0963" w:rsidRPr="00D01F07">
        <w:rPr>
          <w:rFonts w:ascii="Calibri" w:hAnsi="Calibri" w:cs="Calibri"/>
        </w:rPr>
        <w:t xml:space="preserve">activity </w:t>
      </w:r>
      <w:r w:rsidRPr="00D01F07">
        <w:rPr>
          <w:rFonts w:ascii="Calibri" w:hAnsi="Calibri" w:cs="Calibri"/>
        </w:rPr>
        <w:t xml:space="preserve">for </w:t>
      </w:r>
      <w:r w:rsidR="00514DB6" w:rsidRPr="00D01F07">
        <w:rPr>
          <w:rFonts w:ascii="Calibri" w:hAnsi="Calibri" w:cs="Calibri"/>
        </w:rPr>
        <w:t>2025</w:t>
      </w:r>
      <w:r w:rsidRPr="00D01F07">
        <w:rPr>
          <w:rFonts w:ascii="Calibri" w:hAnsi="Calibri" w:cs="Calibri"/>
        </w:rPr>
        <w:t>.</w:t>
      </w:r>
      <w:r w:rsidR="00C62185" w:rsidRPr="00D01F07">
        <w:rPr>
          <w:rFonts w:ascii="Calibri" w:hAnsi="Calibri" w:cs="Calibri"/>
        </w:rPr>
        <w:t xml:space="preserve"> </w:t>
      </w:r>
      <w:r w:rsidR="00687F53" w:rsidRPr="00D01F07">
        <w:rPr>
          <w:rFonts w:ascii="Calibri" w:hAnsi="Calibri" w:cs="Calibri"/>
        </w:rPr>
        <w:t>The Bank of Israel’s Supervisory Council</w:t>
      </w:r>
      <w:r w:rsidR="00687F53" w:rsidRPr="00D01F07">
        <w:rPr>
          <w:rStyle w:val="a7"/>
          <w:rFonts w:ascii="Calibri" w:hAnsi="Calibri" w:cs="Calibri"/>
        </w:rPr>
        <w:footnoteReference w:id="1"/>
      </w:r>
      <w:r w:rsidR="00687F53" w:rsidRPr="00D01F07">
        <w:rPr>
          <w:rFonts w:ascii="Calibri" w:hAnsi="Calibri" w:cs="Calibri"/>
        </w:rPr>
        <w:t xml:space="preserve"> discussed the Bank's annual work plan, approved the Bank's annual budget for administrative </w:t>
      </w:r>
      <w:r w:rsidR="00B854CF" w:rsidRPr="00D01F07">
        <w:rPr>
          <w:rFonts w:ascii="Calibri" w:hAnsi="Calibri" w:cs="Calibri"/>
        </w:rPr>
        <w:t>activity</w:t>
      </w:r>
      <w:r w:rsidR="00514DB6" w:rsidRPr="00D01F07">
        <w:rPr>
          <w:rFonts w:ascii="Calibri" w:hAnsi="Calibri" w:cs="Calibri"/>
        </w:rPr>
        <w:t xml:space="preserve">, </w:t>
      </w:r>
      <w:r w:rsidR="00687F53" w:rsidRPr="00D01F07">
        <w:rPr>
          <w:rFonts w:ascii="Calibri" w:hAnsi="Calibri" w:cs="Calibri"/>
        </w:rPr>
        <w:t xml:space="preserve">and submitted the budget to the Knesset Finance Committee, as required by the Bank of Israel Law, 5770–2010. </w:t>
      </w:r>
    </w:p>
    <w:p w:rsidR="00687F53" w:rsidRPr="00D01F07" w:rsidRDefault="00687F53" w:rsidP="00687F53">
      <w:pPr>
        <w:pStyle w:val="regpar"/>
        <w:ind w:firstLine="0"/>
        <w:rPr>
          <w:rFonts w:ascii="Calibri" w:hAnsi="Calibri" w:cs="Calibri"/>
        </w:rPr>
      </w:pPr>
    </w:p>
    <w:p w:rsidR="006B571A" w:rsidRPr="00D01F07" w:rsidRDefault="006B571A" w:rsidP="00CD50C3">
      <w:pPr>
        <w:pStyle w:val="regpar"/>
        <w:ind w:firstLine="0"/>
        <w:rPr>
          <w:rFonts w:ascii="Calibri" w:hAnsi="Calibri" w:cs="Calibri"/>
        </w:rPr>
      </w:pPr>
      <w:r w:rsidRPr="00D01F07">
        <w:rPr>
          <w:rFonts w:ascii="Calibri" w:hAnsi="Calibri" w:cs="Calibri"/>
        </w:rPr>
        <w:t xml:space="preserve">The </w:t>
      </w:r>
      <w:r w:rsidR="002D7400" w:rsidRPr="00D01F07">
        <w:rPr>
          <w:rFonts w:ascii="Calibri" w:hAnsi="Calibri" w:cs="Calibri"/>
        </w:rPr>
        <w:t xml:space="preserve">Bank’s work plan and budget for </w:t>
      </w:r>
      <w:r w:rsidR="00514DB6" w:rsidRPr="00D01F07">
        <w:rPr>
          <w:rFonts w:ascii="Calibri" w:hAnsi="Calibri" w:cs="Calibri"/>
        </w:rPr>
        <w:t>2025</w:t>
      </w:r>
      <w:r w:rsidR="0000063E" w:rsidRPr="00D01F07">
        <w:rPr>
          <w:rFonts w:ascii="Calibri" w:hAnsi="Calibri" w:cs="Calibri"/>
        </w:rPr>
        <w:t xml:space="preserve"> </w:t>
      </w:r>
      <w:r w:rsidR="002D7400" w:rsidRPr="00D01F07">
        <w:rPr>
          <w:rFonts w:ascii="Calibri" w:hAnsi="Calibri" w:cs="Calibri"/>
        </w:rPr>
        <w:t xml:space="preserve">incorporate measures to </w:t>
      </w:r>
      <w:r w:rsidR="00445085" w:rsidRPr="00D01F07">
        <w:rPr>
          <w:rFonts w:ascii="Calibri" w:hAnsi="Calibri" w:cs="Calibri"/>
        </w:rPr>
        <w:t xml:space="preserve">achieve </w:t>
      </w:r>
      <w:r w:rsidR="002D7400" w:rsidRPr="00D01F07">
        <w:rPr>
          <w:rFonts w:ascii="Calibri" w:hAnsi="Calibri" w:cs="Calibri"/>
        </w:rPr>
        <w:t xml:space="preserve">the Bank’s strategic </w:t>
      </w:r>
      <w:r w:rsidR="00514DB6" w:rsidRPr="00D01F07">
        <w:rPr>
          <w:rFonts w:ascii="Calibri" w:hAnsi="Calibri" w:cs="Calibri"/>
        </w:rPr>
        <w:t xml:space="preserve">targets </w:t>
      </w:r>
      <w:r w:rsidR="00445085" w:rsidRPr="00D01F07">
        <w:rPr>
          <w:rFonts w:ascii="Calibri" w:hAnsi="Calibri" w:cs="Calibri"/>
        </w:rPr>
        <w:t xml:space="preserve">alongside steps to provide a response to the unique challenges facing the Israeli economy, </w:t>
      </w:r>
      <w:r w:rsidR="002D7400" w:rsidRPr="00D01F07">
        <w:rPr>
          <w:rFonts w:ascii="Calibri" w:hAnsi="Calibri" w:cs="Calibri"/>
        </w:rPr>
        <w:t>in accordance with developments, changes, and risks in the global and Israeli econom</w:t>
      </w:r>
      <w:r w:rsidR="00CD50C3" w:rsidRPr="00D01F07">
        <w:rPr>
          <w:rFonts w:ascii="Calibri" w:hAnsi="Calibri" w:cs="Calibri"/>
        </w:rPr>
        <w:t>ies</w:t>
      </w:r>
      <w:r w:rsidR="002D7400" w:rsidRPr="00D01F07">
        <w:rPr>
          <w:rFonts w:ascii="Calibri" w:hAnsi="Calibri" w:cs="Calibri"/>
        </w:rPr>
        <w:t>.</w:t>
      </w:r>
      <w:r w:rsidR="00C50C0A" w:rsidRPr="00D01F07">
        <w:rPr>
          <w:rFonts w:ascii="Calibri" w:hAnsi="Calibri" w:cs="Calibri"/>
        </w:rPr>
        <w:t xml:space="preserve"> The work plan includes </w:t>
      </w:r>
      <w:r w:rsidR="00514DB6" w:rsidRPr="00D01F07">
        <w:rPr>
          <w:rFonts w:ascii="Calibri" w:hAnsi="Calibri" w:cs="Calibri"/>
        </w:rPr>
        <w:t>broad</w:t>
      </w:r>
      <w:r w:rsidR="00C50C0A" w:rsidRPr="00D01F07">
        <w:rPr>
          <w:rFonts w:ascii="Calibri" w:hAnsi="Calibri" w:cs="Calibri"/>
        </w:rPr>
        <w:t xml:space="preserve"> activity in many areas</w:t>
      </w:r>
      <w:r w:rsidR="00B2630E" w:rsidRPr="00D01F07">
        <w:rPr>
          <w:rFonts w:ascii="Calibri" w:hAnsi="Calibri" w:cs="Calibri"/>
        </w:rPr>
        <w:t xml:space="preserve">, </w:t>
      </w:r>
      <w:r w:rsidR="00C50C0A" w:rsidRPr="00D01F07">
        <w:rPr>
          <w:rFonts w:ascii="Calibri" w:hAnsi="Calibri" w:cs="Calibri"/>
        </w:rPr>
        <w:t>in accordance with the Bank’s statutory functions.</w:t>
      </w:r>
    </w:p>
    <w:p w:rsidR="00687F53" w:rsidRPr="00D01F07" w:rsidRDefault="00687F53" w:rsidP="00687F53">
      <w:pPr>
        <w:pStyle w:val="regpar"/>
        <w:ind w:firstLine="0"/>
        <w:rPr>
          <w:rFonts w:ascii="Calibri" w:hAnsi="Calibri" w:cs="Calibri"/>
        </w:rPr>
      </w:pPr>
    </w:p>
    <w:p w:rsidR="00687F53" w:rsidRPr="00D01F07" w:rsidRDefault="00C50C0A" w:rsidP="00687F53">
      <w:pPr>
        <w:pStyle w:val="regpar"/>
        <w:ind w:firstLine="0"/>
        <w:rPr>
          <w:rFonts w:ascii="Calibri" w:hAnsi="Calibri" w:cs="Calibri"/>
          <w:b/>
          <w:bCs/>
        </w:rPr>
      </w:pPr>
      <w:r w:rsidRPr="00D01F07">
        <w:rPr>
          <w:rFonts w:ascii="Calibri" w:hAnsi="Calibri" w:cs="Calibri"/>
          <w:b/>
          <w:bCs/>
        </w:rPr>
        <w:t>The f</w:t>
      </w:r>
      <w:r w:rsidR="00687F53" w:rsidRPr="00D01F07">
        <w:rPr>
          <w:rFonts w:ascii="Calibri" w:hAnsi="Calibri" w:cs="Calibri"/>
          <w:b/>
          <w:bCs/>
        </w:rPr>
        <w:t>ollowing are the targets set by the Bank’s management for the Bank’s work in the coming years:</w:t>
      </w:r>
    </w:p>
    <w:p w:rsidR="00687F53" w:rsidRPr="00D01F07" w:rsidRDefault="00687F53" w:rsidP="00687F53">
      <w:pPr>
        <w:pStyle w:val="regpar"/>
        <w:ind w:firstLine="0"/>
        <w:rPr>
          <w:rFonts w:ascii="Calibri" w:hAnsi="Calibri" w:cs="Calibri"/>
        </w:rPr>
      </w:pPr>
    </w:p>
    <w:p w:rsidR="00687F53" w:rsidRPr="00D01F07" w:rsidRDefault="00687F53" w:rsidP="00687F53">
      <w:pPr>
        <w:pStyle w:val="regpar"/>
        <w:numPr>
          <w:ilvl w:val="0"/>
          <w:numId w:val="15"/>
        </w:numPr>
        <w:rPr>
          <w:rFonts w:ascii="Calibri" w:hAnsi="Calibri" w:cs="Calibri"/>
        </w:rPr>
      </w:pPr>
      <w:r w:rsidRPr="00D01F07">
        <w:rPr>
          <w:rFonts w:ascii="Calibri" w:hAnsi="Calibri" w:cs="Calibri"/>
        </w:rPr>
        <w:t>Ad</w:t>
      </w:r>
      <w:r w:rsidR="00C50C0A" w:rsidRPr="00D01F07">
        <w:rPr>
          <w:rFonts w:ascii="Calibri" w:hAnsi="Calibri" w:cs="Calibri"/>
        </w:rPr>
        <w:t>ap</w:t>
      </w:r>
      <w:r w:rsidRPr="00D01F07">
        <w:rPr>
          <w:rFonts w:ascii="Calibri" w:hAnsi="Calibri" w:cs="Calibri"/>
        </w:rPr>
        <w:t>ting monetary policy to the changing environment</w:t>
      </w:r>
      <w:r w:rsidR="00CD1FAE" w:rsidRPr="00D01F07">
        <w:rPr>
          <w:rFonts w:ascii="Calibri" w:hAnsi="Calibri" w:cs="Calibri"/>
        </w:rPr>
        <w:t>;</w:t>
      </w:r>
    </w:p>
    <w:p w:rsidR="00687F53" w:rsidRPr="00D01F07" w:rsidRDefault="00687F53" w:rsidP="00687F53">
      <w:pPr>
        <w:pStyle w:val="regpar"/>
        <w:numPr>
          <w:ilvl w:val="0"/>
          <w:numId w:val="15"/>
        </w:numPr>
        <w:rPr>
          <w:rFonts w:ascii="Calibri" w:hAnsi="Calibri" w:cs="Calibri"/>
        </w:rPr>
      </w:pPr>
      <w:r w:rsidRPr="00D01F07">
        <w:rPr>
          <w:rFonts w:ascii="Calibri" w:hAnsi="Calibri" w:cs="Calibri"/>
        </w:rPr>
        <w:t>Strengthening the financial system and the Israeli economy’s resilience to crises</w:t>
      </w:r>
      <w:r w:rsidR="00CD1FAE" w:rsidRPr="00D01F07">
        <w:rPr>
          <w:rFonts w:ascii="Calibri" w:hAnsi="Calibri" w:cs="Calibri"/>
        </w:rPr>
        <w:t>;</w:t>
      </w:r>
    </w:p>
    <w:p w:rsidR="00687F53" w:rsidRPr="00D01F07" w:rsidRDefault="00687F53" w:rsidP="00687F53">
      <w:pPr>
        <w:pStyle w:val="regpar"/>
        <w:numPr>
          <w:ilvl w:val="0"/>
          <w:numId w:val="15"/>
        </w:numPr>
        <w:rPr>
          <w:rFonts w:ascii="Calibri" w:hAnsi="Calibri" w:cs="Calibri"/>
        </w:rPr>
      </w:pPr>
      <w:r w:rsidRPr="00D01F07">
        <w:rPr>
          <w:rFonts w:ascii="Calibri" w:hAnsi="Calibri" w:cs="Calibri"/>
        </w:rPr>
        <w:t>Consistently advancing research on the Israeli and global economies</w:t>
      </w:r>
      <w:r w:rsidR="00CD1FAE" w:rsidRPr="00D01F07">
        <w:rPr>
          <w:rFonts w:ascii="Calibri" w:hAnsi="Calibri" w:cs="Calibri"/>
        </w:rPr>
        <w:t>;</w:t>
      </w:r>
    </w:p>
    <w:p w:rsidR="002E29BA" w:rsidRPr="00D01F07" w:rsidRDefault="002E29BA" w:rsidP="00731177">
      <w:pPr>
        <w:pStyle w:val="regpar"/>
        <w:numPr>
          <w:ilvl w:val="0"/>
          <w:numId w:val="15"/>
        </w:numPr>
        <w:rPr>
          <w:rFonts w:ascii="Calibri" w:hAnsi="Calibri" w:cs="Calibri"/>
        </w:rPr>
      </w:pPr>
      <w:r w:rsidRPr="00D01F07">
        <w:rPr>
          <w:rFonts w:ascii="Calibri" w:hAnsi="Calibri" w:cs="Calibri"/>
        </w:rPr>
        <w:t>Managing the country’s foreign exchange reserves;</w:t>
      </w:r>
    </w:p>
    <w:p w:rsidR="00687F53" w:rsidRPr="00D01F07" w:rsidRDefault="00687F53" w:rsidP="00731177">
      <w:pPr>
        <w:pStyle w:val="regpar"/>
        <w:numPr>
          <w:ilvl w:val="0"/>
          <w:numId w:val="15"/>
        </w:numPr>
        <w:rPr>
          <w:rFonts w:ascii="Calibri" w:hAnsi="Calibri" w:cs="Calibri"/>
        </w:rPr>
      </w:pPr>
      <w:r w:rsidRPr="00D01F07">
        <w:rPr>
          <w:rFonts w:ascii="Calibri" w:hAnsi="Calibri" w:cs="Calibri"/>
        </w:rPr>
        <w:t xml:space="preserve">Broadening the abilities to collect and extract economic data and research, and making </w:t>
      </w:r>
      <w:r w:rsidR="00731177" w:rsidRPr="00D01F07">
        <w:rPr>
          <w:rFonts w:ascii="Calibri" w:hAnsi="Calibri" w:cs="Calibri"/>
        </w:rPr>
        <w:t xml:space="preserve">them </w:t>
      </w:r>
      <w:r w:rsidRPr="00D01F07">
        <w:rPr>
          <w:rFonts w:ascii="Calibri" w:hAnsi="Calibri" w:cs="Calibri"/>
        </w:rPr>
        <w:t>accessible to researchers and decision makers</w:t>
      </w:r>
      <w:r w:rsidR="00CD1FAE" w:rsidRPr="00D01F07">
        <w:rPr>
          <w:rFonts w:ascii="Calibri" w:hAnsi="Calibri" w:cs="Calibri"/>
        </w:rPr>
        <w:t>;</w:t>
      </w:r>
    </w:p>
    <w:p w:rsidR="00687F53" w:rsidRPr="00D01F07" w:rsidRDefault="00687F53" w:rsidP="00687F53">
      <w:pPr>
        <w:pStyle w:val="regpar"/>
        <w:numPr>
          <w:ilvl w:val="0"/>
          <w:numId w:val="15"/>
        </w:numPr>
        <w:rPr>
          <w:rFonts w:ascii="Calibri" w:hAnsi="Calibri" w:cs="Calibri"/>
        </w:rPr>
      </w:pPr>
      <w:r w:rsidRPr="00D01F07">
        <w:rPr>
          <w:rFonts w:ascii="Calibri" w:hAnsi="Calibri" w:cs="Calibri"/>
        </w:rPr>
        <w:t>Promoting financial infrastructures and digital means of payment in Israel’s economy</w:t>
      </w:r>
      <w:r w:rsidR="00CD1FAE" w:rsidRPr="00D01F07">
        <w:rPr>
          <w:rFonts w:ascii="Calibri" w:hAnsi="Calibri" w:cs="Calibri"/>
        </w:rPr>
        <w:t>;</w:t>
      </w:r>
    </w:p>
    <w:p w:rsidR="00687F53" w:rsidRPr="00D01F07" w:rsidRDefault="00687F53" w:rsidP="00687F53">
      <w:pPr>
        <w:pStyle w:val="regpar"/>
        <w:numPr>
          <w:ilvl w:val="0"/>
          <w:numId w:val="15"/>
        </w:numPr>
        <w:rPr>
          <w:rFonts w:ascii="Calibri" w:hAnsi="Calibri" w:cs="Calibri"/>
        </w:rPr>
      </w:pPr>
      <w:r w:rsidRPr="00D01F07">
        <w:rPr>
          <w:rFonts w:ascii="Calibri" w:hAnsi="Calibri" w:cs="Calibri"/>
        </w:rPr>
        <w:t>Encouraging competition and innovation in the financial system</w:t>
      </w:r>
      <w:r w:rsidR="00CD1FAE" w:rsidRPr="00D01F07">
        <w:rPr>
          <w:rFonts w:ascii="Calibri" w:hAnsi="Calibri" w:cs="Calibri"/>
        </w:rPr>
        <w:t>;</w:t>
      </w:r>
    </w:p>
    <w:p w:rsidR="002E29BA" w:rsidRPr="00D01F07" w:rsidRDefault="002E29BA" w:rsidP="006D4B34">
      <w:pPr>
        <w:pStyle w:val="regpar"/>
        <w:numPr>
          <w:ilvl w:val="0"/>
          <w:numId w:val="15"/>
        </w:numPr>
        <w:rPr>
          <w:rFonts w:ascii="Calibri" w:hAnsi="Calibri" w:cs="Calibri"/>
        </w:rPr>
      </w:pPr>
      <w:r w:rsidRPr="00D01F07">
        <w:rPr>
          <w:rFonts w:ascii="Calibri" w:hAnsi="Calibri" w:cs="Calibri"/>
        </w:rPr>
        <w:t>Establishing and managing the Credit Data Register</w:t>
      </w:r>
      <w:r w:rsidR="0004520A" w:rsidRPr="00D01F07">
        <w:rPr>
          <w:rFonts w:ascii="Calibri" w:hAnsi="Calibri" w:cs="Calibri"/>
        </w:rPr>
        <w:t xml:space="preserve"> and regulating the credit data </w:t>
      </w:r>
      <w:r w:rsidR="006D4B34" w:rsidRPr="00D01F07">
        <w:rPr>
          <w:rFonts w:ascii="Calibri" w:hAnsi="Calibri" w:cs="Calibri"/>
        </w:rPr>
        <w:t>system</w:t>
      </w:r>
      <w:r w:rsidR="0004520A" w:rsidRPr="00D01F07">
        <w:rPr>
          <w:rFonts w:ascii="Calibri" w:hAnsi="Calibri" w:cs="Calibri"/>
        </w:rPr>
        <w:t>;</w:t>
      </w:r>
    </w:p>
    <w:p w:rsidR="00687F53" w:rsidRPr="00D01F07" w:rsidRDefault="00687F53" w:rsidP="0004520A">
      <w:pPr>
        <w:pStyle w:val="regpar"/>
        <w:numPr>
          <w:ilvl w:val="0"/>
          <w:numId w:val="15"/>
        </w:numPr>
        <w:rPr>
          <w:rFonts w:ascii="Calibri" w:hAnsi="Calibri" w:cs="Calibri"/>
        </w:rPr>
      </w:pPr>
      <w:r w:rsidRPr="00D01F07">
        <w:rPr>
          <w:rFonts w:ascii="Calibri" w:hAnsi="Calibri" w:cs="Calibri"/>
        </w:rPr>
        <w:t>Protecting customers’ rights, improving their negotiating position, and reducing information gaps</w:t>
      </w:r>
      <w:r w:rsidR="00CD1FAE" w:rsidRPr="00D01F07">
        <w:rPr>
          <w:rFonts w:ascii="Calibri" w:hAnsi="Calibri" w:cs="Calibri"/>
        </w:rPr>
        <w:t>;</w:t>
      </w:r>
    </w:p>
    <w:p w:rsidR="00687F53" w:rsidRPr="00D01F07" w:rsidRDefault="00687F53" w:rsidP="006D4B34">
      <w:pPr>
        <w:pStyle w:val="regpar"/>
        <w:numPr>
          <w:ilvl w:val="0"/>
          <w:numId w:val="15"/>
        </w:numPr>
        <w:rPr>
          <w:rFonts w:ascii="Calibri" w:hAnsi="Calibri" w:cs="Calibri"/>
        </w:rPr>
      </w:pPr>
      <w:r w:rsidRPr="00D01F07">
        <w:rPr>
          <w:rFonts w:ascii="Calibri" w:hAnsi="Calibri" w:cs="Calibri"/>
        </w:rPr>
        <w:t xml:space="preserve">Tightening the Bank of Israel’s connection with the public, </w:t>
      </w:r>
      <w:r w:rsidR="00B207CE" w:rsidRPr="00D01F07">
        <w:rPr>
          <w:rFonts w:ascii="Calibri" w:hAnsi="Calibri" w:cs="Calibri"/>
        </w:rPr>
        <w:t xml:space="preserve">and </w:t>
      </w:r>
      <w:r w:rsidR="006D4B34" w:rsidRPr="00D01F07">
        <w:rPr>
          <w:rFonts w:ascii="Calibri" w:hAnsi="Calibri" w:cs="Calibri"/>
        </w:rPr>
        <w:t>making financial services more accessible</w:t>
      </w:r>
      <w:r w:rsidR="00CD1FAE" w:rsidRPr="00D01F07">
        <w:rPr>
          <w:rFonts w:ascii="Calibri" w:hAnsi="Calibri" w:cs="Calibri"/>
        </w:rPr>
        <w:t>;</w:t>
      </w:r>
    </w:p>
    <w:p w:rsidR="00B207CE" w:rsidRPr="00D01F07" w:rsidRDefault="00B207CE" w:rsidP="00B207CE">
      <w:pPr>
        <w:pStyle w:val="regpar"/>
        <w:numPr>
          <w:ilvl w:val="0"/>
          <w:numId w:val="15"/>
        </w:numPr>
        <w:rPr>
          <w:rFonts w:ascii="Calibri" w:hAnsi="Calibri" w:cs="Calibri"/>
        </w:rPr>
      </w:pPr>
      <w:r w:rsidRPr="00D01F07">
        <w:rPr>
          <w:rFonts w:ascii="Calibri" w:hAnsi="Calibri" w:cs="Calibri"/>
        </w:rPr>
        <w:t>Implementing the Citizens of Israel Fund Law, 5774</w:t>
      </w:r>
      <w:r w:rsidR="00C579A3" w:rsidRPr="00D01F07">
        <w:rPr>
          <w:rFonts w:ascii="Calibri" w:hAnsi="Calibri" w:cs="Calibri"/>
        </w:rPr>
        <w:t>-</w:t>
      </w:r>
      <w:r w:rsidRPr="00D01F07">
        <w:rPr>
          <w:rFonts w:ascii="Calibri" w:hAnsi="Calibri" w:cs="Calibri"/>
        </w:rPr>
        <w:t>2014;</w:t>
      </w:r>
    </w:p>
    <w:p w:rsidR="00687F53" w:rsidRPr="00D01F07" w:rsidRDefault="00687F53" w:rsidP="00687F53">
      <w:pPr>
        <w:pStyle w:val="regpar"/>
        <w:numPr>
          <w:ilvl w:val="0"/>
          <w:numId w:val="15"/>
        </w:numPr>
        <w:rPr>
          <w:rFonts w:ascii="Calibri" w:hAnsi="Calibri" w:cs="Calibri"/>
        </w:rPr>
      </w:pPr>
      <w:r w:rsidRPr="00D01F07">
        <w:rPr>
          <w:rFonts w:ascii="Calibri" w:hAnsi="Calibri" w:cs="Calibri"/>
        </w:rPr>
        <w:t>Enhancing collaboration with international institutions and with central banks</w:t>
      </w:r>
      <w:r w:rsidR="004E1F79" w:rsidRPr="00D01F07">
        <w:rPr>
          <w:rFonts w:ascii="Calibri" w:hAnsi="Calibri" w:cs="Calibri"/>
        </w:rPr>
        <w:t xml:space="preserve"> and regulators abroad</w:t>
      </w:r>
      <w:r w:rsidR="00CD1FAE" w:rsidRPr="00D01F07">
        <w:rPr>
          <w:rFonts w:ascii="Calibri" w:hAnsi="Calibri" w:cs="Calibri"/>
        </w:rPr>
        <w:t>;</w:t>
      </w:r>
    </w:p>
    <w:p w:rsidR="00687F53" w:rsidRPr="00D01F07" w:rsidRDefault="00687F53" w:rsidP="00C579A3">
      <w:pPr>
        <w:pStyle w:val="regpar"/>
        <w:numPr>
          <w:ilvl w:val="0"/>
          <w:numId w:val="15"/>
        </w:numPr>
        <w:rPr>
          <w:rFonts w:ascii="Calibri" w:hAnsi="Calibri" w:cs="Calibri"/>
        </w:rPr>
      </w:pPr>
      <w:r w:rsidRPr="00D01F07">
        <w:rPr>
          <w:rFonts w:ascii="Calibri" w:hAnsi="Calibri" w:cs="Calibri"/>
        </w:rPr>
        <w:t>Aligning the Bank</w:t>
      </w:r>
      <w:r w:rsidR="00C579A3" w:rsidRPr="00D01F07">
        <w:rPr>
          <w:rFonts w:ascii="Calibri" w:hAnsi="Calibri" w:cs="Calibri"/>
        </w:rPr>
        <w:t xml:space="preserve">’s resources </w:t>
      </w:r>
      <w:r w:rsidRPr="00D01F07">
        <w:rPr>
          <w:rFonts w:ascii="Calibri" w:hAnsi="Calibri" w:cs="Calibri"/>
        </w:rPr>
        <w:t>with the changing environmen</w:t>
      </w:r>
      <w:r w:rsidR="003C2E58" w:rsidRPr="00D01F07">
        <w:rPr>
          <w:rFonts w:ascii="Calibri" w:hAnsi="Calibri" w:cs="Calibri"/>
        </w:rPr>
        <w:t>t</w:t>
      </w:r>
      <w:r w:rsidR="00CD1FAE" w:rsidRPr="00D01F07">
        <w:rPr>
          <w:rFonts w:ascii="Calibri" w:hAnsi="Calibri" w:cs="Calibri"/>
        </w:rPr>
        <w:t>.</w:t>
      </w:r>
    </w:p>
    <w:p w:rsidR="00687F53" w:rsidRPr="00D01F07" w:rsidRDefault="00687F53" w:rsidP="00687F53">
      <w:pPr>
        <w:pStyle w:val="regpar"/>
        <w:ind w:firstLine="0"/>
        <w:rPr>
          <w:rFonts w:ascii="Calibri" w:hAnsi="Calibri" w:cs="Calibri"/>
        </w:rPr>
      </w:pPr>
    </w:p>
    <w:p w:rsidR="00687F53" w:rsidRPr="00D01F07" w:rsidRDefault="00687F53" w:rsidP="00687F53">
      <w:pPr>
        <w:pStyle w:val="regpar"/>
        <w:ind w:firstLine="0"/>
        <w:rPr>
          <w:rFonts w:ascii="Calibri" w:hAnsi="Calibri" w:cs="Calibri"/>
          <w:b/>
          <w:bCs/>
        </w:rPr>
      </w:pPr>
      <w:r w:rsidRPr="00D01F07">
        <w:rPr>
          <w:rFonts w:ascii="Calibri" w:hAnsi="Calibri" w:cs="Calibri"/>
          <w:b/>
          <w:bCs/>
        </w:rPr>
        <w:t>The Bank’s budget</w:t>
      </w:r>
    </w:p>
    <w:p w:rsidR="00687F53" w:rsidRPr="00D01F07" w:rsidRDefault="00687F53" w:rsidP="00BA2B4B">
      <w:pPr>
        <w:pStyle w:val="regpar"/>
        <w:ind w:firstLine="0"/>
        <w:rPr>
          <w:rFonts w:ascii="Calibri" w:hAnsi="Calibri" w:cs="Calibri"/>
        </w:rPr>
      </w:pPr>
      <w:r w:rsidRPr="00D01F07">
        <w:rPr>
          <w:rFonts w:ascii="Calibri" w:hAnsi="Calibri" w:cs="Calibri"/>
        </w:rPr>
        <w:t>The Bank of Israel's budget relates to the Bank’s administrative activit</w:t>
      </w:r>
      <w:r w:rsidR="00BA2B4B" w:rsidRPr="00D01F07">
        <w:rPr>
          <w:rFonts w:ascii="Calibri" w:hAnsi="Calibri" w:cs="Calibri"/>
        </w:rPr>
        <w:t xml:space="preserve">y </w:t>
      </w:r>
      <w:r w:rsidRPr="00D01F07">
        <w:rPr>
          <w:rFonts w:ascii="Calibri" w:hAnsi="Calibri" w:cs="Calibri"/>
        </w:rPr>
        <w:t>necessary for performing its functions and achieving its targets.</w:t>
      </w:r>
    </w:p>
    <w:p w:rsidR="00687F53" w:rsidRPr="00D01F07" w:rsidRDefault="00687F53" w:rsidP="00687F53">
      <w:pPr>
        <w:pStyle w:val="regpar"/>
        <w:ind w:firstLine="0"/>
        <w:rPr>
          <w:rFonts w:ascii="Calibri" w:hAnsi="Calibri" w:cs="Calibri"/>
        </w:rPr>
      </w:pPr>
    </w:p>
    <w:p w:rsidR="00687F53" w:rsidRPr="00D01F07" w:rsidRDefault="00687F53" w:rsidP="000705D7">
      <w:pPr>
        <w:pStyle w:val="regpar"/>
        <w:ind w:firstLine="0"/>
        <w:rPr>
          <w:rFonts w:ascii="Calibri" w:hAnsi="Calibri" w:cs="Calibri"/>
        </w:rPr>
      </w:pPr>
      <w:r w:rsidRPr="00D01F07">
        <w:rPr>
          <w:rFonts w:ascii="Calibri" w:hAnsi="Calibri" w:cs="Calibri"/>
        </w:rPr>
        <w:t xml:space="preserve">In accordance with the Bank of Israel Law, the Bank of Israel's budget is divided into several areas of activity: 1) Management and Central Services (the expenditure budgets of the entities that deal with the management of the Bank and with the provision of services and support); 2) Performance of the Bank’s functions (the expenditure budgets of the core departments); </w:t>
      </w:r>
      <w:r w:rsidR="00C84CE8" w:rsidRPr="00D01F07">
        <w:rPr>
          <w:rFonts w:ascii="Calibri" w:hAnsi="Calibri" w:cs="Calibri"/>
        </w:rPr>
        <w:t>3</w:t>
      </w:r>
      <w:r w:rsidRPr="00D01F07">
        <w:rPr>
          <w:rFonts w:ascii="Calibri" w:hAnsi="Calibri" w:cs="Calibri"/>
        </w:rPr>
        <w:t xml:space="preserve">) Pensions; </w:t>
      </w:r>
      <w:r w:rsidR="00C84CE8" w:rsidRPr="00D01F07">
        <w:rPr>
          <w:rFonts w:ascii="Calibri" w:hAnsi="Calibri" w:cs="Calibri"/>
        </w:rPr>
        <w:t>4</w:t>
      </w:r>
      <w:r w:rsidRPr="00D01F07">
        <w:rPr>
          <w:rFonts w:ascii="Calibri" w:hAnsi="Calibri" w:cs="Calibri"/>
        </w:rPr>
        <w:t xml:space="preserve">) Investments; </w:t>
      </w:r>
      <w:r w:rsidR="00C84CE8" w:rsidRPr="00D01F07">
        <w:rPr>
          <w:rFonts w:ascii="Calibri" w:hAnsi="Calibri" w:cs="Calibri"/>
        </w:rPr>
        <w:t>5</w:t>
      </w:r>
      <w:r w:rsidRPr="00D01F07">
        <w:rPr>
          <w:rFonts w:ascii="Calibri" w:hAnsi="Calibri" w:cs="Calibri"/>
        </w:rPr>
        <w:t xml:space="preserve">) </w:t>
      </w:r>
      <w:r w:rsidR="00390095" w:rsidRPr="00D01F07">
        <w:rPr>
          <w:rFonts w:ascii="Calibri" w:hAnsi="Calibri" w:cs="Calibri"/>
        </w:rPr>
        <w:t>Revenues</w:t>
      </w:r>
      <w:r w:rsidRPr="00D01F07">
        <w:rPr>
          <w:rFonts w:ascii="Calibri" w:hAnsi="Calibri" w:cs="Calibri"/>
        </w:rPr>
        <w:t xml:space="preserve">; </w:t>
      </w:r>
      <w:r w:rsidR="00C84CE8" w:rsidRPr="00D01F07">
        <w:rPr>
          <w:rFonts w:ascii="Calibri" w:hAnsi="Calibri" w:cs="Calibri"/>
        </w:rPr>
        <w:t>6</w:t>
      </w:r>
      <w:r w:rsidRPr="00D01F07">
        <w:rPr>
          <w:rFonts w:ascii="Calibri" w:hAnsi="Calibri" w:cs="Calibri"/>
        </w:rPr>
        <w:t xml:space="preserve">) Reserve; </w:t>
      </w:r>
      <w:r w:rsidR="00C84CE8" w:rsidRPr="00D01F07">
        <w:rPr>
          <w:rFonts w:ascii="Calibri" w:hAnsi="Calibri" w:cs="Calibri"/>
        </w:rPr>
        <w:t>7</w:t>
      </w:r>
      <w:r w:rsidRPr="00D01F07">
        <w:rPr>
          <w:rFonts w:ascii="Calibri" w:hAnsi="Calibri" w:cs="Calibri"/>
        </w:rPr>
        <w:t xml:space="preserve">) </w:t>
      </w:r>
      <w:r w:rsidR="00A61D2A" w:rsidRPr="00D01F07">
        <w:rPr>
          <w:rFonts w:ascii="Calibri" w:hAnsi="Calibri" w:cs="Calibri"/>
        </w:rPr>
        <w:t>Currency i</w:t>
      </w:r>
      <w:r w:rsidR="00C84CE8" w:rsidRPr="00D01F07">
        <w:rPr>
          <w:rFonts w:ascii="Calibri" w:hAnsi="Calibri" w:cs="Calibri"/>
        </w:rPr>
        <w:t>ssu</w:t>
      </w:r>
      <w:r w:rsidR="00A61D2A" w:rsidRPr="00D01F07">
        <w:rPr>
          <w:rFonts w:ascii="Calibri" w:hAnsi="Calibri" w:cs="Calibri"/>
        </w:rPr>
        <w:t>e</w:t>
      </w:r>
      <w:r w:rsidRPr="00D01F07">
        <w:rPr>
          <w:rFonts w:ascii="Calibri" w:hAnsi="Calibri" w:cs="Calibri"/>
        </w:rPr>
        <w:t xml:space="preserve">; </w:t>
      </w:r>
      <w:r w:rsidR="00C84CE8" w:rsidRPr="00D01F07">
        <w:rPr>
          <w:rFonts w:ascii="Calibri" w:hAnsi="Calibri" w:cs="Calibri"/>
        </w:rPr>
        <w:t>8</w:t>
      </w:r>
      <w:r w:rsidRPr="00D01F07">
        <w:rPr>
          <w:rFonts w:ascii="Calibri" w:hAnsi="Calibri" w:cs="Calibri"/>
        </w:rPr>
        <w:t xml:space="preserve">) Managing the assets of the Citizens of Israel Fund, and </w:t>
      </w:r>
      <w:r w:rsidR="00C84CE8" w:rsidRPr="00D01F07">
        <w:rPr>
          <w:rFonts w:ascii="Calibri" w:hAnsi="Calibri" w:cs="Calibri"/>
        </w:rPr>
        <w:t>9</w:t>
      </w:r>
      <w:r w:rsidRPr="00D01F07">
        <w:rPr>
          <w:rFonts w:ascii="Calibri" w:hAnsi="Calibri" w:cs="Calibri"/>
        </w:rPr>
        <w:t xml:space="preserve">) Credit Data </w:t>
      </w:r>
      <w:r w:rsidR="000705D7" w:rsidRPr="00D01F07">
        <w:rPr>
          <w:rFonts w:ascii="Calibri" w:hAnsi="Calibri" w:cs="Calibri"/>
        </w:rPr>
        <w:t>System</w:t>
      </w:r>
      <w:r w:rsidRPr="00D01F07">
        <w:rPr>
          <w:rFonts w:ascii="Calibri" w:hAnsi="Calibri" w:cs="Calibri"/>
        </w:rPr>
        <w:t>.</w:t>
      </w:r>
    </w:p>
    <w:p w:rsidR="001D6DFF" w:rsidRPr="00D01F07" w:rsidRDefault="001D6DFF" w:rsidP="001D6DFF">
      <w:pPr>
        <w:pStyle w:val="regpar"/>
        <w:ind w:firstLine="0"/>
        <w:rPr>
          <w:rFonts w:ascii="Calibri" w:hAnsi="Calibri" w:cs="Calibri"/>
        </w:rPr>
      </w:pPr>
    </w:p>
    <w:p w:rsidR="001D6DFF" w:rsidRPr="00D01F07" w:rsidRDefault="001D6DFF" w:rsidP="007571E2">
      <w:pPr>
        <w:pStyle w:val="regpar"/>
        <w:ind w:firstLine="0"/>
        <w:rPr>
          <w:rFonts w:ascii="Calibri" w:hAnsi="Calibri" w:cs="Calibri"/>
        </w:rPr>
      </w:pPr>
      <w:r w:rsidRPr="00D01F07">
        <w:rPr>
          <w:rFonts w:ascii="Calibri" w:hAnsi="Calibri" w:cs="Calibri"/>
        </w:rPr>
        <w:t xml:space="preserve">The Bank of Israel’s activity in 2024 was </w:t>
      </w:r>
      <w:r w:rsidR="00825612" w:rsidRPr="00D01F07">
        <w:rPr>
          <w:rFonts w:ascii="Calibri" w:hAnsi="Calibri" w:cs="Calibri"/>
        </w:rPr>
        <w:t xml:space="preserve">impacted </w:t>
      </w:r>
      <w:r w:rsidRPr="00D01F07">
        <w:rPr>
          <w:rFonts w:ascii="Calibri" w:hAnsi="Calibri" w:cs="Calibri"/>
        </w:rPr>
        <w:t xml:space="preserve">markedly by </w:t>
      </w:r>
      <w:r w:rsidR="00825612" w:rsidRPr="00D01F07">
        <w:rPr>
          <w:rFonts w:ascii="Calibri" w:hAnsi="Calibri" w:cs="Calibri"/>
        </w:rPr>
        <w:t xml:space="preserve">the events </w:t>
      </w:r>
      <w:r w:rsidRPr="00D01F07">
        <w:rPr>
          <w:rFonts w:ascii="Calibri" w:hAnsi="Calibri" w:cs="Calibri"/>
        </w:rPr>
        <w:t xml:space="preserve">due to the Swords of Iron War. The Bank of Israel played a major role </w:t>
      </w:r>
      <w:r w:rsidR="00825612" w:rsidRPr="00D01F07">
        <w:rPr>
          <w:rFonts w:ascii="Calibri" w:hAnsi="Calibri" w:cs="Calibri"/>
        </w:rPr>
        <w:t>in leading the economy’s dealing with the impacts of the war. We worked to stabilize financial market activity, we led bank frameworks for providing relief to those serving military reserve duty</w:t>
      </w:r>
      <w:r w:rsidR="00487E74" w:rsidRPr="00D01F07">
        <w:rPr>
          <w:rFonts w:ascii="Calibri" w:hAnsi="Calibri" w:cs="Calibri"/>
        </w:rPr>
        <w:t xml:space="preserve"> and other population groups that were adversely impacted by the war; we served as a significant factor in providing economic advice to the government and had a notable impact on formulating the fiscal policy; we ensured the </w:t>
      </w:r>
      <w:r w:rsidR="007571E2" w:rsidRPr="00D01F07">
        <w:rPr>
          <w:rFonts w:ascii="Calibri" w:hAnsi="Calibri" w:cs="Calibri"/>
        </w:rPr>
        <w:t>continued</w:t>
      </w:r>
      <w:r w:rsidR="00487E74" w:rsidRPr="00D01F07">
        <w:rPr>
          <w:rFonts w:ascii="Calibri" w:hAnsi="Calibri" w:cs="Calibri"/>
        </w:rPr>
        <w:t xml:space="preserve"> effic</w:t>
      </w:r>
      <w:r w:rsidR="007571E2" w:rsidRPr="00D01F07">
        <w:rPr>
          <w:rFonts w:ascii="Calibri" w:hAnsi="Calibri" w:cs="Calibri"/>
        </w:rPr>
        <w:t>ie</w:t>
      </w:r>
      <w:r w:rsidR="00487E74" w:rsidRPr="00D01F07">
        <w:rPr>
          <w:rFonts w:ascii="Calibri" w:hAnsi="Calibri" w:cs="Calibri"/>
        </w:rPr>
        <w:t xml:space="preserve">nt activity of the payment and cash systems; and we worked to </w:t>
      </w:r>
      <w:r w:rsidR="007571E2" w:rsidRPr="00D01F07">
        <w:rPr>
          <w:rFonts w:ascii="Calibri" w:hAnsi="Calibri" w:cs="Calibri"/>
        </w:rPr>
        <w:t>ensure</w:t>
      </w:r>
      <w:r w:rsidR="00487E74" w:rsidRPr="00D01F07">
        <w:rPr>
          <w:rFonts w:ascii="Calibri" w:hAnsi="Calibri" w:cs="Calibri"/>
        </w:rPr>
        <w:t xml:space="preserve"> </w:t>
      </w:r>
      <w:r w:rsidR="007571E2" w:rsidRPr="00D01F07">
        <w:rPr>
          <w:rFonts w:ascii="Calibri" w:hAnsi="Calibri" w:cs="Calibri"/>
        </w:rPr>
        <w:t>the</w:t>
      </w:r>
      <w:r w:rsidR="00487E74" w:rsidRPr="00D01F07">
        <w:rPr>
          <w:rFonts w:ascii="Calibri" w:hAnsi="Calibri" w:cs="Calibri"/>
        </w:rPr>
        <w:t xml:space="preserve"> business continuity of the Bank and its departments. These were all with the extensive and efficient assistance of the Bank’s departments that supported employees called up for military reserves duty and from the aspect of technology an</w:t>
      </w:r>
      <w:r w:rsidR="007571E2" w:rsidRPr="00D01F07">
        <w:rPr>
          <w:rFonts w:ascii="Calibri" w:hAnsi="Calibri" w:cs="Calibri"/>
        </w:rPr>
        <w:t>d</w:t>
      </w:r>
      <w:r w:rsidR="00487E74" w:rsidRPr="00D01F07">
        <w:rPr>
          <w:rFonts w:ascii="Calibri" w:hAnsi="Calibri" w:cs="Calibri"/>
        </w:rPr>
        <w:t xml:space="preserve"> data.</w:t>
      </w:r>
    </w:p>
    <w:p w:rsidR="00487E74" w:rsidRPr="00D01F07" w:rsidRDefault="00487E74" w:rsidP="00487E74">
      <w:pPr>
        <w:pStyle w:val="regpar"/>
        <w:ind w:firstLine="0"/>
        <w:rPr>
          <w:rFonts w:ascii="Calibri" w:hAnsi="Calibri" w:cs="Calibri"/>
        </w:rPr>
      </w:pPr>
    </w:p>
    <w:p w:rsidR="00487E74" w:rsidRPr="00D01F07" w:rsidRDefault="00487E74" w:rsidP="00FA7603">
      <w:pPr>
        <w:pStyle w:val="regpar"/>
        <w:ind w:firstLine="0"/>
        <w:rPr>
          <w:rFonts w:ascii="Calibri" w:hAnsi="Calibri" w:cs="Calibri"/>
        </w:rPr>
      </w:pPr>
      <w:r w:rsidRPr="00D01F07">
        <w:rPr>
          <w:rFonts w:ascii="Calibri" w:hAnsi="Calibri" w:cs="Calibri"/>
        </w:rPr>
        <w:t xml:space="preserve">In the first quarter of 2024, we </w:t>
      </w:r>
      <w:r w:rsidR="007571E2" w:rsidRPr="00D01F07">
        <w:rPr>
          <w:rFonts w:ascii="Calibri" w:hAnsi="Calibri" w:cs="Calibri"/>
        </w:rPr>
        <w:t>experienced a</w:t>
      </w:r>
      <w:r w:rsidRPr="00D01F07">
        <w:rPr>
          <w:rFonts w:ascii="Calibri" w:hAnsi="Calibri" w:cs="Calibri"/>
        </w:rPr>
        <w:t xml:space="preserve"> significant </w:t>
      </w:r>
      <w:r w:rsidR="007571E2" w:rsidRPr="00D01F07">
        <w:rPr>
          <w:rFonts w:ascii="Calibri" w:hAnsi="Calibri" w:cs="Calibri"/>
        </w:rPr>
        <w:t>call up</w:t>
      </w:r>
      <w:r w:rsidRPr="00D01F07">
        <w:rPr>
          <w:rFonts w:ascii="Calibri" w:hAnsi="Calibri" w:cs="Calibri"/>
        </w:rPr>
        <w:t xml:space="preserve"> of </w:t>
      </w:r>
      <w:r w:rsidR="007571E2" w:rsidRPr="00D01F07">
        <w:rPr>
          <w:rFonts w:ascii="Calibri" w:hAnsi="Calibri" w:cs="Calibri"/>
        </w:rPr>
        <w:t>Bank employees</w:t>
      </w:r>
      <w:r w:rsidRPr="00D01F07">
        <w:rPr>
          <w:rFonts w:ascii="Calibri" w:hAnsi="Calibri" w:cs="Calibri"/>
        </w:rPr>
        <w:t xml:space="preserve"> to military reserve duty, while </w:t>
      </w:r>
      <w:r w:rsidR="007571E2" w:rsidRPr="00D01F07">
        <w:rPr>
          <w:rFonts w:ascii="Calibri" w:hAnsi="Calibri" w:cs="Calibri"/>
        </w:rPr>
        <w:t>afterward</w:t>
      </w:r>
      <w:r w:rsidRPr="00D01F07">
        <w:rPr>
          <w:rFonts w:ascii="Calibri" w:hAnsi="Calibri" w:cs="Calibri"/>
        </w:rPr>
        <w:t xml:space="preserve"> the </w:t>
      </w:r>
      <w:r w:rsidR="007571E2" w:rsidRPr="00D01F07">
        <w:rPr>
          <w:rFonts w:ascii="Calibri" w:hAnsi="Calibri" w:cs="Calibri"/>
        </w:rPr>
        <w:t>number</w:t>
      </w:r>
      <w:r w:rsidRPr="00D01F07">
        <w:rPr>
          <w:rFonts w:ascii="Calibri" w:hAnsi="Calibri" w:cs="Calibri"/>
        </w:rPr>
        <w:t xml:space="preserve"> of employees </w:t>
      </w:r>
      <w:r w:rsidR="007571E2" w:rsidRPr="00D01F07">
        <w:rPr>
          <w:rFonts w:ascii="Calibri" w:hAnsi="Calibri" w:cs="Calibri"/>
        </w:rPr>
        <w:t>serving in</w:t>
      </w:r>
      <w:r w:rsidRPr="00D01F07">
        <w:rPr>
          <w:rFonts w:ascii="Calibri" w:hAnsi="Calibri" w:cs="Calibri"/>
        </w:rPr>
        <w:t xml:space="preserve"> the </w:t>
      </w:r>
      <w:r w:rsidR="007571E2" w:rsidRPr="00D01F07">
        <w:rPr>
          <w:rFonts w:ascii="Calibri" w:hAnsi="Calibri" w:cs="Calibri"/>
        </w:rPr>
        <w:t>reserves declined gradually</w:t>
      </w:r>
      <w:r w:rsidRPr="00D01F07">
        <w:rPr>
          <w:rFonts w:ascii="Calibri" w:hAnsi="Calibri" w:cs="Calibri"/>
        </w:rPr>
        <w:t xml:space="preserve"> and </w:t>
      </w:r>
      <w:r w:rsidR="007571E2" w:rsidRPr="00D01F07">
        <w:rPr>
          <w:rFonts w:ascii="Calibri" w:hAnsi="Calibri" w:cs="Calibri"/>
        </w:rPr>
        <w:t>stabilized</w:t>
      </w:r>
      <w:r w:rsidRPr="00D01F07">
        <w:rPr>
          <w:rFonts w:ascii="Calibri" w:hAnsi="Calibri" w:cs="Calibri"/>
        </w:rPr>
        <w:t xml:space="preserve">. Despite the lack of manpower, </w:t>
      </w:r>
      <w:r w:rsidR="00EA287D" w:rsidRPr="00D01F07">
        <w:rPr>
          <w:rFonts w:ascii="Calibri" w:hAnsi="Calibri" w:cs="Calibri"/>
        </w:rPr>
        <w:t xml:space="preserve">the Bank of Israel initiated </w:t>
      </w:r>
      <w:r w:rsidR="007351D2" w:rsidRPr="00D01F07">
        <w:rPr>
          <w:rFonts w:ascii="Calibri" w:hAnsi="Calibri" w:cs="Calibri"/>
        </w:rPr>
        <w:t xml:space="preserve">and led numerous activities and programs for the benefit of </w:t>
      </w:r>
      <w:r w:rsidR="007571E2" w:rsidRPr="00D01F07">
        <w:rPr>
          <w:rFonts w:ascii="Calibri" w:hAnsi="Calibri" w:cs="Calibri"/>
        </w:rPr>
        <w:t>the</w:t>
      </w:r>
      <w:r w:rsidR="007351D2" w:rsidRPr="00D01F07">
        <w:rPr>
          <w:rFonts w:ascii="Calibri" w:hAnsi="Calibri" w:cs="Calibri"/>
        </w:rPr>
        <w:t xml:space="preserve"> </w:t>
      </w:r>
      <w:r w:rsidR="007571E2" w:rsidRPr="00D01F07">
        <w:rPr>
          <w:rFonts w:ascii="Calibri" w:hAnsi="Calibri" w:cs="Calibri"/>
        </w:rPr>
        <w:t>economy</w:t>
      </w:r>
      <w:r w:rsidR="007351D2" w:rsidRPr="00D01F07">
        <w:rPr>
          <w:rFonts w:ascii="Calibri" w:hAnsi="Calibri" w:cs="Calibri"/>
        </w:rPr>
        <w:t xml:space="preserve"> in view</w:t>
      </w:r>
      <w:r w:rsidR="00FA7603" w:rsidRPr="00D01F07">
        <w:rPr>
          <w:rFonts w:ascii="Calibri" w:hAnsi="Calibri" w:cs="Calibri"/>
        </w:rPr>
        <w:t xml:space="preserve"> of the </w:t>
      </w:r>
      <w:r w:rsidR="007571E2" w:rsidRPr="00D01F07">
        <w:rPr>
          <w:rFonts w:ascii="Calibri" w:hAnsi="Calibri" w:cs="Calibri"/>
        </w:rPr>
        <w:t>unexpected</w:t>
      </w:r>
      <w:r w:rsidR="00FA7603" w:rsidRPr="00D01F07">
        <w:rPr>
          <w:rFonts w:ascii="Calibri" w:hAnsi="Calibri" w:cs="Calibri"/>
        </w:rPr>
        <w:t xml:space="preserve"> </w:t>
      </w:r>
      <w:r w:rsidR="007351D2" w:rsidRPr="00D01F07">
        <w:rPr>
          <w:rFonts w:ascii="Calibri" w:hAnsi="Calibri" w:cs="Calibri"/>
        </w:rPr>
        <w:t xml:space="preserve">reality and the </w:t>
      </w:r>
      <w:r w:rsidR="007571E2" w:rsidRPr="00D01F07">
        <w:rPr>
          <w:rFonts w:ascii="Calibri" w:hAnsi="Calibri" w:cs="Calibri"/>
        </w:rPr>
        <w:t>uncertainty</w:t>
      </w:r>
      <w:r w:rsidR="007351D2" w:rsidRPr="00D01F07">
        <w:rPr>
          <w:rFonts w:ascii="Calibri" w:hAnsi="Calibri" w:cs="Calibri"/>
        </w:rPr>
        <w:t xml:space="preserve"> due to the Swords of Iron War.</w:t>
      </w:r>
    </w:p>
    <w:p w:rsidR="007351D2" w:rsidRPr="00D01F07" w:rsidRDefault="007351D2" w:rsidP="007351D2">
      <w:pPr>
        <w:pStyle w:val="regpar"/>
        <w:ind w:firstLine="0"/>
        <w:rPr>
          <w:rFonts w:ascii="Calibri" w:hAnsi="Calibri" w:cs="Calibri"/>
        </w:rPr>
      </w:pPr>
    </w:p>
    <w:p w:rsidR="007351D2" w:rsidRPr="00D01F07" w:rsidRDefault="007351D2" w:rsidP="00FA7603">
      <w:pPr>
        <w:pStyle w:val="regpar"/>
        <w:ind w:firstLine="0"/>
        <w:rPr>
          <w:rFonts w:ascii="Calibri" w:hAnsi="Calibri" w:cs="Calibri"/>
        </w:rPr>
      </w:pPr>
      <w:r w:rsidRPr="00D01F07">
        <w:rPr>
          <w:rFonts w:ascii="Calibri" w:hAnsi="Calibri" w:cs="Calibri"/>
        </w:rPr>
        <w:t xml:space="preserve">In addition to the unique challenges facing the Israeli economy, there were </w:t>
      </w:r>
      <w:r w:rsidR="007571E2" w:rsidRPr="00D01F07">
        <w:rPr>
          <w:rFonts w:ascii="Calibri" w:hAnsi="Calibri" w:cs="Calibri"/>
        </w:rPr>
        <w:t>additional</w:t>
      </w:r>
      <w:r w:rsidRPr="00D01F07">
        <w:rPr>
          <w:rFonts w:ascii="Calibri" w:hAnsi="Calibri" w:cs="Calibri"/>
        </w:rPr>
        <w:t xml:space="preserve"> </w:t>
      </w:r>
      <w:r w:rsidR="007571E2" w:rsidRPr="00D01F07">
        <w:rPr>
          <w:rFonts w:ascii="Calibri" w:hAnsi="Calibri" w:cs="Calibri"/>
        </w:rPr>
        <w:t>challenges</w:t>
      </w:r>
      <w:r w:rsidRPr="00D01F07">
        <w:rPr>
          <w:rFonts w:ascii="Calibri" w:hAnsi="Calibri" w:cs="Calibri"/>
        </w:rPr>
        <w:t xml:space="preserve"> in the monetary sphere</w:t>
      </w:r>
      <w:r w:rsidR="00FA7603" w:rsidRPr="00D01F07">
        <w:rPr>
          <w:rFonts w:ascii="Calibri" w:hAnsi="Calibri" w:cs="Calibri"/>
        </w:rPr>
        <w:t>—</w:t>
      </w:r>
      <w:r w:rsidRPr="00D01F07">
        <w:rPr>
          <w:rFonts w:ascii="Calibri" w:hAnsi="Calibri" w:cs="Calibri"/>
        </w:rPr>
        <w:t xml:space="preserve">inflation with which </w:t>
      </w:r>
      <w:r w:rsidR="007571E2" w:rsidRPr="00D01F07">
        <w:rPr>
          <w:rFonts w:ascii="Calibri" w:hAnsi="Calibri" w:cs="Calibri"/>
        </w:rPr>
        <w:t>Israel</w:t>
      </w:r>
      <w:r w:rsidRPr="00D01F07">
        <w:rPr>
          <w:rFonts w:ascii="Calibri" w:hAnsi="Calibri" w:cs="Calibri"/>
        </w:rPr>
        <w:t xml:space="preserve"> as well as </w:t>
      </w:r>
      <w:r w:rsidR="007571E2" w:rsidRPr="00D01F07">
        <w:rPr>
          <w:rFonts w:ascii="Calibri" w:hAnsi="Calibri" w:cs="Calibri"/>
        </w:rPr>
        <w:t>countries</w:t>
      </w:r>
      <w:r w:rsidRPr="00D01F07">
        <w:rPr>
          <w:rFonts w:ascii="Calibri" w:hAnsi="Calibri" w:cs="Calibri"/>
        </w:rPr>
        <w:t xml:space="preserve"> worldwide are facing.</w:t>
      </w:r>
    </w:p>
    <w:p w:rsidR="005735F5" w:rsidRPr="00D01F07" w:rsidRDefault="005735F5" w:rsidP="007351D2">
      <w:pPr>
        <w:pStyle w:val="regpar"/>
        <w:ind w:firstLine="0"/>
        <w:rPr>
          <w:rFonts w:ascii="Calibri" w:hAnsi="Calibri" w:cs="Calibri"/>
        </w:rPr>
      </w:pPr>
    </w:p>
    <w:p w:rsidR="00FA24AC" w:rsidRPr="00D01F07" w:rsidRDefault="005735F5" w:rsidP="00390095">
      <w:pPr>
        <w:pStyle w:val="regpar"/>
        <w:ind w:firstLine="0"/>
        <w:rPr>
          <w:rFonts w:ascii="Calibri" w:hAnsi="Calibri" w:cs="Calibri"/>
        </w:rPr>
      </w:pPr>
      <w:r w:rsidRPr="00D01F07">
        <w:rPr>
          <w:rFonts w:ascii="Calibri" w:hAnsi="Calibri" w:cs="Calibri"/>
        </w:rPr>
        <w:t xml:space="preserve">The work plan for 2025 integrates steps to achieve the Bank’s strategic </w:t>
      </w:r>
      <w:r w:rsidR="00390095" w:rsidRPr="00D01F07">
        <w:rPr>
          <w:rFonts w:ascii="Calibri" w:hAnsi="Calibri" w:cs="Calibri"/>
        </w:rPr>
        <w:t>targets</w:t>
      </w:r>
      <w:r w:rsidRPr="00D01F07">
        <w:rPr>
          <w:rFonts w:ascii="Calibri" w:hAnsi="Calibri" w:cs="Calibri"/>
        </w:rPr>
        <w:t xml:space="preserve">, alongside </w:t>
      </w:r>
      <w:r w:rsidR="007571E2" w:rsidRPr="00D01F07">
        <w:rPr>
          <w:rFonts w:ascii="Calibri" w:hAnsi="Calibri" w:cs="Calibri"/>
        </w:rPr>
        <w:t>steps to p</w:t>
      </w:r>
      <w:r w:rsidRPr="00D01F07">
        <w:rPr>
          <w:rFonts w:ascii="Calibri" w:hAnsi="Calibri" w:cs="Calibri"/>
        </w:rPr>
        <w:t xml:space="preserve">rovide a response to </w:t>
      </w:r>
      <w:r w:rsidR="007571E2" w:rsidRPr="00D01F07">
        <w:rPr>
          <w:rFonts w:ascii="Calibri" w:hAnsi="Calibri" w:cs="Calibri"/>
        </w:rPr>
        <w:t xml:space="preserve">the </w:t>
      </w:r>
      <w:r w:rsidRPr="00D01F07">
        <w:rPr>
          <w:rFonts w:ascii="Calibri" w:hAnsi="Calibri" w:cs="Calibri"/>
        </w:rPr>
        <w:t xml:space="preserve">unique challenges </w:t>
      </w:r>
      <w:r w:rsidR="007571E2" w:rsidRPr="00D01F07">
        <w:rPr>
          <w:rFonts w:ascii="Calibri" w:hAnsi="Calibri" w:cs="Calibri"/>
        </w:rPr>
        <w:t>faced by</w:t>
      </w:r>
      <w:r w:rsidRPr="00D01F07">
        <w:rPr>
          <w:rFonts w:ascii="Calibri" w:hAnsi="Calibri" w:cs="Calibri"/>
        </w:rPr>
        <w:t xml:space="preserve"> the </w:t>
      </w:r>
      <w:r w:rsidR="00F75CC9" w:rsidRPr="00D01F07">
        <w:rPr>
          <w:rFonts w:ascii="Calibri" w:hAnsi="Calibri" w:cs="Calibri"/>
        </w:rPr>
        <w:t>I</w:t>
      </w:r>
      <w:r w:rsidRPr="00D01F07">
        <w:rPr>
          <w:rFonts w:ascii="Calibri" w:hAnsi="Calibri" w:cs="Calibri"/>
        </w:rPr>
        <w:t>srael</w:t>
      </w:r>
      <w:r w:rsidR="00F75CC9" w:rsidRPr="00D01F07">
        <w:rPr>
          <w:rFonts w:ascii="Calibri" w:hAnsi="Calibri" w:cs="Calibri"/>
        </w:rPr>
        <w:t xml:space="preserve">i </w:t>
      </w:r>
      <w:r w:rsidRPr="00D01F07">
        <w:rPr>
          <w:rFonts w:ascii="Calibri" w:hAnsi="Calibri" w:cs="Calibri"/>
        </w:rPr>
        <w:t>econo</w:t>
      </w:r>
      <w:r w:rsidR="00F75CC9" w:rsidRPr="00D01F07">
        <w:rPr>
          <w:rFonts w:ascii="Calibri" w:hAnsi="Calibri" w:cs="Calibri"/>
        </w:rPr>
        <w:t>my, th</w:t>
      </w:r>
      <w:r w:rsidRPr="00D01F07">
        <w:rPr>
          <w:rFonts w:ascii="Calibri" w:hAnsi="Calibri" w:cs="Calibri"/>
        </w:rPr>
        <w:t>e</w:t>
      </w:r>
      <w:r w:rsidR="00F75CC9" w:rsidRPr="00D01F07">
        <w:rPr>
          <w:rFonts w:ascii="Calibri" w:hAnsi="Calibri" w:cs="Calibri"/>
        </w:rPr>
        <w:t xml:space="preserve"> uncertainty</w:t>
      </w:r>
      <w:r w:rsidRPr="00D01F07">
        <w:rPr>
          <w:rFonts w:ascii="Calibri" w:hAnsi="Calibri" w:cs="Calibri"/>
        </w:rPr>
        <w:t xml:space="preserve"> regar</w:t>
      </w:r>
      <w:r w:rsidR="00F75CC9" w:rsidRPr="00D01F07">
        <w:rPr>
          <w:rFonts w:ascii="Calibri" w:hAnsi="Calibri" w:cs="Calibri"/>
        </w:rPr>
        <w:t>d</w:t>
      </w:r>
      <w:r w:rsidRPr="00D01F07">
        <w:rPr>
          <w:rFonts w:ascii="Calibri" w:hAnsi="Calibri" w:cs="Calibri"/>
        </w:rPr>
        <w:t>ing the de</w:t>
      </w:r>
      <w:r w:rsidR="00F75CC9" w:rsidRPr="00D01F07">
        <w:rPr>
          <w:rFonts w:ascii="Calibri" w:hAnsi="Calibri" w:cs="Calibri"/>
        </w:rPr>
        <w:t>velopme</w:t>
      </w:r>
      <w:r w:rsidRPr="00D01F07">
        <w:rPr>
          <w:rFonts w:ascii="Calibri" w:hAnsi="Calibri" w:cs="Calibri"/>
        </w:rPr>
        <w:t>n</w:t>
      </w:r>
      <w:r w:rsidR="00F75CC9" w:rsidRPr="00D01F07">
        <w:rPr>
          <w:rFonts w:ascii="Calibri" w:hAnsi="Calibri" w:cs="Calibri"/>
        </w:rPr>
        <w:t>ts</w:t>
      </w:r>
      <w:r w:rsidRPr="00D01F07">
        <w:rPr>
          <w:rFonts w:ascii="Calibri" w:hAnsi="Calibri" w:cs="Calibri"/>
        </w:rPr>
        <w:t xml:space="preserve"> in </w:t>
      </w:r>
      <w:r w:rsidR="007571E2" w:rsidRPr="00D01F07">
        <w:rPr>
          <w:rFonts w:ascii="Calibri" w:hAnsi="Calibri" w:cs="Calibri"/>
        </w:rPr>
        <w:t>various</w:t>
      </w:r>
      <w:r w:rsidRPr="00D01F07">
        <w:rPr>
          <w:rFonts w:ascii="Calibri" w:hAnsi="Calibri" w:cs="Calibri"/>
        </w:rPr>
        <w:t xml:space="preserve"> areas, </w:t>
      </w:r>
      <w:r w:rsidR="00FA7603" w:rsidRPr="00D01F07">
        <w:rPr>
          <w:rFonts w:ascii="Calibri" w:hAnsi="Calibri" w:cs="Calibri"/>
        </w:rPr>
        <w:t xml:space="preserve">and the </w:t>
      </w:r>
      <w:r w:rsidR="007571E2" w:rsidRPr="00D01F07">
        <w:rPr>
          <w:rFonts w:ascii="Calibri" w:hAnsi="Calibri" w:cs="Calibri"/>
        </w:rPr>
        <w:t>challenges</w:t>
      </w:r>
      <w:r w:rsidR="00F75CC9" w:rsidRPr="00D01F07">
        <w:rPr>
          <w:rFonts w:ascii="Calibri" w:hAnsi="Calibri" w:cs="Calibri"/>
        </w:rPr>
        <w:t xml:space="preserve"> </w:t>
      </w:r>
      <w:r w:rsidRPr="00D01F07">
        <w:rPr>
          <w:rFonts w:ascii="Calibri" w:hAnsi="Calibri" w:cs="Calibri"/>
        </w:rPr>
        <w:t>and risks in the domestic and glob</w:t>
      </w:r>
      <w:r w:rsidR="00F75CC9" w:rsidRPr="00D01F07">
        <w:rPr>
          <w:rFonts w:ascii="Calibri" w:hAnsi="Calibri" w:cs="Calibri"/>
        </w:rPr>
        <w:t>al</w:t>
      </w:r>
      <w:r w:rsidRPr="00D01F07">
        <w:rPr>
          <w:rFonts w:ascii="Calibri" w:hAnsi="Calibri" w:cs="Calibri"/>
        </w:rPr>
        <w:t xml:space="preserve"> economies.</w:t>
      </w:r>
      <w:r w:rsidR="00F75CC9" w:rsidRPr="00D01F07">
        <w:rPr>
          <w:rFonts w:ascii="Calibri" w:hAnsi="Calibri" w:cs="Calibri"/>
        </w:rPr>
        <w:t xml:space="preserve"> These include especially promoting immediate steps to support the economy </w:t>
      </w:r>
      <w:r w:rsidR="001A5018" w:rsidRPr="00D01F07">
        <w:rPr>
          <w:rFonts w:ascii="Calibri" w:hAnsi="Calibri" w:cs="Calibri"/>
        </w:rPr>
        <w:t xml:space="preserve">in dealing </w:t>
      </w:r>
      <w:r w:rsidR="00F75CC9" w:rsidRPr="00D01F07">
        <w:rPr>
          <w:rFonts w:ascii="Calibri" w:hAnsi="Calibri" w:cs="Calibri"/>
        </w:rPr>
        <w:t xml:space="preserve">with the economic ramifications of the </w:t>
      </w:r>
      <w:r w:rsidR="007571E2" w:rsidRPr="00D01F07">
        <w:rPr>
          <w:rFonts w:ascii="Calibri" w:hAnsi="Calibri" w:cs="Calibri"/>
        </w:rPr>
        <w:t>Swords</w:t>
      </w:r>
      <w:r w:rsidR="00F75CC9" w:rsidRPr="00D01F07">
        <w:rPr>
          <w:rFonts w:ascii="Calibri" w:hAnsi="Calibri" w:cs="Calibri"/>
        </w:rPr>
        <w:t xml:space="preserve"> of Iron War, and </w:t>
      </w:r>
      <w:r w:rsidR="007571E2" w:rsidRPr="00D01F07">
        <w:rPr>
          <w:rFonts w:ascii="Calibri" w:hAnsi="Calibri" w:cs="Calibri"/>
        </w:rPr>
        <w:t>carrying</w:t>
      </w:r>
      <w:r w:rsidR="001A5018" w:rsidRPr="00D01F07">
        <w:rPr>
          <w:rFonts w:ascii="Calibri" w:hAnsi="Calibri" w:cs="Calibri"/>
        </w:rPr>
        <w:t xml:space="preserve"> </w:t>
      </w:r>
      <w:r w:rsidR="00F75CC9" w:rsidRPr="00D01F07">
        <w:rPr>
          <w:rFonts w:ascii="Calibri" w:hAnsi="Calibri" w:cs="Calibri"/>
        </w:rPr>
        <w:t xml:space="preserve">out designated </w:t>
      </w:r>
      <w:r w:rsidR="007571E2" w:rsidRPr="00D01F07">
        <w:rPr>
          <w:rFonts w:ascii="Calibri" w:hAnsi="Calibri" w:cs="Calibri"/>
        </w:rPr>
        <w:t>programs and</w:t>
      </w:r>
      <w:r w:rsidR="00F75CC9" w:rsidRPr="00D01F07">
        <w:rPr>
          <w:rFonts w:ascii="Calibri" w:hAnsi="Calibri" w:cs="Calibri"/>
        </w:rPr>
        <w:t xml:space="preserve"> </w:t>
      </w:r>
      <w:r w:rsidR="007571E2" w:rsidRPr="00D01F07">
        <w:rPr>
          <w:rFonts w:ascii="Calibri" w:hAnsi="Calibri" w:cs="Calibri"/>
        </w:rPr>
        <w:t>adjustments</w:t>
      </w:r>
      <w:r w:rsidR="00F75CC9" w:rsidRPr="00D01F07">
        <w:rPr>
          <w:rFonts w:ascii="Calibri" w:hAnsi="Calibri" w:cs="Calibri"/>
        </w:rPr>
        <w:t xml:space="preserve"> in the Bank as such.</w:t>
      </w:r>
    </w:p>
    <w:p w:rsidR="00FA24AC" w:rsidRPr="00D01F07" w:rsidRDefault="00FA24AC" w:rsidP="00F75CC9">
      <w:pPr>
        <w:pStyle w:val="regpar"/>
        <w:ind w:firstLine="0"/>
        <w:rPr>
          <w:rFonts w:ascii="Calibri" w:hAnsi="Calibri" w:cs="Calibri"/>
        </w:rPr>
      </w:pPr>
    </w:p>
    <w:p w:rsidR="005735F5" w:rsidRPr="00D01F07" w:rsidRDefault="00FA24AC" w:rsidP="0088413E">
      <w:pPr>
        <w:pStyle w:val="regpar"/>
        <w:ind w:firstLine="0"/>
        <w:rPr>
          <w:rFonts w:ascii="Calibri" w:hAnsi="Calibri" w:cs="Calibri"/>
        </w:rPr>
      </w:pPr>
      <w:r w:rsidRPr="00D01F07">
        <w:rPr>
          <w:rFonts w:ascii="Calibri" w:hAnsi="Calibri" w:cs="Calibri"/>
        </w:rPr>
        <w:t xml:space="preserve">Due to the war and the substantial economic </w:t>
      </w:r>
      <w:r w:rsidR="0088413E" w:rsidRPr="00D01F07">
        <w:rPr>
          <w:rFonts w:ascii="Calibri" w:hAnsi="Calibri" w:cs="Calibri"/>
        </w:rPr>
        <w:t xml:space="preserve">consequences </w:t>
      </w:r>
      <w:r w:rsidRPr="00D01F07">
        <w:rPr>
          <w:rFonts w:ascii="Calibri" w:hAnsi="Calibri" w:cs="Calibri"/>
        </w:rPr>
        <w:t xml:space="preserve">related to the </w:t>
      </w:r>
      <w:r w:rsidR="007571E2" w:rsidRPr="00D01F07">
        <w:rPr>
          <w:rFonts w:ascii="Calibri" w:hAnsi="Calibri" w:cs="Calibri"/>
        </w:rPr>
        <w:t>si</w:t>
      </w:r>
      <w:r w:rsidR="00BA61C0" w:rsidRPr="00D01F07">
        <w:rPr>
          <w:rFonts w:ascii="Calibri" w:hAnsi="Calibri" w:cs="Calibri"/>
        </w:rPr>
        <w:t>t</w:t>
      </w:r>
      <w:r w:rsidR="007571E2" w:rsidRPr="00D01F07">
        <w:rPr>
          <w:rFonts w:ascii="Calibri" w:hAnsi="Calibri" w:cs="Calibri"/>
        </w:rPr>
        <w:t>ua</w:t>
      </w:r>
      <w:r w:rsidR="00BA61C0" w:rsidRPr="00D01F07">
        <w:rPr>
          <w:rFonts w:ascii="Calibri" w:hAnsi="Calibri" w:cs="Calibri"/>
        </w:rPr>
        <w:t>t</w:t>
      </w:r>
      <w:r w:rsidR="007571E2" w:rsidRPr="00D01F07">
        <w:rPr>
          <w:rFonts w:ascii="Calibri" w:hAnsi="Calibri" w:cs="Calibri"/>
        </w:rPr>
        <w:t>i</w:t>
      </w:r>
      <w:r w:rsidR="00BA61C0" w:rsidRPr="00D01F07">
        <w:rPr>
          <w:rFonts w:ascii="Calibri" w:hAnsi="Calibri" w:cs="Calibri"/>
        </w:rPr>
        <w:t>on, the Bank</w:t>
      </w:r>
      <w:r w:rsidR="007571E2" w:rsidRPr="00D01F07">
        <w:rPr>
          <w:rFonts w:ascii="Calibri" w:hAnsi="Calibri" w:cs="Calibri"/>
        </w:rPr>
        <w:t>’</w:t>
      </w:r>
      <w:r w:rsidR="00BA61C0" w:rsidRPr="00D01F07">
        <w:rPr>
          <w:rFonts w:ascii="Calibri" w:hAnsi="Calibri" w:cs="Calibri"/>
        </w:rPr>
        <w:t>s work plans are formulate</w:t>
      </w:r>
      <w:r w:rsidR="001A5018" w:rsidRPr="00D01F07">
        <w:rPr>
          <w:rFonts w:ascii="Calibri" w:hAnsi="Calibri" w:cs="Calibri"/>
        </w:rPr>
        <w:t>d</w:t>
      </w:r>
      <w:r w:rsidR="00BA61C0" w:rsidRPr="00D01F07">
        <w:rPr>
          <w:rFonts w:ascii="Calibri" w:hAnsi="Calibri" w:cs="Calibri"/>
        </w:rPr>
        <w:t xml:space="preserve"> and presented this year while knowing clearly that they are a basis for changes in accordance with </w:t>
      </w:r>
      <w:r w:rsidR="007571E2" w:rsidRPr="00D01F07">
        <w:rPr>
          <w:rFonts w:ascii="Calibri" w:hAnsi="Calibri" w:cs="Calibri"/>
        </w:rPr>
        <w:t>external</w:t>
      </w:r>
      <w:r w:rsidR="00BA61C0" w:rsidRPr="00D01F07">
        <w:rPr>
          <w:rFonts w:ascii="Calibri" w:hAnsi="Calibri" w:cs="Calibri"/>
        </w:rPr>
        <w:t xml:space="preserve"> and internal developments. In this regard, the </w:t>
      </w:r>
      <w:r w:rsidR="007571E2" w:rsidRPr="00D01F07">
        <w:rPr>
          <w:rFonts w:ascii="Calibri" w:hAnsi="Calibri" w:cs="Calibri"/>
        </w:rPr>
        <w:t>structur</w:t>
      </w:r>
      <w:r w:rsidR="001A5018" w:rsidRPr="00D01F07">
        <w:rPr>
          <w:rFonts w:ascii="Calibri" w:hAnsi="Calibri" w:cs="Calibri"/>
        </w:rPr>
        <w:t xml:space="preserve">al </w:t>
      </w:r>
      <w:r w:rsidR="007571E2" w:rsidRPr="00D01F07">
        <w:rPr>
          <w:rFonts w:ascii="Calibri" w:hAnsi="Calibri" w:cs="Calibri"/>
        </w:rPr>
        <w:t>challenge</w:t>
      </w:r>
      <w:r w:rsidR="00BA61C0" w:rsidRPr="00D01F07">
        <w:rPr>
          <w:rFonts w:ascii="Calibri" w:hAnsi="Calibri" w:cs="Calibri"/>
        </w:rPr>
        <w:t xml:space="preserve"> in finding a </w:t>
      </w:r>
      <w:r w:rsidR="007571E2" w:rsidRPr="00D01F07">
        <w:rPr>
          <w:rFonts w:ascii="Calibri" w:hAnsi="Calibri" w:cs="Calibri"/>
        </w:rPr>
        <w:t>balance</w:t>
      </w:r>
      <w:r w:rsidR="00BA61C0" w:rsidRPr="00D01F07">
        <w:rPr>
          <w:rFonts w:ascii="Calibri" w:hAnsi="Calibri" w:cs="Calibri"/>
        </w:rPr>
        <w:t xml:space="preserve"> between </w:t>
      </w:r>
      <w:r w:rsidR="007571E2" w:rsidRPr="00D01F07">
        <w:rPr>
          <w:rFonts w:ascii="Calibri" w:hAnsi="Calibri" w:cs="Calibri"/>
        </w:rPr>
        <w:t>t</w:t>
      </w:r>
      <w:r w:rsidR="00BA61C0" w:rsidRPr="00D01F07">
        <w:rPr>
          <w:rFonts w:ascii="Calibri" w:hAnsi="Calibri" w:cs="Calibri"/>
        </w:rPr>
        <w:t>he Bank’</w:t>
      </w:r>
      <w:r w:rsidR="007571E2" w:rsidRPr="00D01F07">
        <w:rPr>
          <w:rFonts w:ascii="Calibri" w:hAnsi="Calibri" w:cs="Calibri"/>
        </w:rPr>
        <w:t xml:space="preserve"> </w:t>
      </w:r>
      <w:r w:rsidR="00BA61C0" w:rsidRPr="00D01F07">
        <w:rPr>
          <w:rFonts w:ascii="Calibri" w:hAnsi="Calibri" w:cs="Calibri"/>
        </w:rPr>
        <w:t>c</w:t>
      </w:r>
      <w:r w:rsidR="007571E2" w:rsidRPr="00D01F07">
        <w:rPr>
          <w:rFonts w:ascii="Calibri" w:hAnsi="Calibri" w:cs="Calibri"/>
        </w:rPr>
        <w:t>u</w:t>
      </w:r>
      <w:r w:rsidR="00BA61C0" w:rsidRPr="00D01F07">
        <w:rPr>
          <w:rFonts w:ascii="Calibri" w:hAnsi="Calibri" w:cs="Calibri"/>
        </w:rPr>
        <w:t>rre</w:t>
      </w:r>
      <w:r w:rsidR="007571E2" w:rsidRPr="00D01F07">
        <w:rPr>
          <w:rFonts w:ascii="Calibri" w:hAnsi="Calibri" w:cs="Calibri"/>
        </w:rPr>
        <w:t>nt activities</w:t>
      </w:r>
      <w:r w:rsidR="00BA61C0" w:rsidRPr="00D01F07">
        <w:rPr>
          <w:rFonts w:ascii="Calibri" w:hAnsi="Calibri" w:cs="Calibri"/>
        </w:rPr>
        <w:t xml:space="preserve"> and the promotion</w:t>
      </w:r>
      <w:r w:rsidR="001A5018" w:rsidRPr="00D01F07">
        <w:rPr>
          <w:rFonts w:ascii="Calibri" w:hAnsi="Calibri" w:cs="Calibri"/>
        </w:rPr>
        <w:t xml:space="preserve"> </w:t>
      </w:r>
      <w:r w:rsidR="00BA61C0" w:rsidRPr="00D01F07">
        <w:rPr>
          <w:rFonts w:ascii="Calibri" w:hAnsi="Calibri" w:cs="Calibri"/>
        </w:rPr>
        <w:t>of strategy and initiatives are all the more important.</w:t>
      </w:r>
      <w:r w:rsidR="005735F5" w:rsidRPr="00D01F07">
        <w:rPr>
          <w:rFonts w:ascii="Calibri" w:hAnsi="Calibri" w:cs="Calibri"/>
        </w:rPr>
        <w:t xml:space="preserve"> </w:t>
      </w:r>
    </w:p>
    <w:p w:rsidR="00687F53" w:rsidRPr="00D01F07" w:rsidRDefault="00687F53" w:rsidP="00687F53">
      <w:pPr>
        <w:pStyle w:val="regpar"/>
        <w:ind w:firstLine="0"/>
        <w:rPr>
          <w:rFonts w:ascii="Calibri" w:hAnsi="Calibri" w:cs="Calibri"/>
        </w:rPr>
      </w:pPr>
    </w:p>
    <w:p w:rsidR="006C7DEA" w:rsidRPr="00D01F07" w:rsidRDefault="00687F53" w:rsidP="00390095">
      <w:pPr>
        <w:pStyle w:val="regpar"/>
        <w:ind w:firstLine="0"/>
        <w:rPr>
          <w:rFonts w:ascii="Calibri" w:hAnsi="Calibri" w:cs="Calibri"/>
        </w:rPr>
      </w:pPr>
      <w:r w:rsidRPr="00D01F07">
        <w:rPr>
          <w:rFonts w:ascii="Calibri" w:hAnsi="Calibri" w:cs="Calibri"/>
        </w:rPr>
        <w:t xml:space="preserve">The Bank of Israel’s overall budget for </w:t>
      </w:r>
      <w:r w:rsidR="006C7DEA" w:rsidRPr="00D01F07">
        <w:rPr>
          <w:rFonts w:ascii="Calibri" w:hAnsi="Calibri" w:cs="Calibri"/>
        </w:rPr>
        <w:t>2025</w:t>
      </w:r>
      <w:r w:rsidR="00A61D2A" w:rsidRPr="00D01F07">
        <w:rPr>
          <w:rFonts w:ascii="Calibri" w:hAnsi="Calibri" w:cs="Calibri"/>
        </w:rPr>
        <w:t xml:space="preserve"> </w:t>
      </w:r>
      <w:r w:rsidRPr="00D01F07">
        <w:rPr>
          <w:rFonts w:ascii="Calibri" w:hAnsi="Calibri" w:cs="Calibri"/>
        </w:rPr>
        <w:t>totals NIS</w:t>
      </w:r>
      <w:r w:rsidR="00093D77" w:rsidRPr="00D01F07">
        <w:rPr>
          <w:rFonts w:ascii="Calibri" w:hAnsi="Calibri" w:cs="Calibri"/>
        </w:rPr>
        <w:t xml:space="preserve"> 1,</w:t>
      </w:r>
      <w:r w:rsidR="006C7DEA" w:rsidRPr="00D01F07">
        <w:rPr>
          <w:rFonts w:ascii="Calibri" w:hAnsi="Calibri" w:cs="Calibri"/>
        </w:rPr>
        <w:t>301.4</w:t>
      </w:r>
      <w:r w:rsidRPr="00D01F07">
        <w:rPr>
          <w:rFonts w:ascii="Calibri" w:hAnsi="Calibri" w:cs="Calibri"/>
        </w:rPr>
        <w:t xml:space="preserve"> million. The budget is </w:t>
      </w:r>
      <w:r w:rsidR="006C7DEA" w:rsidRPr="00D01F07">
        <w:rPr>
          <w:rFonts w:ascii="Calibri" w:hAnsi="Calibri" w:cs="Calibri"/>
        </w:rPr>
        <w:t>4.2</w:t>
      </w:r>
      <w:r w:rsidR="00CA446A" w:rsidRPr="00D01F07">
        <w:rPr>
          <w:rFonts w:ascii="Calibri" w:hAnsi="Calibri" w:cs="Calibri"/>
        </w:rPr>
        <w:t xml:space="preserve"> </w:t>
      </w:r>
      <w:r w:rsidRPr="00D01F07">
        <w:rPr>
          <w:rFonts w:ascii="Calibri" w:hAnsi="Calibri" w:cs="Calibri"/>
        </w:rPr>
        <w:t xml:space="preserve">percent </w:t>
      </w:r>
      <w:r w:rsidR="00093D77" w:rsidRPr="00D01F07">
        <w:rPr>
          <w:rFonts w:ascii="Calibri" w:hAnsi="Calibri" w:cs="Calibri"/>
        </w:rPr>
        <w:t>higher</w:t>
      </w:r>
      <w:r w:rsidRPr="00D01F07">
        <w:rPr>
          <w:rFonts w:ascii="Calibri" w:hAnsi="Calibri" w:cs="Calibri"/>
        </w:rPr>
        <w:t xml:space="preserve"> than in</w:t>
      </w:r>
      <w:r w:rsidR="00CA446A" w:rsidRPr="00D01F07">
        <w:rPr>
          <w:rFonts w:ascii="Calibri" w:hAnsi="Calibri" w:cs="Calibri"/>
        </w:rPr>
        <w:t xml:space="preserve"> 202</w:t>
      </w:r>
      <w:r w:rsidR="006C7DEA" w:rsidRPr="00D01F07">
        <w:rPr>
          <w:rFonts w:ascii="Calibri" w:hAnsi="Calibri" w:cs="Calibri"/>
        </w:rPr>
        <w:t>4</w:t>
      </w:r>
      <w:r w:rsidR="009D749E" w:rsidRPr="00D01F07">
        <w:rPr>
          <w:rFonts w:ascii="Calibri" w:hAnsi="Calibri" w:cs="Calibri"/>
        </w:rPr>
        <w:t>,</w:t>
      </w:r>
      <w:r w:rsidRPr="00D01F07">
        <w:rPr>
          <w:rFonts w:ascii="Calibri" w:hAnsi="Calibri" w:cs="Calibri"/>
        </w:rPr>
        <w:t xml:space="preserve"> primarily due to a</w:t>
      </w:r>
      <w:r w:rsidR="00093D77" w:rsidRPr="00D01F07">
        <w:rPr>
          <w:rFonts w:ascii="Calibri" w:hAnsi="Calibri" w:cs="Calibri"/>
        </w:rPr>
        <w:t>n</w:t>
      </w:r>
      <w:r w:rsidRPr="00D01F07">
        <w:rPr>
          <w:rFonts w:ascii="Calibri" w:hAnsi="Calibri" w:cs="Calibri"/>
        </w:rPr>
        <w:t xml:space="preserve"> </w:t>
      </w:r>
      <w:r w:rsidR="00093D77" w:rsidRPr="00D01F07">
        <w:rPr>
          <w:rFonts w:ascii="Calibri" w:hAnsi="Calibri" w:cs="Calibri"/>
        </w:rPr>
        <w:t>incre</w:t>
      </w:r>
      <w:r w:rsidRPr="00D01F07">
        <w:rPr>
          <w:rFonts w:ascii="Calibri" w:hAnsi="Calibri" w:cs="Calibri"/>
        </w:rPr>
        <w:t>ase in</w:t>
      </w:r>
      <w:r w:rsidR="006C7DEA" w:rsidRPr="00D01F07">
        <w:rPr>
          <w:rFonts w:ascii="Calibri" w:hAnsi="Calibri" w:cs="Calibri"/>
        </w:rPr>
        <w:t xml:space="preserve"> </w:t>
      </w:r>
      <w:r w:rsidR="00D655AD" w:rsidRPr="00D01F07">
        <w:rPr>
          <w:rFonts w:ascii="Calibri" w:hAnsi="Calibri" w:cs="Calibri"/>
        </w:rPr>
        <w:t xml:space="preserve">the budget for inflexible issues such as currency issue, managing </w:t>
      </w:r>
      <w:r w:rsidR="009D749E" w:rsidRPr="00D01F07">
        <w:rPr>
          <w:rFonts w:ascii="Calibri" w:hAnsi="Calibri" w:cs="Calibri"/>
        </w:rPr>
        <w:t>the assets</w:t>
      </w:r>
      <w:r w:rsidR="00D655AD" w:rsidRPr="00D01F07">
        <w:rPr>
          <w:rFonts w:ascii="Calibri" w:hAnsi="Calibri" w:cs="Calibri"/>
        </w:rPr>
        <w:t xml:space="preserve"> of the Citizens of Israel Fund </w:t>
      </w:r>
      <w:r w:rsidR="009D749E" w:rsidRPr="00D01F07">
        <w:rPr>
          <w:rFonts w:ascii="Calibri" w:hAnsi="Calibri" w:cs="Calibri"/>
        </w:rPr>
        <w:t>for natural</w:t>
      </w:r>
      <w:r w:rsidR="00D655AD" w:rsidRPr="00D01F07">
        <w:rPr>
          <w:rFonts w:ascii="Calibri" w:hAnsi="Calibri" w:cs="Calibri"/>
        </w:rPr>
        <w:t xml:space="preserve"> gas profits, </w:t>
      </w:r>
      <w:r w:rsidR="009D749E" w:rsidRPr="00D01F07">
        <w:rPr>
          <w:rFonts w:ascii="Calibri" w:hAnsi="Calibri" w:cs="Calibri"/>
        </w:rPr>
        <w:t>and</w:t>
      </w:r>
      <w:r w:rsidR="00D655AD" w:rsidRPr="00D01F07">
        <w:rPr>
          <w:rFonts w:ascii="Calibri" w:hAnsi="Calibri" w:cs="Calibri"/>
        </w:rPr>
        <w:t xml:space="preserve"> the </w:t>
      </w:r>
      <w:r w:rsidR="009D749E" w:rsidRPr="00D01F07">
        <w:rPr>
          <w:rFonts w:ascii="Calibri" w:hAnsi="Calibri" w:cs="Calibri"/>
        </w:rPr>
        <w:t>budget</w:t>
      </w:r>
      <w:r w:rsidR="00D655AD" w:rsidRPr="00D01F07">
        <w:rPr>
          <w:rFonts w:ascii="Calibri" w:hAnsi="Calibri" w:cs="Calibri"/>
        </w:rPr>
        <w:t xml:space="preserve"> for </w:t>
      </w:r>
      <w:r w:rsidR="00390095" w:rsidRPr="00D01F07">
        <w:rPr>
          <w:rFonts w:ascii="Calibri" w:hAnsi="Calibri" w:cs="Calibri"/>
        </w:rPr>
        <w:t xml:space="preserve">wage and pension payments </w:t>
      </w:r>
      <w:r w:rsidR="00D655AD" w:rsidRPr="00D01F07">
        <w:rPr>
          <w:rFonts w:ascii="Calibri" w:hAnsi="Calibri" w:cs="Calibri"/>
        </w:rPr>
        <w:t xml:space="preserve">due to existing wage agreements. The Bank’s budget excluding </w:t>
      </w:r>
      <w:r w:rsidR="009D749E" w:rsidRPr="00D01F07">
        <w:rPr>
          <w:rFonts w:ascii="Calibri" w:hAnsi="Calibri" w:cs="Calibri"/>
        </w:rPr>
        <w:t>currency</w:t>
      </w:r>
      <w:r w:rsidR="00D655AD" w:rsidRPr="00D01F07">
        <w:rPr>
          <w:rFonts w:ascii="Calibri" w:hAnsi="Calibri" w:cs="Calibri"/>
        </w:rPr>
        <w:t xml:space="preserve"> </w:t>
      </w:r>
      <w:r w:rsidR="009D749E" w:rsidRPr="00D01F07">
        <w:rPr>
          <w:rFonts w:ascii="Calibri" w:hAnsi="Calibri" w:cs="Calibri"/>
        </w:rPr>
        <w:t>issue</w:t>
      </w:r>
      <w:r w:rsidR="00D655AD" w:rsidRPr="00D01F07">
        <w:rPr>
          <w:rFonts w:ascii="Calibri" w:hAnsi="Calibri" w:cs="Calibri"/>
        </w:rPr>
        <w:t xml:space="preserve">, </w:t>
      </w:r>
      <w:r w:rsidR="009D749E" w:rsidRPr="00D01F07">
        <w:rPr>
          <w:rFonts w:ascii="Calibri" w:hAnsi="Calibri" w:cs="Calibri"/>
        </w:rPr>
        <w:t>managing</w:t>
      </w:r>
      <w:r w:rsidR="00D655AD" w:rsidRPr="00D01F07">
        <w:rPr>
          <w:rFonts w:ascii="Calibri" w:hAnsi="Calibri" w:cs="Calibri"/>
        </w:rPr>
        <w:t xml:space="preserve"> the </w:t>
      </w:r>
      <w:r w:rsidR="009D749E" w:rsidRPr="00D01F07">
        <w:rPr>
          <w:rFonts w:ascii="Calibri" w:hAnsi="Calibri" w:cs="Calibri"/>
        </w:rPr>
        <w:t>assets</w:t>
      </w:r>
      <w:r w:rsidR="00D655AD" w:rsidRPr="00D01F07">
        <w:rPr>
          <w:rFonts w:ascii="Calibri" w:hAnsi="Calibri" w:cs="Calibri"/>
        </w:rPr>
        <w:t xml:space="preserve"> o</w:t>
      </w:r>
      <w:r w:rsidR="009D749E" w:rsidRPr="00D01F07">
        <w:rPr>
          <w:rFonts w:ascii="Calibri" w:hAnsi="Calibri" w:cs="Calibri"/>
        </w:rPr>
        <w:t>f</w:t>
      </w:r>
      <w:r w:rsidR="00D655AD" w:rsidRPr="00D01F07">
        <w:rPr>
          <w:rFonts w:ascii="Calibri" w:hAnsi="Calibri" w:cs="Calibri"/>
        </w:rPr>
        <w:t xml:space="preserve"> </w:t>
      </w:r>
      <w:r w:rsidR="009D749E" w:rsidRPr="00D01F07">
        <w:rPr>
          <w:rFonts w:ascii="Calibri" w:hAnsi="Calibri" w:cs="Calibri"/>
        </w:rPr>
        <w:t>the</w:t>
      </w:r>
      <w:r w:rsidR="00D655AD" w:rsidRPr="00D01F07">
        <w:rPr>
          <w:rFonts w:ascii="Calibri" w:hAnsi="Calibri" w:cs="Calibri"/>
        </w:rPr>
        <w:t xml:space="preserve"> Citizens of Israel Fund for </w:t>
      </w:r>
      <w:r w:rsidR="00D655AD" w:rsidRPr="00D01F07">
        <w:rPr>
          <w:rFonts w:ascii="Calibri" w:hAnsi="Calibri" w:cs="Calibri"/>
        </w:rPr>
        <w:lastRenderedPageBreak/>
        <w:t xml:space="preserve">natural gas profits, and </w:t>
      </w:r>
      <w:r w:rsidR="009D749E" w:rsidRPr="00D01F07">
        <w:rPr>
          <w:rFonts w:ascii="Calibri" w:hAnsi="Calibri" w:cs="Calibri"/>
        </w:rPr>
        <w:t>the</w:t>
      </w:r>
      <w:r w:rsidR="00D655AD" w:rsidRPr="00D01F07">
        <w:rPr>
          <w:rFonts w:ascii="Calibri" w:hAnsi="Calibri" w:cs="Calibri"/>
        </w:rPr>
        <w:t xml:space="preserve"> Credit Data System for </w:t>
      </w:r>
      <w:r w:rsidR="00AC4D1F" w:rsidRPr="00D01F07">
        <w:rPr>
          <w:rFonts w:ascii="Calibri" w:hAnsi="Calibri" w:cs="Calibri"/>
        </w:rPr>
        <w:t>2025</w:t>
      </w:r>
      <w:r w:rsidR="00D655AD" w:rsidRPr="00D01F07">
        <w:rPr>
          <w:rFonts w:ascii="Calibri" w:hAnsi="Calibri" w:cs="Calibri"/>
        </w:rPr>
        <w:t xml:space="preserve"> was NIS 1,07</w:t>
      </w:r>
      <w:r w:rsidR="00AC4D1F" w:rsidRPr="00D01F07">
        <w:rPr>
          <w:rFonts w:ascii="Calibri" w:hAnsi="Calibri" w:cs="Calibri"/>
        </w:rPr>
        <w:t>0</w:t>
      </w:r>
      <w:r w:rsidR="00D655AD" w:rsidRPr="00D01F07">
        <w:rPr>
          <w:rFonts w:ascii="Calibri" w:hAnsi="Calibri" w:cs="Calibri"/>
        </w:rPr>
        <w:t>.9</w:t>
      </w:r>
      <w:r w:rsidR="00AC4D1F" w:rsidRPr="00D01F07">
        <w:rPr>
          <w:rFonts w:ascii="Calibri" w:hAnsi="Calibri" w:cs="Calibri"/>
        </w:rPr>
        <w:t xml:space="preserve"> million</w:t>
      </w:r>
      <w:r w:rsidR="00D655AD" w:rsidRPr="00D01F07">
        <w:rPr>
          <w:rFonts w:ascii="Calibri" w:hAnsi="Calibri" w:cs="Calibri"/>
        </w:rPr>
        <w:t>, an increase of 3.2 percen</w:t>
      </w:r>
      <w:r w:rsidR="00F81E05" w:rsidRPr="00D01F07">
        <w:rPr>
          <w:rFonts w:ascii="Calibri" w:hAnsi="Calibri" w:cs="Calibri"/>
        </w:rPr>
        <w:t>t</w:t>
      </w:r>
      <w:r w:rsidR="00D655AD" w:rsidRPr="00D01F07">
        <w:rPr>
          <w:rFonts w:ascii="Calibri" w:hAnsi="Calibri" w:cs="Calibri"/>
        </w:rPr>
        <w:t xml:space="preserve"> compared to 2024.</w:t>
      </w:r>
    </w:p>
    <w:p w:rsidR="00F81E05" w:rsidRPr="00D01F07" w:rsidRDefault="00F81E05" w:rsidP="00D655AD">
      <w:pPr>
        <w:pStyle w:val="regpar"/>
        <w:ind w:firstLine="0"/>
        <w:rPr>
          <w:rFonts w:ascii="Calibri" w:hAnsi="Calibri" w:cs="Calibri"/>
        </w:rPr>
      </w:pPr>
    </w:p>
    <w:p w:rsidR="00F81E05" w:rsidRPr="00D01F07" w:rsidRDefault="00F81E05" w:rsidP="0088413E">
      <w:pPr>
        <w:pStyle w:val="regpar"/>
        <w:ind w:firstLine="0"/>
        <w:rPr>
          <w:rFonts w:ascii="Calibri" w:hAnsi="Calibri" w:cs="Calibri"/>
        </w:rPr>
      </w:pPr>
      <w:r w:rsidRPr="00D01F07">
        <w:rPr>
          <w:rFonts w:ascii="Calibri" w:hAnsi="Calibri" w:cs="Calibri"/>
        </w:rPr>
        <w:t xml:space="preserve">In view of the considerable uncertainty as detailed above, and </w:t>
      </w:r>
      <w:r w:rsidR="009D749E" w:rsidRPr="00D01F07">
        <w:rPr>
          <w:rFonts w:ascii="Calibri" w:hAnsi="Calibri" w:cs="Calibri"/>
        </w:rPr>
        <w:t>within</w:t>
      </w:r>
      <w:r w:rsidRPr="00D01F07">
        <w:rPr>
          <w:rFonts w:ascii="Calibri" w:hAnsi="Calibri" w:cs="Calibri"/>
        </w:rPr>
        <w:t xml:space="preserve"> </w:t>
      </w:r>
      <w:r w:rsidR="009D749E" w:rsidRPr="00D01F07">
        <w:rPr>
          <w:rFonts w:ascii="Calibri" w:hAnsi="Calibri" w:cs="Calibri"/>
        </w:rPr>
        <w:t>the</w:t>
      </w:r>
      <w:r w:rsidRPr="00D01F07">
        <w:rPr>
          <w:rFonts w:ascii="Calibri" w:hAnsi="Calibri" w:cs="Calibri"/>
        </w:rPr>
        <w:t xml:space="preserve"> framework o</w:t>
      </w:r>
      <w:r w:rsidR="009D749E" w:rsidRPr="00D01F07">
        <w:rPr>
          <w:rFonts w:ascii="Calibri" w:hAnsi="Calibri" w:cs="Calibri"/>
        </w:rPr>
        <w:t>f</w:t>
      </w:r>
      <w:r w:rsidRPr="00D01F07">
        <w:rPr>
          <w:rFonts w:ascii="Calibri" w:hAnsi="Calibri" w:cs="Calibri"/>
        </w:rPr>
        <w:t xml:space="preserve"> </w:t>
      </w:r>
      <w:r w:rsidR="009D749E" w:rsidRPr="00D01F07">
        <w:rPr>
          <w:rFonts w:ascii="Calibri" w:hAnsi="Calibri" w:cs="Calibri"/>
        </w:rPr>
        <w:t>t</w:t>
      </w:r>
      <w:r w:rsidRPr="00D01F07">
        <w:rPr>
          <w:rFonts w:ascii="Calibri" w:hAnsi="Calibri" w:cs="Calibri"/>
        </w:rPr>
        <w:t>he Bank</w:t>
      </w:r>
      <w:r w:rsidR="009D749E" w:rsidRPr="00D01F07">
        <w:rPr>
          <w:rFonts w:ascii="Calibri" w:hAnsi="Calibri" w:cs="Calibri"/>
        </w:rPr>
        <w:t>’</w:t>
      </w:r>
      <w:r w:rsidRPr="00D01F07">
        <w:rPr>
          <w:rFonts w:ascii="Calibri" w:hAnsi="Calibri" w:cs="Calibri"/>
        </w:rPr>
        <w:t xml:space="preserve">s </w:t>
      </w:r>
      <w:r w:rsidR="009D749E" w:rsidRPr="00D01F07">
        <w:rPr>
          <w:rFonts w:ascii="Calibri" w:hAnsi="Calibri" w:cs="Calibri"/>
        </w:rPr>
        <w:t>efforts</w:t>
      </w:r>
      <w:r w:rsidRPr="00D01F07">
        <w:rPr>
          <w:rFonts w:ascii="Calibri" w:hAnsi="Calibri" w:cs="Calibri"/>
        </w:rPr>
        <w:t xml:space="preserve"> to</w:t>
      </w:r>
      <w:r w:rsidR="0088413E" w:rsidRPr="00D01F07">
        <w:rPr>
          <w:rFonts w:ascii="Calibri" w:hAnsi="Calibri" w:cs="Calibri"/>
        </w:rPr>
        <w:t xml:space="preserve"> optimize </w:t>
      </w:r>
      <w:r w:rsidRPr="00D01F07">
        <w:rPr>
          <w:rFonts w:ascii="Calibri" w:hAnsi="Calibri" w:cs="Calibri"/>
        </w:rPr>
        <w:t xml:space="preserve">and </w:t>
      </w:r>
      <w:r w:rsidR="009D749E" w:rsidRPr="00D01F07">
        <w:rPr>
          <w:rFonts w:ascii="Calibri" w:hAnsi="Calibri" w:cs="Calibri"/>
        </w:rPr>
        <w:t>reduce</w:t>
      </w:r>
      <w:r w:rsidRPr="00D01F07">
        <w:rPr>
          <w:rFonts w:ascii="Calibri" w:hAnsi="Calibri" w:cs="Calibri"/>
        </w:rPr>
        <w:t xml:space="preserve"> </w:t>
      </w:r>
      <w:r w:rsidR="009D749E" w:rsidRPr="00D01F07">
        <w:rPr>
          <w:rFonts w:ascii="Calibri" w:hAnsi="Calibri" w:cs="Calibri"/>
        </w:rPr>
        <w:t>t</w:t>
      </w:r>
      <w:r w:rsidRPr="00D01F07">
        <w:rPr>
          <w:rFonts w:ascii="Calibri" w:hAnsi="Calibri" w:cs="Calibri"/>
        </w:rPr>
        <w:t xml:space="preserve">he Bank’s budget, we increased </w:t>
      </w:r>
      <w:r w:rsidR="002C3F57" w:rsidRPr="00D01F07">
        <w:rPr>
          <w:rFonts w:ascii="Calibri" w:hAnsi="Calibri" w:cs="Calibri"/>
        </w:rPr>
        <w:t>the flexibility</w:t>
      </w:r>
      <w:r w:rsidRPr="00D01F07">
        <w:rPr>
          <w:rFonts w:ascii="Calibri" w:hAnsi="Calibri" w:cs="Calibri"/>
        </w:rPr>
        <w:t xml:space="preserve"> in the Reserve and there was an </w:t>
      </w:r>
      <w:r w:rsidR="002C3F57" w:rsidRPr="00D01F07">
        <w:rPr>
          <w:rFonts w:ascii="Calibri" w:hAnsi="Calibri" w:cs="Calibri"/>
        </w:rPr>
        <w:t>increase</w:t>
      </w:r>
      <w:r w:rsidRPr="00D01F07">
        <w:rPr>
          <w:rFonts w:ascii="Calibri" w:hAnsi="Calibri" w:cs="Calibri"/>
        </w:rPr>
        <w:t xml:space="preserve"> in </w:t>
      </w:r>
      <w:r w:rsidR="002C3F57" w:rsidRPr="00D01F07">
        <w:rPr>
          <w:rFonts w:ascii="Calibri" w:hAnsi="Calibri" w:cs="Calibri"/>
        </w:rPr>
        <w:t>that</w:t>
      </w:r>
      <w:r w:rsidRPr="00D01F07">
        <w:rPr>
          <w:rFonts w:ascii="Calibri" w:hAnsi="Calibri" w:cs="Calibri"/>
        </w:rPr>
        <w:t xml:space="preserve"> item.</w:t>
      </w:r>
    </w:p>
    <w:p w:rsidR="00F81E05" w:rsidRPr="00D01F07" w:rsidRDefault="00F81E05" w:rsidP="00D655AD">
      <w:pPr>
        <w:pStyle w:val="regpar"/>
        <w:ind w:firstLine="0"/>
        <w:rPr>
          <w:rFonts w:ascii="Calibri" w:hAnsi="Calibri" w:cs="Calibri"/>
          <w:b/>
          <w:bCs/>
        </w:rPr>
      </w:pPr>
    </w:p>
    <w:p w:rsidR="00687F53" w:rsidRPr="00D01F07" w:rsidRDefault="00F81E05" w:rsidP="00F81E05">
      <w:pPr>
        <w:pStyle w:val="regpar"/>
        <w:ind w:firstLine="0"/>
        <w:rPr>
          <w:rFonts w:ascii="Calibri" w:hAnsi="Calibri" w:cs="Calibri"/>
        </w:rPr>
      </w:pPr>
      <w:r w:rsidRPr="00D01F07">
        <w:rPr>
          <w:rFonts w:ascii="Calibri" w:hAnsi="Calibri" w:cs="Calibri"/>
        </w:rPr>
        <w:t>F</w:t>
      </w:r>
      <w:r w:rsidR="00687F53" w:rsidRPr="00D01F07">
        <w:rPr>
          <w:rFonts w:ascii="Calibri" w:hAnsi="Calibri" w:cs="Calibri"/>
        </w:rPr>
        <w:t>ollowing are the main changes in the Bank of Israel’s budget for</w:t>
      </w:r>
      <w:r w:rsidR="00CA446A" w:rsidRPr="00D01F07">
        <w:rPr>
          <w:rFonts w:ascii="Calibri" w:hAnsi="Calibri" w:cs="Calibri"/>
        </w:rPr>
        <w:t xml:space="preserve"> </w:t>
      </w:r>
      <w:r w:rsidRPr="00D01F07">
        <w:rPr>
          <w:rFonts w:ascii="Calibri" w:hAnsi="Calibri" w:cs="Calibri"/>
        </w:rPr>
        <w:t>2025</w:t>
      </w:r>
      <w:r w:rsidR="00ED1B19" w:rsidRPr="00D01F07">
        <w:rPr>
          <w:rFonts w:ascii="Calibri" w:hAnsi="Calibri" w:cs="Calibri"/>
        </w:rPr>
        <w:t>:</w:t>
      </w:r>
      <w:r w:rsidR="004D433F" w:rsidRPr="00D01F07">
        <w:rPr>
          <w:rStyle w:val="a7"/>
          <w:rFonts w:ascii="Calibri" w:hAnsi="Calibri" w:cs="Calibri"/>
        </w:rPr>
        <w:footnoteReference w:id="2"/>
      </w:r>
    </w:p>
    <w:p w:rsidR="00687F53" w:rsidRPr="00D01F07" w:rsidRDefault="00687F53" w:rsidP="00687F53">
      <w:pPr>
        <w:pStyle w:val="regpar"/>
        <w:ind w:firstLine="0"/>
        <w:rPr>
          <w:rFonts w:ascii="Calibri" w:hAnsi="Calibri" w:cs="Calibri"/>
        </w:rPr>
      </w:pPr>
    </w:p>
    <w:p w:rsidR="00ED1B19" w:rsidRPr="00D01F07" w:rsidRDefault="00ED1B19" w:rsidP="00390095">
      <w:pPr>
        <w:pStyle w:val="regpar"/>
        <w:ind w:firstLine="0"/>
        <w:rPr>
          <w:rFonts w:ascii="Calibri" w:hAnsi="Calibri" w:cs="Calibri"/>
        </w:rPr>
      </w:pPr>
      <w:r w:rsidRPr="00D01F07">
        <w:rPr>
          <w:rFonts w:ascii="Calibri" w:hAnsi="Calibri" w:cs="Calibri"/>
          <w:b/>
          <w:bCs/>
        </w:rPr>
        <w:t xml:space="preserve">Currency issue: </w:t>
      </w:r>
      <w:r w:rsidRPr="00D01F07">
        <w:rPr>
          <w:rFonts w:ascii="Calibri" w:hAnsi="Calibri" w:cs="Calibri"/>
        </w:rPr>
        <w:t>The activity area of Currency Issue</w:t>
      </w:r>
      <w:r w:rsidR="004B1777" w:rsidRPr="00D01F07">
        <w:rPr>
          <w:rFonts w:ascii="Calibri" w:hAnsi="Calibri" w:cs="Calibri"/>
        </w:rPr>
        <w:t xml:space="preserve"> in 2025</w:t>
      </w:r>
      <w:r w:rsidRPr="00D01F07">
        <w:rPr>
          <w:rFonts w:ascii="Calibri" w:hAnsi="Calibri" w:cs="Calibri"/>
        </w:rPr>
        <w:t xml:space="preserve"> will be NIS </w:t>
      </w:r>
      <w:r w:rsidR="00390095" w:rsidRPr="00D01F07">
        <w:rPr>
          <w:rFonts w:ascii="Calibri" w:hAnsi="Calibri" w:cs="Calibri"/>
        </w:rPr>
        <w:t>127</w:t>
      </w:r>
      <w:r w:rsidRPr="00D01F07">
        <w:rPr>
          <w:rFonts w:ascii="Calibri" w:hAnsi="Calibri" w:cs="Calibri"/>
        </w:rPr>
        <w:t xml:space="preserve">.9 million, an increase of NIS 19.8 </w:t>
      </w:r>
      <w:r w:rsidR="002C3F57" w:rsidRPr="00D01F07">
        <w:rPr>
          <w:rFonts w:ascii="Calibri" w:hAnsi="Calibri" w:cs="Calibri"/>
        </w:rPr>
        <w:t>million</w:t>
      </w:r>
      <w:r w:rsidRPr="00D01F07">
        <w:rPr>
          <w:rFonts w:ascii="Calibri" w:hAnsi="Calibri" w:cs="Calibri"/>
        </w:rPr>
        <w:t xml:space="preserve"> (18.3 </w:t>
      </w:r>
      <w:r w:rsidR="002C3F57" w:rsidRPr="00D01F07">
        <w:rPr>
          <w:rFonts w:ascii="Calibri" w:hAnsi="Calibri" w:cs="Calibri"/>
        </w:rPr>
        <w:t>percent</w:t>
      </w:r>
      <w:r w:rsidRPr="00D01F07">
        <w:rPr>
          <w:rFonts w:ascii="Calibri" w:hAnsi="Calibri" w:cs="Calibri"/>
        </w:rPr>
        <w:t xml:space="preserve">) compared to 2024. The growth in 2025 </w:t>
      </w:r>
      <w:r w:rsidR="002C3F57" w:rsidRPr="00D01F07">
        <w:rPr>
          <w:rFonts w:ascii="Calibri" w:hAnsi="Calibri" w:cs="Calibri"/>
        </w:rPr>
        <w:t>derives</w:t>
      </w:r>
      <w:r w:rsidRPr="00D01F07">
        <w:rPr>
          <w:rFonts w:ascii="Calibri" w:hAnsi="Calibri" w:cs="Calibri"/>
        </w:rPr>
        <w:t xml:space="preserve"> from the </w:t>
      </w:r>
      <w:r w:rsidR="002C3F57" w:rsidRPr="00D01F07">
        <w:rPr>
          <w:rFonts w:ascii="Calibri" w:hAnsi="Calibri" w:cs="Calibri"/>
        </w:rPr>
        <w:t>demand</w:t>
      </w:r>
      <w:r w:rsidRPr="00D01F07">
        <w:rPr>
          <w:rFonts w:ascii="Calibri" w:hAnsi="Calibri" w:cs="Calibri"/>
        </w:rPr>
        <w:t xml:space="preserve"> for cash in the </w:t>
      </w:r>
      <w:r w:rsidR="002C3F57" w:rsidRPr="00D01F07">
        <w:rPr>
          <w:rFonts w:ascii="Calibri" w:hAnsi="Calibri" w:cs="Calibri"/>
        </w:rPr>
        <w:t xml:space="preserve">economy and based </w:t>
      </w:r>
      <w:r w:rsidRPr="00D01F07">
        <w:rPr>
          <w:rFonts w:ascii="Calibri" w:hAnsi="Calibri" w:cs="Calibri"/>
        </w:rPr>
        <w:t>on the</w:t>
      </w:r>
      <w:r w:rsidR="002C3F57" w:rsidRPr="00D01F07">
        <w:rPr>
          <w:rFonts w:ascii="Calibri" w:hAnsi="Calibri" w:cs="Calibri"/>
        </w:rPr>
        <w:t xml:space="preserve"> inventory</w:t>
      </w:r>
      <w:r w:rsidRPr="00D01F07">
        <w:rPr>
          <w:rFonts w:ascii="Calibri" w:hAnsi="Calibri" w:cs="Calibri"/>
        </w:rPr>
        <w:t xml:space="preserve"> </w:t>
      </w:r>
      <w:r w:rsidR="002C3F57" w:rsidRPr="00D01F07">
        <w:rPr>
          <w:rFonts w:ascii="Calibri" w:hAnsi="Calibri" w:cs="Calibri"/>
        </w:rPr>
        <w:t>model</w:t>
      </w:r>
      <w:r w:rsidRPr="00D01F07">
        <w:rPr>
          <w:rFonts w:ascii="Calibri" w:hAnsi="Calibri" w:cs="Calibri"/>
        </w:rPr>
        <w:t xml:space="preserve"> used by the bank as a major </w:t>
      </w:r>
      <w:r w:rsidR="002C3F57" w:rsidRPr="00D01F07">
        <w:rPr>
          <w:rFonts w:ascii="Calibri" w:hAnsi="Calibri" w:cs="Calibri"/>
        </w:rPr>
        <w:t>decision</w:t>
      </w:r>
      <w:r w:rsidRPr="00D01F07">
        <w:rPr>
          <w:rFonts w:ascii="Calibri" w:hAnsi="Calibri" w:cs="Calibri"/>
        </w:rPr>
        <w:t xml:space="preserve">-making tool and in accordance with the </w:t>
      </w:r>
      <w:r w:rsidR="002C3F57" w:rsidRPr="00D01F07">
        <w:rPr>
          <w:rFonts w:ascii="Calibri" w:hAnsi="Calibri" w:cs="Calibri"/>
        </w:rPr>
        <w:t>Bank’s</w:t>
      </w:r>
      <w:r w:rsidRPr="00D01F07">
        <w:rPr>
          <w:rFonts w:ascii="Calibri" w:hAnsi="Calibri" w:cs="Calibri"/>
        </w:rPr>
        <w:t xml:space="preserve"> policy for a </w:t>
      </w:r>
      <w:r w:rsidR="002C3F57" w:rsidRPr="00D01F07">
        <w:rPr>
          <w:rFonts w:ascii="Calibri" w:hAnsi="Calibri" w:cs="Calibri"/>
        </w:rPr>
        <w:t>regular</w:t>
      </w:r>
      <w:r w:rsidRPr="00D01F07">
        <w:rPr>
          <w:rFonts w:ascii="Calibri" w:hAnsi="Calibri" w:cs="Calibri"/>
        </w:rPr>
        <w:t xml:space="preserve"> </w:t>
      </w:r>
      <w:r w:rsidR="002C3F57" w:rsidRPr="00D01F07">
        <w:rPr>
          <w:rFonts w:ascii="Calibri" w:hAnsi="Calibri" w:cs="Calibri"/>
        </w:rPr>
        <w:t>and</w:t>
      </w:r>
      <w:r w:rsidRPr="00D01F07">
        <w:rPr>
          <w:rFonts w:ascii="Calibri" w:hAnsi="Calibri" w:cs="Calibri"/>
        </w:rPr>
        <w:t xml:space="preserve"> continuous supply of cash </w:t>
      </w:r>
      <w:r w:rsidR="002C3F57" w:rsidRPr="00D01F07">
        <w:rPr>
          <w:rFonts w:ascii="Calibri" w:hAnsi="Calibri" w:cs="Calibri"/>
        </w:rPr>
        <w:t>into</w:t>
      </w:r>
      <w:r w:rsidRPr="00D01F07">
        <w:rPr>
          <w:rFonts w:ascii="Calibri" w:hAnsi="Calibri" w:cs="Calibri"/>
        </w:rPr>
        <w:t xml:space="preserve"> </w:t>
      </w:r>
      <w:r w:rsidR="002C3F57" w:rsidRPr="00D01F07">
        <w:rPr>
          <w:rFonts w:ascii="Calibri" w:hAnsi="Calibri" w:cs="Calibri"/>
        </w:rPr>
        <w:t>circulation</w:t>
      </w:r>
      <w:r w:rsidRPr="00D01F07">
        <w:rPr>
          <w:rFonts w:ascii="Calibri" w:hAnsi="Calibri" w:cs="Calibri"/>
        </w:rPr>
        <w:t xml:space="preserve"> in routine times and in </w:t>
      </w:r>
      <w:r w:rsidR="002C3F57" w:rsidRPr="00D01F07">
        <w:rPr>
          <w:rFonts w:ascii="Calibri" w:hAnsi="Calibri" w:cs="Calibri"/>
        </w:rPr>
        <w:t>emergencies</w:t>
      </w:r>
      <w:r w:rsidR="004B1777" w:rsidRPr="00D01F07">
        <w:rPr>
          <w:rFonts w:ascii="Calibri" w:hAnsi="Calibri" w:cs="Calibri"/>
        </w:rPr>
        <w:t xml:space="preserve">. </w:t>
      </w:r>
      <w:r w:rsidRPr="00D01F07">
        <w:rPr>
          <w:rFonts w:ascii="Calibri" w:hAnsi="Calibri" w:cs="Calibri"/>
        </w:rPr>
        <w:t>As such</w:t>
      </w:r>
      <w:r w:rsidR="004B1777" w:rsidRPr="00D01F07">
        <w:rPr>
          <w:rFonts w:ascii="Calibri" w:hAnsi="Calibri" w:cs="Calibri"/>
        </w:rPr>
        <w:t>,</w:t>
      </w:r>
      <w:r w:rsidRPr="00D01F07">
        <w:rPr>
          <w:rFonts w:ascii="Calibri" w:hAnsi="Calibri" w:cs="Calibri"/>
        </w:rPr>
        <w:t xml:space="preserve"> this </w:t>
      </w:r>
      <w:r w:rsidR="002C3F57" w:rsidRPr="00D01F07">
        <w:rPr>
          <w:rFonts w:ascii="Calibri" w:hAnsi="Calibri" w:cs="Calibri"/>
        </w:rPr>
        <w:t>budget</w:t>
      </w:r>
      <w:r w:rsidRPr="00D01F07">
        <w:rPr>
          <w:rFonts w:ascii="Calibri" w:hAnsi="Calibri" w:cs="Calibri"/>
        </w:rPr>
        <w:t xml:space="preserve"> is rigid and requi</w:t>
      </w:r>
      <w:r w:rsidR="002C3F57" w:rsidRPr="00D01F07">
        <w:rPr>
          <w:rFonts w:ascii="Calibri" w:hAnsi="Calibri" w:cs="Calibri"/>
        </w:rPr>
        <w:t xml:space="preserve">res </w:t>
      </w:r>
      <w:r w:rsidRPr="00D01F07">
        <w:rPr>
          <w:rFonts w:ascii="Calibri" w:hAnsi="Calibri" w:cs="Calibri"/>
        </w:rPr>
        <w:t xml:space="preserve">the </w:t>
      </w:r>
      <w:r w:rsidR="002C3F57" w:rsidRPr="00D01F07">
        <w:rPr>
          <w:rFonts w:ascii="Calibri" w:hAnsi="Calibri" w:cs="Calibri"/>
        </w:rPr>
        <w:t>allocation</w:t>
      </w:r>
      <w:r w:rsidRPr="00D01F07">
        <w:rPr>
          <w:rFonts w:ascii="Calibri" w:hAnsi="Calibri" w:cs="Calibri"/>
        </w:rPr>
        <w:t xml:space="preserve"> of </w:t>
      </w:r>
      <w:r w:rsidR="002C3F57" w:rsidRPr="00D01F07">
        <w:rPr>
          <w:rFonts w:ascii="Calibri" w:hAnsi="Calibri" w:cs="Calibri"/>
        </w:rPr>
        <w:t>resources</w:t>
      </w:r>
      <w:r w:rsidRPr="00D01F07">
        <w:rPr>
          <w:rFonts w:ascii="Calibri" w:hAnsi="Calibri" w:cs="Calibri"/>
        </w:rPr>
        <w:t xml:space="preserve"> in </w:t>
      </w:r>
      <w:r w:rsidR="002C3F57" w:rsidRPr="00D01F07">
        <w:rPr>
          <w:rFonts w:ascii="Calibri" w:hAnsi="Calibri" w:cs="Calibri"/>
        </w:rPr>
        <w:t>order</w:t>
      </w:r>
      <w:r w:rsidRPr="00D01F07">
        <w:rPr>
          <w:rFonts w:ascii="Calibri" w:hAnsi="Calibri" w:cs="Calibri"/>
        </w:rPr>
        <w:t xml:space="preserve"> to </w:t>
      </w:r>
      <w:r w:rsidR="002C3F57" w:rsidRPr="00D01F07">
        <w:rPr>
          <w:rFonts w:ascii="Calibri" w:hAnsi="Calibri" w:cs="Calibri"/>
        </w:rPr>
        <w:t>provide</w:t>
      </w:r>
      <w:r w:rsidR="004B1777" w:rsidRPr="00D01F07">
        <w:rPr>
          <w:rFonts w:ascii="Calibri" w:hAnsi="Calibri" w:cs="Calibri"/>
        </w:rPr>
        <w:t xml:space="preserve"> a </w:t>
      </w:r>
      <w:r w:rsidRPr="00D01F07">
        <w:rPr>
          <w:rFonts w:ascii="Calibri" w:hAnsi="Calibri" w:cs="Calibri"/>
        </w:rPr>
        <w:t xml:space="preserve">response </w:t>
      </w:r>
      <w:r w:rsidR="004B1777" w:rsidRPr="00D01F07">
        <w:rPr>
          <w:rFonts w:ascii="Calibri" w:hAnsi="Calibri" w:cs="Calibri"/>
        </w:rPr>
        <w:t xml:space="preserve">to </w:t>
      </w:r>
      <w:r w:rsidRPr="00D01F07">
        <w:rPr>
          <w:rFonts w:ascii="Calibri" w:hAnsi="Calibri" w:cs="Calibri"/>
        </w:rPr>
        <w:t>the demand for cash and various scenarios that impact on it</w:t>
      </w:r>
      <w:r w:rsidR="004B1777" w:rsidRPr="00D01F07">
        <w:rPr>
          <w:rFonts w:ascii="Calibri" w:hAnsi="Calibri" w:cs="Calibri"/>
        </w:rPr>
        <w:t>. T</w:t>
      </w:r>
      <w:r w:rsidR="002C3F57" w:rsidRPr="00D01F07">
        <w:rPr>
          <w:rFonts w:ascii="Calibri" w:hAnsi="Calibri" w:cs="Calibri"/>
        </w:rPr>
        <w:t>he</w:t>
      </w:r>
      <w:r w:rsidRPr="00D01F07">
        <w:rPr>
          <w:rFonts w:ascii="Calibri" w:hAnsi="Calibri" w:cs="Calibri"/>
        </w:rPr>
        <w:t xml:space="preserve"> </w:t>
      </w:r>
      <w:r w:rsidR="002C3F57" w:rsidRPr="00D01F07">
        <w:rPr>
          <w:rFonts w:ascii="Calibri" w:hAnsi="Calibri" w:cs="Calibri"/>
        </w:rPr>
        <w:t>budget</w:t>
      </w:r>
      <w:r w:rsidRPr="00D01F07">
        <w:rPr>
          <w:rFonts w:ascii="Calibri" w:hAnsi="Calibri" w:cs="Calibri"/>
        </w:rPr>
        <w:t xml:space="preserve"> is </w:t>
      </w:r>
      <w:r w:rsidR="00390095" w:rsidRPr="00D01F07">
        <w:rPr>
          <w:rFonts w:ascii="Calibri" w:hAnsi="Calibri" w:cs="Calibri"/>
        </w:rPr>
        <w:t xml:space="preserve">significantly </w:t>
      </w:r>
      <w:r w:rsidRPr="00D01F07">
        <w:rPr>
          <w:rFonts w:ascii="Calibri" w:hAnsi="Calibri" w:cs="Calibri"/>
        </w:rPr>
        <w:t xml:space="preserve">affected by </w:t>
      </w:r>
      <w:r w:rsidR="002C3F57" w:rsidRPr="00D01F07">
        <w:rPr>
          <w:rFonts w:ascii="Calibri" w:hAnsi="Calibri" w:cs="Calibri"/>
        </w:rPr>
        <w:t>the</w:t>
      </w:r>
      <w:r w:rsidRPr="00D01F07">
        <w:rPr>
          <w:rFonts w:ascii="Calibri" w:hAnsi="Calibri" w:cs="Calibri"/>
        </w:rPr>
        <w:t xml:space="preserve"> extent of changes in </w:t>
      </w:r>
      <w:r w:rsidR="004B1777" w:rsidRPr="00D01F07">
        <w:rPr>
          <w:rFonts w:ascii="Calibri" w:hAnsi="Calibri" w:cs="Calibri"/>
        </w:rPr>
        <w:t xml:space="preserve">the </w:t>
      </w:r>
      <w:r w:rsidRPr="00D01F07">
        <w:rPr>
          <w:rFonts w:ascii="Calibri" w:hAnsi="Calibri" w:cs="Calibri"/>
        </w:rPr>
        <w:t>exchange rate, the cost of raw ma</w:t>
      </w:r>
      <w:r w:rsidR="002C3F57" w:rsidRPr="00D01F07">
        <w:rPr>
          <w:rFonts w:ascii="Calibri" w:hAnsi="Calibri" w:cs="Calibri"/>
        </w:rPr>
        <w:t>terials, transport, and the co</w:t>
      </w:r>
      <w:r w:rsidRPr="00D01F07">
        <w:rPr>
          <w:rFonts w:ascii="Calibri" w:hAnsi="Calibri" w:cs="Calibri"/>
        </w:rPr>
        <w:t>s</w:t>
      </w:r>
      <w:r w:rsidR="002C3F57" w:rsidRPr="00D01F07">
        <w:rPr>
          <w:rFonts w:ascii="Calibri" w:hAnsi="Calibri" w:cs="Calibri"/>
        </w:rPr>
        <w:t>ts an</w:t>
      </w:r>
      <w:r w:rsidRPr="00D01F07">
        <w:rPr>
          <w:rFonts w:ascii="Calibri" w:hAnsi="Calibri" w:cs="Calibri"/>
        </w:rPr>
        <w:t>d</w:t>
      </w:r>
      <w:r w:rsidR="002C3F57" w:rsidRPr="00D01F07">
        <w:rPr>
          <w:rFonts w:ascii="Calibri" w:hAnsi="Calibri" w:cs="Calibri"/>
        </w:rPr>
        <w:t xml:space="preserve"> quantities</w:t>
      </w:r>
      <w:r w:rsidRPr="00D01F07">
        <w:rPr>
          <w:rFonts w:ascii="Calibri" w:hAnsi="Calibri" w:cs="Calibri"/>
        </w:rPr>
        <w:t xml:space="preserve"> of </w:t>
      </w:r>
      <w:r w:rsidR="002C3F57" w:rsidRPr="00D01F07">
        <w:rPr>
          <w:rFonts w:ascii="Calibri" w:hAnsi="Calibri" w:cs="Calibri"/>
        </w:rPr>
        <w:t>actual</w:t>
      </w:r>
      <w:r w:rsidRPr="00D01F07">
        <w:rPr>
          <w:rFonts w:ascii="Calibri" w:hAnsi="Calibri" w:cs="Calibri"/>
        </w:rPr>
        <w:t xml:space="preserve"> production.</w:t>
      </w:r>
    </w:p>
    <w:p w:rsidR="008B5377" w:rsidRPr="00D01F07" w:rsidRDefault="008B5377" w:rsidP="00ED1B19">
      <w:pPr>
        <w:pStyle w:val="regpar"/>
        <w:ind w:firstLine="0"/>
        <w:rPr>
          <w:rFonts w:ascii="Calibri" w:hAnsi="Calibri" w:cs="Calibri"/>
          <w:b/>
          <w:bCs/>
        </w:rPr>
      </w:pPr>
    </w:p>
    <w:p w:rsidR="008B5377" w:rsidRPr="00D01F07" w:rsidRDefault="00EF1502" w:rsidP="00390095">
      <w:pPr>
        <w:pStyle w:val="regpar"/>
        <w:ind w:firstLine="0"/>
        <w:rPr>
          <w:rFonts w:ascii="Calibri" w:hAnsi="Calibri" w:cs="Calibri"/>
        </w:rPr>
      </w:pPr>
      <w:r w:rsidRPr="00D01F07">
        <w:rPr>
          <w:rFonts w:ascii="Calibri" w:hAnsi="Calibri" w:cs="Calibri"/>
          <w:b/>
          <w:bCs/>
        </w:rPr>
        <w:t>Credit Data System:</w:t>
      </w:r>
      <w:r w:rsidRPr="00D01F07">
        <w:rPr>
          <w:rFonts w:ascii="Calibri" w:hAnsi="Calibri" w:cs="Calibri"/>
        </w:rPr>
        <w:t xml:space="preserve"> In April 2019, the Credit Data System was launched for the public, in accordance with the Credit Data Law, 5776–2016. The “Credit Data System” </w:t>
      </w:r>
      <w:r w:rsidR="008B5377" w:rsidRPr="00D01F07">
        <w:rPr>
          <w:rFonts w:ascii="Calibri" w:hAnsi="Calibri" w:cs="Calibri"/>
        </w:rPr>
        <w:t>budget reflects the c</w:t>
      </w:r>
      <w:r w:rsidR="005215A7" w:rsidRPr="00D01F07">
        <w:rPr>
          <w:rFonts w:ascii="Calibri" w:hAnsi="Calibri" w:cs="Calibri"/>
        </w:rPr>
        <w:t>o</w:t>
      </w:r>
      <w:r w:rsidR="008B5377" w:rsidRPr="00D01F07">
        <w:rPr>
          <w:rFonts w:ascii="Calibri" w:hAnsi="Calibri" w:cs="Calibri"/>
        </w:rPr>
        <w:t>st of a ra</w:t>
      </w:r>
      <w:r w:rsidR="005215A7" w:rsidRPr="00D01F07">
        <w:rPr>
          <w:rFonts w:ascii="Calibri" w:hAnsi="Calibri" w:cs="Calibri"/>
        </w:rPr>
        <w:t>n</w:t>
      </w:r>
      <w:r w:rsidR="008B5377" w:rsidRPr="00D01F07">
        <w:rPr>
          <w:rFonts w:ascii="Calibri" w:hAnsi="Calibri" w:cs="Calibri"/>
        </w:rPr>
        <w:t xml:space="preserve">ge of </w:t>
      </w:r>
      <w:r w:rsidR="005215A7" w:rsidRPr="00D01F07">
        <w:rPr>
          <w:rFonts w:ascii="Calibri" w:hAnsi="Calibri" w:cs="Calibri"/>
        </w:rPr>
        <w:t xml:space="preserve">activities </w:t>
      </w:r>
      <w:r w:rsidR="008B5377" w:rsidRPr="00D01F07">
        <w:rPr>
          <w:rFonts w:ascii="Calibri" w:hAnsi="Calibri" w:cs="Calibri"/>
        </w:rPr>
        <w:t>required by law</w:t>
      </w:r>
      <w:r w:rsidR="005215A7" w:rsidRPr="00D01F07">
        <w:rPr>
          <w:rFonts w:ascii="Calibri" w:hAnsi="Calibri" w:cs="Calibri"/>
        </w:rPr>
        <w:t xml:space="preserve">, and </w:t>
      </w:r>
      <w:r w:rsidR="004B1777" w:rsidRPr="00D01F07">
        <w:rPr>
          <w:rFonts w:ascii="Calibri" w:hAnsi="Calibri" w:cs="Calibri"/>
        </w:rPr>
        <w:t xml:space="preserve">will be </w:t>
      </w:r>
      <w:r w:rsidR="005215A7" w:rsidRPr="00D01F07">
        <w:rPr>
          <w:rFonts w:ascii="Calibri" w:hAnsi="Calibri" w:cs="Calibri"/>
        </w:rPr>
        <w:t xml:space="preserve">NIS 93.5 million in 2025 a decrease of NIS 2.3 million (2.4 </w:t>
      </w:r>
      <w:r w:rsidR="002C3F57" w:rsidRPr="00D01F07">
        <w:rPr>
          <w:rFonts w:ascii="Calibri" w:hAnsi="Calibri" w:cs="Calibri"/>
        </w:rPr>
        <w:t>percent</w:t>
      </w:r>
      <w:r w:rsidR="005215A7" w:rsidRPr="00D01F07">
        <w:rPr>
          <w:rFonts w:ascii="Calibri" w:hAnsi="Calibri" w:cs="Calibri"/>
        </w:rPr>
        <w:t>) relative to 2024. The budge</w:t>
      </w:r>
      <w:r w:rsidR="00996A27" w:rsidRPr="00D01F07">
        <w:rPr>
          <w:rFonts w:ascii="Calibri" w:hAnsi="Calibri" w:cs="Calibri"/>
        </w:rPr>
        <w:t>t</w:t>
      </w:r>
      <w:r w:rsidR="005215A7" w:rsidRPr="00D01F07">
        <w:rPr>
          <w:rFonts w:ascii="Calibri" w:hAnsi="Calibri" w:cs="Calibri"/>
        </w:rPr>
        <w:t xml:space="preserve"> includes planning fo</w:t>
      </w:r>
      <w:r w:rsidR="00996A27" w:rsidRPr="00D01F07">
        <w:rPr>
          <w:rFonts w:ascii="Calibri" w:hAnsi="Calibri" w:cs="Calibri"/>
        </w:rPr>
        <w:t xml:space="preserve">r the </w:t>
      </w:r>
      <w:r w:rsidR="005215A7" w:rsidRPr="00D01F07">
        <w:rPr>
          <w:rFonts w:ascii="Calibri" w:hAnsi="Calibri" w:cs="Calibri"/>
        </w:rPr>
        <w:t xml:space="preserve">“Credit </w:t>
      </w:r>
      <w:r w:rsidR="002C3F57" w:rsidRPr="00D01F07">
        <w:rPr>
          <w:rFonts w:ascii="Calibri" w:hAnsi="Calibri" w:cs="Calibri"/>
        </w:rPr>
        <w:t>Register</w:t>
      </w:r>
      <w:r w:rsidR="005215A7" w:rsidRPr="00D01F07">
        <w:rPr>
          <w:rFonts w:ascii="Calibri" w:hAnsi="Calibri" w:cs="Calibri"/>
        </w:rPr>
        <w:t xml:space="preserve"> for Businesses” project, which is intende</w:t>
      </w:r>
      <w:r w:rsidR="00996A27" w:rsidRPr="00D01F07">
        <w:rPr>
          <w:rFonts w:ascii="Calibri" w:hAnsi="Calibri" w:cs="Calibri"/>
        </w:rPr>
        <w:t>d</w:t>
      </w:r>
      <w:r w:rsidR="005215A7" w:rsidRPr="00D01F07">
        <w:rPr>
          <w:rFonts w:ascii="Calibri" w:hAnsi="Calibri" w:cs="Calibri"/>
        </w:rPr>
        <w:t xml:space="preserve"> to i</w:t>
      </w:r>
      <w:r w:rsidR="00996A27" w:rsidRPr="00D01F07">
        <w:rPr>
          <w:rFonts w:ascii="Calibri" w:hAnsi="Calibri" w:cs="Calibri"/>
        </w:rPr>
        <w:t>n</w:t>
      </w:r>
      <w:r w:rsidR="005215A7" w:rsidRPr="00D01F07">
        <w:rPr>
          <w:rFonts w:ascii="Calibri" w:hAnsi="Calibri" w:cs="Calibri"/>
        </w:rPr>
        <w:t>c</w:t>
      </w:r>
      <w:r w:rsidR="00996A27" w:rsidRPr="00D01F07">
        <w:rPr>
          <w:rFonts w:ascii="Calibri" w:hAnsi="Calibri" w:cs="Calibri"/>
        </w:rPr>
        <w:t>r</w:t>
      </w:r>
      <w:r w:rsidR="005215A7" w:rsidRPr="00D01F07">
        <w:rPr>
          <w:rFonts w:ascii="Calibri" w:hAnsi="Calibri" w:cs="Calibri"/>
        </w:rPr>
        <w:t>ea</w:t>
      </w:r>
      <w:r w:rsidR="00996A27" w:rsidRPr="00D01F07">
        <w:rPr>
          <w:rFonts w:ascii="Calibri" w:hAnsi="Calibri" w:cs="Calibri"/>
        </w:rPr>
        <w:t>s</w:t>
      </w:r>
      <w:r w:rsidR="005215A7" w:rsidRPr="00D01F07">
        <w:rPr>
          <w:rFonts w:ascii="Calibri" w:hAnsi="Calibri" w:cs="Calibri"/>
        </w:rPr>
        <w:t xml:space="preserve">e </w:t>
      </w:r>
      <w:r w:rsidR="00996A27" w:rsidRPr="00D01F07">
        <w:rPr>
          <w:rFonts w:ascii="Calibri" w:hAnsi="Calibri" w:cs="Calibri"/>
        </w:rPr>
        <w:t xml:space="preserve">the access to credit </w:t>
      </w:r>
      <w:r w:rsidR="002C3F57" w:rsidRPr="00D01F07">
        <w:rPr>
          <w:rFonts w:ascii="Calibri" w:hAnsi="Calibri" w:cs="Calibri"/>
        </w:rPr>
        <w:t>for</w:t>
      </w:r>
      <w:r w:rsidR="00996A27" w:rsidRPr="00D01F07">
        <w:rPr>
          <w:rFonts w:ascii="Calibri" w:hAnsi="Calibri" w:cs="Calibri"/>
        </w:rPr>
        <w:t xml:space="preserve"> businesses </w:t>
      </w:r>
      <w:r w:rsidR="005215A7" w:rsidRPr="00D01F07">
        <w:rPr>
          <w:rFonts w:ascii="Calibri" w:hAnsi="Calibri" w:cs="Calibri"/>
        </w:rPr>
        <w:t xml:space="preserve">and </w:t>
      </w:r>
      <w:r w:rsidR="00996A27" w:rsidRPr="00D01F07">
        <w:rPr>
          <w:rFonts w:ascii="Calibri" w:hAnsi="Calibri" w:cs="Calibri"/>
        </w:rPr>
        <w:t xml:space="preserve">the </w:t>
      </w:r>
      <w:r w:rsidR="005215A7" w:rsidRPr="00D01F07">
        <w:rPr>
          <w:rFonts w:ascii="Calibri" w:hAnsi="Calibri" w:cs="Calibri"/>
        </w:rPr>
        <w:t xml:space="preserve">competition </w:t>
      </w:r>
      <w:r w:rsidR="00996A27" w:rsidRPr="00D01F07">
        <w:rPr>
          <w:rFonts w:ascii="Calibri" w:hAnsi="Calibri" w:cs="Calibri"/>
        </w:rPr>
        <w:t xml:space="preserve">in the Israel </w:t>
      </w:r>
      <w:r w:rsidR="005215A7" w:rsidRPr="00D01F07">
        <w:rPr>
          <w:rFonts w:ascii="Calibri" w:hAnsi="Calibri" w:cs="Calibri"/>
        </w:rPr>
        <w:t>economy,</w:t>
      </w:r>
      <w:r w:rsidR="00996A27" w:rsidRPr="00D01F07">
        <w:rPr>
          <w:rFonts w:ascii="Calibri" w:hAnsi="Calibri" w:cs="Calibri"/>
        </w:rPr>
        <w:t xml:space="preserve"> b</w:t>
      </w:r>
      <w:r w:rsidR="005215A7" w:rsidRPr="00D01F07">
        <w:rPr>
          <w:rFonts w:ascii="Calibri" w:hAnsi="Calibri" w:cs="Calibri"/>
        </w:rPr>
        <w:t xml:space="preserve">ut its implementation is liable to be </w:t>
      </w:r>
      <w:r w:rsidR="00996A27" w:rsidRPr="00D01F07">
        <w:rPr>
          <w:rFonts w:ascii="Calibri" w:hAnsi="Calibri" w:cs="Calibri"/>
        </w:rPr>
        <w:t xml:space="preserve">complex </w:t>
      </w:r>
      <w:r w:rsidR="004B1777" w:rsidRPr="00D01F07">
        <w:rPr>
          <w:rFonts w:ascii="Calibri" w:hAnsi="Calibri" w:cs="Calibri"/>
        </w:rPr>
        <w:t xml:space="preserve">with </w:t>
      </w:r>
      <w:r w:rsidR="00996A27" w:rsidRPr="00D01F07">
        <w:rPr>
          <w:rFonts w:ascii="Calibri" w:hAnsi="Calibri" w:cs="Calibri"/>
        </w:rPr>
        <w:t>particularly hi</w:t>
      </w:r>
      <w:r w:rsidR="005215A7" w:rsidRPr="00D01F07">
        <w:rPr>
          <w:rFonts w:ascii="Calibri" w:hAnsi="Calibri" w:cs="Calibri"/>
        </w:rPr>
        <w:t>g</w:t>
      </w:r>
      <w:r w:rsidR="00996A27" w:rsidRPr="00D01F07">
        <w:rPr>
          <w:rFonts w:ascii="Calibri" w:hAnsi="Calibri" w:cs="Calibri"/>
        </w:rPr>
        <w:t>h</w:t>
      </w:r>
      <w:r w:rsidR="005215A7" w:rsidRPr="00D01F07">
        <w:rPr>
          <w:rFonts w:ascii="Calibri" w:hAnsi="Calibri" w:cs="Calibri"/>
        </w:rPr>
        <w:t xml:space="preserve"> costs.</w:t>
      </w:r>
    </w:p>
    <w:p w:rsidR="005215A7" w:rsidRPr="00D01F07" w:rsidRDefault="005215A7" w:rsidP="005215A7">
      <w:pPr>
        <w:pStyle w:val="regpar"/>
        <w:ind w:firstLine="0"/>
        <w:rPr>
          <w:rFonts w:ascii="Calibri" w:hAnsi="Calibri" w:cs="Calibri"/>
        </w:rPr>
      </w:pPr>
    </w:p>
    <w:p w:rsidR="0098223D" w:rsidRPr="00D01F07" w:rsidRDefault="005177D1" w:rsidP="0095604D">
      <w:pPr>
        <w:pStyle w:val="regpar"/>
        <w:ind w:firstLine="0"/>
        <w:rPr>
          <w:rFonts w:ascii="Calibri" w:hAnsi="Calibri" w:cs="Calibri"/>
        </w:rPr>
      </w:pPr>
      <w:r w:rsidRPr="00D01F07">
        <w:rPr>
          <w:rFonts w:ascii="Calibri" w:hAnsi="Calibri" w:cs="Calibri"/>
          <w:b/>
          <w:bCs/>
        </w:rPr>
        <w:t>Managing the assets of the Citizens of Israel Fund:</w:t>
      </w:r>
      <w:r w:rsidRPr="00D01F07">
        <w:rPr>
          <w:rFonts w:ascii="Calibri" w:hAnsi="Calibri" w:cs="Calibri"/>
        </w:rPr>
        <w:t xml:space="preserve"> </w:t>
      </w:r>
      <w:r w:rsidR="002C3F57" w:rsidRPr="00D01F07">
        <w:rPr>
          <w:rFonts w:ascii="Calibri" w:hAnsi="Calibri" w:cs="Calibri"/>
        </w:rPr>
        <w:t>The</w:t>
      </w:r>
      <w:r w:rsidR="00741FA5" w:rsidRPr="00D01F07">
        <w:rPr>
          <w:rFonts w:ascii="Calibri" w:hAnsi="Calibri" w:cs="Calibri"/>
        </w:rPr>
        <w:t xml:space="preserve"> budget for the </w:t>
      </w:r>
      <w:r w:rsidR="002C3F57" w:rsidRPr="00D01F07">
        <w:rPr>
          <w:rFonts w:ascii="Calibri" w:hAnsi="Calibri" w:cs="Calibri"/>
        </w:rPr>
        <w:t>Department</w:t>
      </w:r>
      <w:r w:rsidR="00741FA5" w:rsidRPr="00D01F07">
        <w:rPr>
          <w:rFonts w:ascii="Calibri" w:hAnsi="Calibri" w:cs="Calibri"/>
        </w:rPr>
        <w:t xml:space="preserve"> that manages the assets of the  Citizens of Israel Fund will </w:t>
      </w:r>
      <w:r w:rsidR="004B1777" w:rsidRPr="00D01F07">
        <w:rPr>
          <w:rFonts w:ascii="Calibri" w:hAnsi="Calibri" w:cs="Calibri"/>
        </w:rPr>
        <w:t>b</w:t>
      </w:r>
      <w:r w:rsidR="00741FA5" w:rsidRPr="00D01F07">
        <w:rPr>
          <w:rFonts w:ascii="Calibri" w:hAnsi="Calibri" w:cs="Calibri"/>
        </w:rPr>
        <w:t>e NIS 9</w:t>
      </w:r>
      <w:r w:rsidR="004B1777" w:rsidRPr="00D01F07">
        <w:rPr>
          <w:rFonts w:ascii="Calibri" w:hAnsi="Calibri" w:cs="Calibri"/>
        </w:rPr>
        <w:t>.</w:t>
      </w:r>
      <w:r w:rsidR="00741FA5" w:rsidRPr="00D01F07">
        <w:rPr>
          <w:rFonts w:ascii="Calibri" w:hAnsi="Calibri" w:cs="Calibri"/>
        </w:rPr>
        <w:t xml:space="preserve">1 million in 2025, an increase of NIS 1.7 million (23.4 percent) relative to 2024. </w:t>
      </w:r>
      <w:r w:rsidR="00BD5C77" w:rsidRPr="00D01F07">
        <w:rPr>
          <w:rFonts w:ascii="Calibri" w:hAnsi="Calibri" w:cs="Calibri"/>
        </w:rPr>
        <w:t xml:space="preserve">In accordance with the Citizens of Israel Fund Law, 5774–2014, a fund was established to manage the State’s revenues from the oil and gas </w:t>
      </w:r>
      <w:r w:rsidR="006A7B15" w:rsidRPr="00D01F07">
        <w:rPr>
          <w:rFonts w:ascii="Calibri" w:hAnsi="Calibri" w:cs="Calibri"/>
        </w:rPr>
        <w:t xml:space="preserve">profit </w:t>
      </w:r>
      <w:r w:rsidR="00BD5C77" w:rsidRPr="00D01F07">
        <w:rPr>
          <w:rFonts w:ascii="Calibri" w:hAnsi="Calibri" w:cs="Calibri"/>
        </w:rPr>
        <w:t xml:space="preserve">levy. The Fund will be called the </w:t>
      </w:r>
      <w:r w:rsidR="00390095" w:rsidRPr="00D01F07">
        <w:rPr>
          <w:rFonts w:ascii="Calibri" w:hAnsi="Calibri" w:cs="Calibri"/>
        </w:rPr>
        <w:t>"</w:t>
      </w:r>
      <w:r w:rsidR="00BD5C77" w:rsidRPr="00D01F07">
        <w:rPr>
          <w:rFonts w:ascii="Calibri" w:hAnsi="Calibri" w:cs="Calibri"/>
        </w:rPr>
        <w:t>Citizens of Israel Fund</w:t>
      </w:r>
      <w:r w:rsidR="00390095" w:rsidRPr="00D01F07">
        <w:rPr>
          <w:rFonts w:ascii="Calibri" w:hAnsi="Calibri" w:cs="Calibri"/>
        </w:rPr>
        <w:t>"</w:t>
      </w:r>
      <w:r w:rsidR="00BD5C77" w:rsidRPr="00D01F07">
        <w:rPr>
          <w:rFonts w:ascii="Calibri" w:hAnsi="Calibri" w:cs="Calibri"/>
        </w:rPr>
        <w:t xml:space="preserve"> (hereinafter, “the Fund”). The goal of the Fund is to manage the </w:t>
      </w:r>
      <w:r w:rsidR="001B4F92" w:rsidRPr="00D01F07">
        <w:rPr>
          <w:rFonts w:ascii="Calibri" w:hAnsi="Calibri" w:cs="Calibri"/>
        </w:rPr>
        <w:t xml:space="preserve">State’s </w:t>
      </w:r>
      <w:r w:rsidR="00BD5C77" w:rsidRPr="00D01F07">
        <w:rPr>
          <w:rFonts w:ascii="Calibri" w:hAnsi="Calibri" w:cs="Calibri"/>
        </w:rPr>
        <w:t>revenues from the levy with a long</w:t>
      </w:r>
      <w:r w:rsidR="00552399" w:rsidRPr="00D01F07">
        <w:rPr>
          <w:rFonts w:ascii="Calibri" w:hAnsi="Calibri" w:cs="Calibri"/>
        </w:rPr>
        <w:t xml:space="preserve"> range </w:t>
      </w:r>
      <w:r w:rsidR="00BD5C77" w:rsidRPr="00D01F07">
        <w:rPr>
          <w:rFonts w:ascii="Calibri" w:hAnsi="Calibri" w:cs="Calibri"/>
        </w:rPr>
        <w:t xml:space="preserve">economic perspective, in order to maximize the return and with the </w:t>
      </w:r>
      <w:r w:rsidR="00552399" w:rsidRPr="00D01F07">
        <w:rPr>
          <w:rFonts w:ascii="Calibri" w:hAnsi="Calibri" w:cs="Calibri"/>
        </w:rPr>
        <w:t xml:space="preserve">objective </w:t>
      </w:r>
      <w:r w:rsidR="00BD5C77" w:rsidRPr="00D01F07">
        <w:rPr>
          <w:rFonts w:ascii="Calibri" w:hAnsi="Calibri" w:cs="Calibri"/>
        </w:rPr>
        <w:t xml:space="preserve">of enabling future generations to benefit from the </w:t>
      </w:r>
      <w:r w:rsidR="00F02DB1" w:rsidRPr="00D01F07">
        <w:rPr>
          <w:rFonts w:ascii="Calibri" w:hAnsi="Calibri" w:cs="Calibri"/>
        </w:rPr>
        <w:t xml:space="preserve">income </w:t>
      </w:r>
      <w:r w:rsidR="00BD5C77" w:rsidRPr="00D01F07">
        <w:rPr>
          <w:rFonts w:ascii="Calibri" w:hAnsi="Calibri" w:cs="Calibri"/>
        </w:rPr>
        <w:t xml:space="preserve">in respect of this natural resource. The Fund’s assets shall be managed through a designated Department </w:t>
      </w:r>
      <w:r w:rsidR="0098223D" w:rsidRPr="00D01F07">
        <w:rPr>
          <w:rFonts w:ascii="Calibri" w:hAnsi="Calibri" w:cs="Calibri"/>
        </w:rPr>
        <w:t xml:space="preserve">that has been </w:t>
      </w:r>
      <w:r w:rsidR="00BD5C77" w:rsidRPr="00D01F07">
        <w:rPr>
          <w:rFonts w:ascii="Calibri" w:hAnsi="Calibri" w:cs="Calibri"/>
        </w:rPr>
        <w:t>established at the Bank of Israel, and the Fund’s institutions (the Fund’s Council and its Investment Committee) that were established in 2022. The Fund’s institutions outline the investment policy</w:t>
      </w:r>
      <w:r w:rsidR="004B1777" w:rsidRPr="00D01F07">
        <w:rPr>
          <w:rFonts w:ascii="Calibri" w:hAnsi="Calibri" w:cs="Calibri"/>
        </w:rPr>
        <w:t>,</w:t>
      </w:r>
      <w:r w:rsidR="0098223D" w:rsidRPr="00D01F07">
        <w:rPr>
          <w:rFonts w:ascii="Calibri" w:hAnsi="Calibri" w:cs="Calibri"/>
        </w:rPr>
        <w:t xml:space="preserve"> and the investment activity </w:t>
      </w:r>
      <w:r w:rsidR="00741FA5" w:rsidRPr="00D01F07">
        <w:rPr>
          <w:rFonts w:ascii="Calibri" w:hAnsi="Calibri" w:cs="Calibri"/>
        </w:rPr>
        <w:t xml:space="preserve">in </w:t>
      </w:r>
      <w:r w:rsidR="002C3F57" w:rsidRPr="00D01F07">
        <w:rPr>
          <w:rFonts w:ascii="Calibri" w:hAnsi="Calibri" w:cs="Calibri"/>
        </w:rPr>
        <w:t>actuality</w:t>
      </w:r>
      <w:r w:rsidR="00741FA5" w:rsidRPr="00D01F07">
        <w:rPr>
          <w:rFonts w:ascii="Calibri" w:hAnsi="Calibri" w:cs="Calibri"/>
        </w:rPr>
        <w:t xml:space="preserve"> </w:t>
      </w:r>
      <w:r w:rsidR="004B1777" w:rsidRPr="00D01F07">
        <w:rPr>
          <w:rFonts w:ascii="Calibri" w:hAnsi="Calibri" w:cs="Calibri"/>
        </w:rPr>
        <w:t xml:space="preserve">is </w:t>
      </w:r>
      <w:r w:rsidR="002C3F57" w:rsidRPr="00D01F07">
        <w:rPr>
          <w:rFonts w:ascii="Calibri" w:hAnsi="Calibri" w:cs="Calibri"/>
        </w:rPr>
        <w:t>carried</w:t>
      </w:r>
      <w:r w:rsidR="00741FA5" w:rsidRPr="00D01F07">
        <w:rPr>
          <w:rFonts w:ascii="Calibri" w:hAnsi="Calibri" w:cs="Calibri"/>
        </w:rPr>
        <w:t xml:space="preserve"> out by the designated department in the Bank of Israel. </w:t>
      </w:r>
      <w:r w:rsidR="002C3F57" w:rsidRPr="00D01F07">
        <w:rPr>
          <w:rFonts w:ascii="Calibri" w:hAnsi="Calibri" w:cs="Calibri"/>
        </w:rPr>
        <w:t>The</w:t>
      </w:r>
      <w:r w:rsidR="00741FA5" w:rsidRPr="00D01F07">
        <w:rPr>
          <w:rFonts w:ascii="Calibri" w:hAnsi="Calibri" w:cs="Calibri"/>
        </w:rPr>
        <w:t xml:space="preserve"> increase in the Fund’s budget, other than </w:t>
      </w:r>
      <w:r w:rsidR="0095604D" w:rsidRPr="00D01F07">
        <w:rPr>
          <w:rFonts w:ascii="Calibri" w:hAnsi="Calibri" w:cs="Calibri"/>
        </w:rPr>
        <w:t>wages</w:t>
      </w:r>
      <w:r w:rsidR="00741FA5" w:rsidRPr="00D01F07">
        <w:rPr>
          <w:rFonts w:ascii="Calibri" w:hAnsi="Calibri" w:cs="Calibri"/>
        </w:rPr>
        <w:t xml:space="preserve">, is </w:t>
      </w:r>
      <w:r w:rsidR="002C3F57" w:rsidRPr="00D01F07">
        <w:rPr>
          <w:rFonts w:ascii="Calibri" w:hAnsi="Calibri" w:cs="Calibri"/>
        </w:rPr>
        <w:t>intended</w:t>
      </w:r>
      <w:r w:rsidR="00741FA5" w:rsidRPr="00D01F07">
        <w:rPr>
          <w:rFonts w:ascii="Calibri" w:hAnsi="Calibri" w:cs="Calibri"/>
        </w:rPr>
        <w:t xml:space="preserve"> for externa</w:t>
      </w:r>
      <w:r w:rsidR="002C3F57" w:rsidRPr="00D01F07">
        <w:rPr>
          <w:rFonts w:ascii="Calibri" w:hAnsi="Calibri" w:cs="Calibri"/>
        </w:rPr>
        <w:t xml:space="preserve">l </w:t>
      </w:r>
      <w:r w:rsidR="00741FA5" w:rsidRPr="00D01F07">
        <w:rPr>
          <w:rFonts w:ascii="Calibri" w:hAnsi="Calibri" w:cs="Calibri"/>
        </w:rPr>
        <w:t>consu</w:t>
      </w:r>
      <w:r w:rsidR="002C3F57" w:rsidRPr="00D01F07">
        <w:rPr>
          <w:rFonts w:ascii="Calibri" w:hAnsi="Calibri" w:cs="Calibri"/>
        </w:rPr>
        <w:t xml:space="preserve">ltation </w:t>
      </w:r>
      <w:r w:rsidR="00741FA5" w:rsidRPr="00D01F07">
        <w:rPr>
          <w:rFonts w:ascii="Calibri" w:hAnsi="Calibri" w:cs="Calibri"/>
        </w:rPr>
        <w:t>and databases that are in line with the Fund</w:t>
      </w:r>
      <w:r w:rsidR="002C3F57" w:rsidRPr="00D01F07">
        <w:rPr>
          <w:rFonts w:ascii="Calibri" w:hAnsi="Calibri" w:cs="Calibri"/>
        </w:rPr>
        <w:t>’</w:t>
      </w:r>
      <w:r w:rsidR="00741FA5" w:rsidRPr="00D01F07">
        <w:rPr>
          <w:rFonts w:ascii="Calibri" w:hAnsi="Calibri" w:cs="Calibri"/>
        </w:rPr>
        <w:t>s range of investments.</w:t>
      </w:r>
    </w:p>
    <w:p w:rsidR="0098223D" w:rsidRPr="00D01F07" w:rsidRDefault="0098223D" w:rsidP="0098223D">
      <w:pPr>
        <w:pStyle w:val="regpar"/>
        <w:ind w:firstLine="0"/>
        <w:rPr>
          <w:rFonts w:ascii="Calibri" w:hAnsi="Calibri" w:cs="Calibri"/>
        </w:rPr>
      </w:pPr>
    </w:p>
    <w:p w:rsidR="00687F53" w:rsidRPr="00D01F07" w:rsidRDefault="00687F53" w:rsidP="00397693">
      <w:pPr>
        <w:pStyle w:val="regpar"/>
        <w:ind w:firstLine="0"/>
        <w:rPr>
          <w:rFonts w:ascii="Calibri" w:hAnsi="Calibri" w:cs="Calibri"/>
        </w:rPr>
      </w:pPr>
      <w:r w:rsidRPr="00D01F07">
        <w:rPr>
          <w:rFonts w:ascii="Calibri" w:hAnsi="Calibri" w:cs="Calibri"/>
          <w:b/>
          <w:bCs/>
        </w:rPr>
        <w:t xml:space="preserve">Budget for </w:t>
      </w:r>
      <w:r w:rsidR="0095604D" w:rsidRPr="00D01F07">
        <w:rPr>
          <w:rFonts w:ascii="Calibri" w:hAnsi="Calibri" w:cs="Calibri"/>
          <w:b/>
          <w:bCs/>
        </w:rPr>
        <w:t xml:space="preserve">the coming </w:t>
      </w:r>
      <w:r w:rsidRPr="00D01F07">
        <w:rPr>
          <w:rFonts w:ascii="Calibri" w:hAnsi="Calibri" w:cs="Calibri"/>
          <w:b/>
          <w:bCs/>
        </w:rPr>
        <w:t>years:</w:t>
      </w:r>
      <w:r w:rsidRPr="00D01F07">
        <w:rPr>
          <w:rFonts w:ascii="Calibri" w:hAnsi="Calibri" w:cs="Calibri"/>
        </w:rPr>
        <w:t xml:space="preserve"> The budget for permitted commitments for coming years is NIS </w:t>
      </w:r>
      <w:r w:rsidR="00452F4F" w:rsidRPr="00D01F07">
        <w:rPr>
          <w:rFonts w:ascii="Calibri" w:hAnsi="Calibri" w:cs="Calibri"/>
        </w:rPr>
        <w:t>823.6</w:t>
      </w:r>
      <w:r w:rsidR="00190845" w:rsidRPr="00D01F07">
        <w:rPr>
          <w:rFonts w:ascii="Calibri" w:hAnsi="Calibri" w:cs="Calibri"/>
        </w:rPr>
        <w:t xml:space="preserve"> </w:t>
      </w:r>
      <w:r w:rsidRPr="00D01F07">
        <w:rPr>
          <w:rFonts w:ascii="Calibri" w:hAnsi="Calibri" w:cs="Calibri"/>
        </w:rPr>
        <w:t xml:space="preserve">million, of which </w:t>
      </w:r>
      <w:r w:rsidR="00452F4F" w:rsidRPr="00D01F07">
        <w:rPr>
          <w:rFonts w:ascii="Calibri" w:hAnsi="Calibri" w:cs="Calibri"/>
        </w:rPr>
        <w:t>37</w:t>
      </w:r>
      <w:r w:rsidRPr="00D01F07">
        <w:rPr>
          <w:rFonts w:ascii="Calibri" w:hAnsi="Calibri" w:cs="Calibri"/>
        </w:rPr>
        <w:t xml:space="preserve"> percent is designated for future commitments in respect of the </w:t>
      </w:r>
      <w:r w:rsidR="00397693" w:rsidRPr="00D01F07">
        <w:rPr>
          <w:rFonts w:ascii="Calibri" w:hAnsi="Calibri" w:cs="Calibri"/>
        </w:rPr>
        <w:t>issuance of currency</w:t>
      </w:r>
      <w:r w:rsidR="00452F4F" w:rsidRPr="00D01F07">
        <w:rPr>
          <w:rFonts w:ascii="Calibri" w:hAnsi="Calibri" w:cs="Calibri"/>
        </w:rPr>
        <w:t xml:space="preserve"> and 26 percent is for the </w:t>
      </w:r>
      <w:r w:rsidRPr="00D01F07">
        <w:rPr>
          <w:rFonts w:ascii="Calibri" w:hAnsi="Calibri" w:cs="Calibri"/>
        </w:rPr>
        <w:t xml:space="preserve">operation of the Credit Data </w:t>
      </w:r>
      <w:r w:rsidR="0095604D" w:rsidRPr="00D01F07">
        <w:rPr>
          <w:rFonts w:ascii="Calibri" w:hAnsi="Calibri" w:cs="Calibri"/>
        </w:rPr>
        <w:t>Register</w:t>
      </w:r>
      <w:r w:rsidRPr="00D01F07">
        <w:rPr>
          <w:rFonts w:ascii="Calibri" w:hAnsi="Calibri" w:cs="Calibri"/>
        </w:rPr>
        <w:t>.</w:t>
      </w:r>
    </w:p>
    <w:p w:rsidR="00687F53" w:rsidRPr="00D01F07" w:rsidRDefault="00687F53" w:rsidP="00687F53">
      <w:pPr>
        <w:pStyle w:val="regpar"/>
        <w:ind w:firstLine="0"/>
        <w:rPr>
          <w:rFonts w:ascii="Calibri" w:hAnsi="Calibri" w:cs="Calibri"/>
        </w:rPr>
      </w:pPr>
    </w:p>
    <w:p w:rsidR="00687F53" w:rsidRPr="00D01F07" w:rsidRDefault="00687F53" w:rsidP="0095604D">
      <w:pPr>
        <w:pStyle w:val="regpar"/>
        <w:ind w:firstLine="0"/>
        <w:rPr>
          <w:rFonts w:ascii="Calibri" w:hAnsi="Calibri" w:cs="Calibri"/>
        </w:rPr>
      </w:pPr>
      <w:r w:rsidRPr="00D01F07">
        <w:rPr>
          <w:rFonts w:ascii="Calibri" w:hAnsi="Calibri" w:cs="Calibri"/>
        </w:rPr>
        <w:t xml:space="preserve">The administrative activities budget does not include </w:t>
      </w:r>
      <w:r w:rsidR="0095604D" w:rsidRPr="00D01F07">
        <w:rPr>
          <w:rFonts w:ascii="Calibri" w:hAnsi="Calibri" w:cs="Calibri"/>
        </w:rPr>
        <w:t xml:space="preserve">revenues </w:t>
      </w:r>
      <w:r w:rsidRPr="00D01F07">
        <w:rPr>
          <w:rFonts w:ascii="Calibri" w:hAnsi="Calibri" w:cs="Calibri"/>
        </w:rPr>
        <w:t xml:space="preserve">and expenses stemming from the implementation of monetary tools, the provision of credit to banking corporations and to other financial institutions, activities related to managing liquidity in the economy, </w:t>
      </w:r>
      <w:r w:rsidR="009B11E3" w:rsidRPr="00D01F07">
        <w:rPr>
          <w:rFonts w:ascii="Calibri" w:hAnsi="Calibri" w:cs="Calibri"/>
        </w:rPr>
        <w:t xml:space="preserve">investment of the </w:t>
      </w:r>
      <w:r w:rsidRPr="00D01F07">
        <w:rPr>
          <w:rFonts w:ascii="Calibri" w:hAnsi="Calibri" w:cs="Calibri"/>
        </w:rPr>
        <w:t xml:space="preserve">foreign exchange reserves, etc. Such </w:t>
      </w:r>
      <w:r w:rsidR="0095604D" w:rsidRPr="00D01F07">
        <w:rPr>
          <w:rFonts w:ascii="Calibri" w:hAnsi="Calibri" w:cs="Calibri"/>
        </w:rPr>
        <w:t xml:space="preserve">revenues </w:t>
      </w:r>
      <w:r w:rsidRPr="00D01F07">
        <w:rPr>
          <w:rFonts w:ascii="Calibri" w:hAnsi="Calibri" w:cs="Calibri"/>
        </w:rPr>
        <w:t xml:space="preserve">and expenses are reflected in the Bank </w:t>
      </w:r>
      <w:r w:rsidRPr="00D01F07">
        <w:rPr>
          <w:rFonts w:ascii="Calibri" w:hAnsi="Calibri" w:cs="Calibri"/>
        </w:rPr>
        <w:lastRenderedPageBreak/>
        <w:t>of Israel's financial statements and in the Investment of the Foreign Exchange Reserves report of the Bank.</w:t>
      </w:r>
    </w:p>
    <w:p w:rsidR="00687F53" w:rsidRPr="00D01F07" w:rsidRDefault="00687F53" w:rsidP="00687F53">
      <w:pPr>
        <w:pStyle w:val="regpar"/>
        <w:ind w:firstLine="0"/>
        <w:rPr>
          <w:rFonts w:ascii="Calibri" w:hAnsi="Calibri" w:cs="Calibri"/>
        </w:rPr>
      </w:pPr>
    </w:p>
    <w:p w:rsidR="00687F53" w:rsidRPr="00D01F07" w:rsidRDefault="00687F53" w:rsidP="00687F53">
      <w:pPr>
        <w:spacing w:line="240" w:lineRule="auto"/>
        <w:jc w:val="left"/>
        <w:rPr>
          <w:rFonts w:ascii="Calibri" w:hAnsi="Calibri" w:cs="Calibri"/>
        </w:rPr>
      </w:pPr>
    </w:p>
    <w:p w:rsidR="00687F53" w:rsidRPr="00D01F07" w:rsidRDefault="00687F53" w:rsidP="00DD4DB0">
      <w:pPr>
        <w:pStyle w:val="regpar"/>
        <w:ind w:firstLine="0"/>
        <w:jc w:val="left"/>
        <w:rPr>
          <w:rFonts w:ascii="Calibri" w:hAnsi="Calibri" w:cs="Calibri"/>
          <w:b/>
          <w:bCs/>
        </w:rPr>
      </w:pPr>
      <w:r w:rsidRPr="00D01F07">
        <w:rPr>
          <w:rFonts w:ascii="Calibri" w:hAnsi="Calibri" w:cs="Calibri"/>
          <w:b/>
          <w:bCs/>
        </w:rPr>
        <w:t xml:space="preserve">Table 1: The Bank of Israel’s Budget for </w:t>
      </w:r>
      <w:r w:rsidR="00DD4DB0" w:rsidRPr="00D01F07">
        <w:rPr>
          <w:rFonts w:ascii="Calibri" w:hAnsi="Calibri" w:cs="Calibri"/>
          <w:b/>
          <w:bCs/>
        </w:rPr>
        <w:t>2025</w:t>
      </w:r>
      <w:r w:rsidRPr="00D01F07">
        <w:rPr>
          <w:rFonts w:ascii="Calibri" w:hAnsi="Calibri" w:cs="Calibri"/>
          <w:b/>
          <w:bCs/>
        </w:rPr>
        <w:t xml:space="preserve"> </w:t>
      </w:r>
    </w:p>
    <w:p w:rsidR="00687F53" w:rsidRPr="00D01F07" w:rsidRDefault="00687F53" w:rsidP="00687F53">
      <w:pPr>
        <w:pStyle w:val="regpar"/>
        <w:ind w:firstLine="0"/>
        <w:jc w:val="left"/>
        <w:rPr>
          <w:rFonts w:ascii="Calibri" w:hAnsi="Calibri" w:cs="Calibri"/>
        </w:rPr>
      </w:pPr>
      <w:r w:rsidRPr="00D01F07">
        <w:rPr>
          <w:rFonts w:ascii="Calibri" w:hAnsi="Calibri" w:cs="Calibri"/>
        </w:rPr>
        <w:t>(financial data in NIS thousand)</w:t>
      </w:r>
    </w:p>
    <w:tbl>
      <w:tblPr>
        <w:tblpPr w:leftFromText="180" w:rightFromText="180" w:vertAnchor="text" w:horzAnchor="margin" w:tblpY="184"/>
        <w:tblW w:w="53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1110"/>
        <w:gridCol w:w="1487"/>
        <w:gridCol w:w="1135"/>
        <w:gridCol w:w="1110"/>
        <w:gridCol w:w="1414"/>
      </w:tblGrid>
      <w:tr w:rsidR="008B5608" w:rsidRPr="00D01F07" w:rsidTr="008B5608">
        <w:tc>
          <w:tcPr>
            <w:tcW w:w="1804" w:type="pct"/>
            <w:vMerge w:val="restart"/>
            <w:tcBorders>
              <w:top w:val="single" w:sz="4" w:space="0" w:color="auto"/>
              <w:left w:val="single" w:sz="4" w:space="0" w:color="auto"/>
              <w:bottom w:val="single" w:sz="4" w:space="0" w:color="auto"/>
              <w:right w:val="single" w:sz="4" w:space="0" w:color="auto"/>
            </w:tcBorders>
          </w:tcPr>
          <w:p w:rsidR="00DD4DB0" w:rsidRPr="00D01F07" w:rsidRDefault="00DD4DB0" w:rsidP="00316BE7">
            <w:pPr>
              <w:spacing w:line="240" w:lineRule="auto"/>
              <w:jc w:val="center"/>
              <w:rPr>
                <w:rFonts w:ascii="Calibri" w:hAnsi="Calibri" w:cs="Calibri"/>
                <w:b/>
                <w:bCs/>
                <w:sz w:val="22"/>
                <w:szCs w:val="22"/>
              </w:rPr>
            </w:pPr>
          </w:p>
        </w:tc>
        <w:tc>
          <w:tcPr>
            <w:tcW w:w="1907" w:type="pct"/>
            <w:gridSpan w:val="3"/>
            <w:tcBorders>
              <w:top w:val="single" w:sz="4" w:space="0" w:color="auto"/>
              <w:left w:val="single" w:sz="4" w:space="0" w:color="auto"/>
              <w:bottom w:val="single" w:sz="4" w:space="0" w:color="auto"/>
              <w:right w:val="single" w:sz="4" w:space="0" w:color="auto"/>
            </w:tcBorders>
            <w:hideMark/>
          </w:tcPr>
          <w:p w:rsidR="00DD4DB0" w:rsidRPr="00D01F07" w:rsidRDefault="00DD4DB0" w:rsidP="00316BE7">
            <w:pPr>
              <w:spacing w:line="240" w:lineRule="auto"/>
              <w:jc w:val="center"/>
              <w:rPr>
                <w:rFonts w:ascii="Calibri" w:hAnsi="Calibri" w:cs="Calibri"/>
                <w:b/>
                <w:bCs/>
                <w:sz w:val="22"/>
                <w:szCs w:val="22"/>
              </w:rPr>
            </w:pPr>
            <w:r w:rsidRPr="00D01F07">
              <w:rPr>
                <w:rFonts w:ascii="Calibri" w:hAnsi="Calibri" w:cs="Calibri"/>
                <w:b/>
                <w:bCs/>
                <w:sz w:val="22"/>
                <w:szCs w:val="22"/>
              </w:rPr>
              <w:t>2025</w:t>
            </w:r>
          </w:p>
        </w:tc>
        <w:tc>
          <w:tcPr>
            <w:tcW w:w="559" w:type="pct"/>
            <w:vMerge w:val="restart"/>
            <w:tcBorders>
              <w:top w:val="single" w:sz="4" w:space="0" w:color="auto"/>
              <w:left w:val="single" w:sz="4" w:space="0" w:color="auto"/>
              <w:bottom w:val="single" w:sz="4" w:space="0" w:color="auto"/>
              <w:right w:val="single" w:sz="4" w:space="0" w:color="auto"/>
            </w:tcBorders>
            <w:vAlign w:val="bottom"/>
            <w:hideMark/>
          </w:tcPr>
          <w:p w:rsidR="00DD4DB0" w:rsidRPr="00D01F07" w:rsidRDefault="00DD4DB0" w:rsidP="00316BE7">
            <w:pPr>
              <w:spacing w:line="240" w:lineRule="auto"/>
              <w:jc w:val="center"/>
              <w:rPr>
                <w:rFonts w:ascii="Calibri" w:hAnsi="Calibri" w:cs="Calibri"/>
                <w:sz w:val="22"/>
                <w:szCs w:val="22"/>
              </w:rPr>
            </w:pPr>
            <w:r w:rsidRPr="00D01F07">
              <w:rPr>
                <w:rFonts w:ascii="Calibri" w:hAnsi="Calibri" w:cs="Calibri"/>
                <w:b/>
                <w:bCs/>
                <w:sz w:val="22"/>
                <w:szCs w:val="22"/>
              </w:rPr>
              <w:t>2024 budget</w:t>
            </w:r>
          </w:p>
        </w:tc>
        <w:tc>
          <w:tcPr>
            <w:tcW w:w="730" w:type="pct"/>
            <w:tcBorders>
              <w:top w:val="single" w:sz="4" w:space="0" w:color="auto"/>
              <w:left w:val="single" w:sz="4" w:space="0" w:color="auto"/>
              <w:bottom w:val="single" w:sz="4" w:space="0" w:color="auto"/>
              <w:right w:val="single" w:sz="4" w:space="0" w:color="auto"/>
            </w:tcBorders>
          </w:tcPr>
          <w:p w:rsidR="00DD4DB0" w:rsidRPr="00D01F07" w:rsidRDefault="00DD4DB0" w:rsidP="00316BE7">
            <w:pPr>
              <w:spacing w:line="240" w:lineRule="auto"/>
              <w:jc w:val="center"/>
              <w:rPr>
                <w:rFonts w:ascii="Calibri" w:hAnsi="Calibri" w:cs="Calibri"/>
                <w:b/>
                <w:bCs/>
                <w:sz w:val="22"/>
                <w:szCs w:val="22"/>
              </w:rPr>
            </w:pPr>
          </w:p>
        </w:tc>
      </w:tr>
      <w:tr w:rsidR="008B5608" w:rsidRPr="00D01F07" w:rsidTr="008B5608">
        <w:trPr>
          <w:trHeight w:val="807"/>
        </w:trPr>
        <w:tc>
          <w:tcPr>
            <w:tcW w:w="1804" w:type="pct"/>
            <w:vMerge/>
            <w:tcBorders>
              <w:top w:val="single" w:sz="4" w:space="0" w:color="auto"/>
              <w:left w:val="single" w:sz="4" w:space="0" w:color="auto"/>
              <w:bottom w:val="single" w:sz="4" w:space="0" w:color="auto"/>
              <w:right w:val="single" w:sz="4" w:space="0" w:color="auto"/>
            </w:tcBorders>
            <w:vAlign w:val="center"/>
            <w:hideMark/>
          </w:tcPr>
          <w:p w:rsidR="00DD4DB0" w:rsidRPr="00D01F07" w:rsidRDefault="00DD4DB0" w:rsidP="00316BE7">
            <w:pPr>
              <w:spacing w:line="240" w:lineRule="auto"/>
              <w:jc w:val="left"/>
              <w:rPr>
                <w:rFonts w:ascii="Calibri" w:hAnsi="Calibri" w:cs="Calibri"/>
                <w:b/>
                <w:bCs/>
                <w:sz w:val="22"/>
                <w:szCs w:val="22"/>
              </w:rPr>
            </w:pPr>
          </w:p>
        </w:tc>
        <w:tc>
          <w:tcPr>
            <w:tcW w:w="559" w:type="pct"/>
            <w:tcBorders>
              <w:top w:val="single" w:sz="4" w:space="0" w:color="auto"/>
              <w:left w:val="single" w:sz="4" w:space="0" w:color="auto"/>
              <w:bottom w:val="single" w:sz="4" w:space="0" w:color="auto"/>
              <w:right w:val="single" w:sz="4" w:space="0" w:color="auto"/>
            </w:tcBorders>
            <w:vAlign w:val="bottom"/>
            <w:hideMark/>
          </w:tcPr>
          <w:p w:rsidR="00DD4DB0" w:rsidRPr="00D01F07" w:rsidRDefault="00DD4DB0" w:rsidP="00316BE7">
            <w:pPr>
              <w:spacing w:line="240" w:lineRule="auto"/>
              <w:rPr>
                <w:rFonts w:ascii="Calibri" w:hAnsi="Calibri" w:cs="Calibri"/>
                <w:b/>
                <w:bCs/>
                <w:sz w:val="22"/>
                <w:szCs w:val="22"/>
              </w:rPr>
            </w:pPr>
            <w:r w:rsidRPr="00D01F07">
              <w:rPr>
                <w:rFonts w:ascii="Calibri" w:hAnsi="Calibri" w:cs="Calibri"/>
                <w:b/>
                <w:bCs/>
                <w:sz w:val="22"/>
                <w:szCs w:val="22"/>
              </w:rPr>
              <w:t>Budget</w:t>
            </w:r>
          </w:p>
        </w:tc>
        <w:tc>
          <w:tcPr>
            <w:tcW w:w="761" w:type="pct"/>
            <w:tcBorders>
              <w:top w:val="single" w:sz="4" w:space="0" w:color="auto"/>
              <w:left w:val="single" w:sz="4" w:space="0" w:color="auto"/>
              <w:bottom w:val="single" w:sz="4" w:space="0" w:color="auto"/>
              <w:right w:val="single" w:sz="4" w:space="0" w:color="auto"/>
            </w:tcBorders>
            <w:vAlign w:val="bottom"/>
            <w:hideMark/>
          </w:tcPr>
          <w:p w:rsidR="00DD4DB0" w:rsidRPr="00D01F07" w:rsidRDefault="00DD4DB0" w:rsidP="00316BE7">
            <w:pPr>
              <w:spacing w:line="240" w:lineRule="auto"/>
              <w:jc w:val="center"/>
              <w:rPr>
                <w:rFonts w:ascii="Calibri" w:hAnsi="Calibri" w:cs="Calibri"/>
                <w:b/>
                <w:bCs/>
                <w:sz w:val="22"/>
                <w:szCs w:val="22"/>
              </w:rPr>
            </w:pPr>
            <w:r w:rsidRPr="00D01F07">
              <w:rPr>
                <w:rFonts w:ascii="Calibri" w:hAnsi="Calibri" w:cs="Calibri"/>
                <w:b/>
                <w:bCs/>
                <w:sz w:val="22"/>
                <w:szCs w:val="22"/>
              </w:rPr>
              <w:t>Permitted commitments for coming years</w:t>
            </w:r>
          </w:p>
        </w:tc>
        <w:tc>
          <w:tcPr>
            <w:tcW w:w="586" w:type="pct"/>
            <w:tcBorders>
              <w:top w:val="single" w:sz="4" w:space="0" w:color="auto"/>
              <w:left w:val="single" w:sz="4" w:space="0" w:color="auto"/>
              <w:bottom w:val="single" w:sz="4" w:space="0" w:color="auto"/>
              <w:right w:val="single" w:sz="4" w:space="0" w:color="auto"/>
            </w:tcBorders>
            <w:vAlign w:val="bottom"/>
            <w:hideMark/>
          </w:tcPr>
          <w:p w:rsidR="00DD4DB0" w:rsidRPr="00D01F07" w:rsidRDefault="00DD4DB0" w:rsidP="00316BE7">
            <w:pPr>
              <w:spacing w:line="240" w:lineRule="auto"/>
              <w:jc w:val="center"/>
              <w:rPr>
                <w:rFonts w:ascii="Calibri" w:hAnsi="Calibri" w:cs="Calibri"/>
                <w:b/>
                <w:bCs/>
                <w:sz w:val="22"/>
                <w:szCs w:val="22"/>
              </w:rPr>
            </w:pPr>
            <w:r w:rsidRPr="00D01F07">
              <w:rPr>
                <w:rFonts w:ascii="Calibri" w:hAnsi="Calibri" w:cs="Calibri"/>
                <w:b/>
                <w:bCs/>
                <w:sz w:val="22"/>
                <w:szCs w:val="22"/>
              </w:rPr>
              <w:t>Personnel ceiling</w:t>
            </w: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DD4DB0" w:rsidRPr="00D01F07" w:rsidRDefault="00DD4DB0" w:rsidP="00316BE7">
            <w:pPr>
              <w:spacing w:line="240" w:lineRule="auto"/>
              <w:jc w:val="left"/>
              <w:rPr>
                <w:rFonts w:ascii="Calibri" w:hAnsi="Calibri" w:cs="Calibri"/>
                <w:sz w:val="22"/>
                <w:szCs w:val="22"/>
              </w:rPr>
            </w:pPr>
          </w:p>
        </w:tc>
        <w:tc>
          <w:tcPr>
            <w:tcW w:w="730" w:type="pct"/>
            <w:tcBorders>
              <w:top w:val="single" w:sz="4" w:space="0" w:color="auto"/>
              <w:left w:val="single" w:sz="4" w:space="0" w:color="auto"/>
              <w:bottom w:val="single" w:sz="4" w:space="0" w:color="auto"/>
              <w:right w:val="single" w:sz="4" w:space="0" w:color="auto"/>
            </w:tcBorders>
          </w:tcPr>
          <w:p w:rsidR="00DD4DB0" w:rsidRPr="00D01F07" w:rsidRDefault="00DD4DB0" w:rsidP="00316BE7">
            <w:pPr>
              <w:spacing w:line="240" w:lineRule="auto"/>
              <w:jc w:val="center"/>
              <w:rPr>
                <w:rFonts w:ascii="Calibri" w:hAnsi="Calibri" w:cs="Calibri"/>
                <w:b/>
                <w:bCs/>
                <w:sz w:val="22"/>
                <w:szCs w:val="22"/>
              </w:rPr>
            </w:pPr>
          </w:p>
          <w:p w:rsidR="00DD4DB0" w:rsidRPr="00D01F07" w:rsidRDefault="00DD4DB0" w:rsidP="00316BE7">
            <w:pPr>
              <w:spacing w:line="240" w:lineRule="auto"/>
              <w:jc w:val="center"/>
              <w:rPr>
                <w:rFonts w:ascii="Calibri" w:hAnsi="Calibri" w:cs="Calibri"/>
                <w:b/>
                <w:bCs/>
                <w:sz w:val="22"/>
                <w:szCs w:val="22"/>
              </w:rPr>
            </w:pPr>
          </w:p>
          <w:p w:rsidR="00DD4DB0" w:rsidRPr="00D01F07" w:rsidRDefault="00DD4DB0" w:rsidP="00316BE7">
            <w:pPr>
              <w:spacing w:line="240" w:lineRule="auto"/>
              <w:jc w:val="center"/>
              <w:rPr>
                <w:rFonts w:ascii="Calibri" w:hAnsi="Calibri" w:cs="Calibri"/>
                <w:b/>
                <w:bCs/>
                <w:sz w:val="22"/>
                <w:szCs w:val="22"/>
              </w:rPr>
            </w:pPr>
            <w:r w:rsidRPr="00D01F07">
              <w:rPr>
                <w:rFonts w:ascii="Calibri" w:hAnsi="Calibri" w:cs="Calibri"/>
                <w:b/>
                <w:bCs/>
                <w:sz w:val="22"/>
                <w:szCs w:val="22"/>
              </w:rPr>
              <w:t>2023 budget performance</w:t>
            </w:r>
          </w:p>
        </w:tc>
      </w:tr>
      <w:tr w:rsidR="008B5608" w:rsidRPr="00D01F07" w:rsidTr="008B5608">
        <w:trPr>
          <w:trHeight w:val="812"/>
        </w:trPr>
        <w:tc>
          <w:tcPr>
            <w:tcW w:w="1804" w:type="pct"/>
            <w:tcBorders>
              <w:top w:val="single" w:sz="4" w:space="0" w:color="auto"/>
              <w:left w:val="single" w:sz="4" w:space="0" w:color="auto"/>
              <w:bottom w:val="single" w:sz="4" w:space="0" w:color="auto"/>
              <w:right w:val="single" w:sz="4" w:space="0" w:color="auto"/>
            </w:tcBorders>
            <w:vAlign w:val="center"/>
          </w:tcPr>
          <w:p w:rsidR="00DD4DB0" w:rsidRPr="00D01F07" w:rsidRDefault="00DD4DB0" w:rsidP="00316BE7">
            <w:pPr>
              <w:spacing w:line="240" w:lineRule="auto"/>
              <w:jc w:val="left"/>
              <w:rPr>
                <w:rFonts w:ascii="Calibri" w:hAnsi="Calibri" w:cs="Calibri"/>
                <w:b/>
                <w:bCs/>
                <w:sz w:val="22"/>
                <w:szCs w:val="22"/>
              </w:rPr>
            </w:pPr>
            <w:r w:rsidRPr="00D01F07">
              <w:rPr>
                <w:rFonts w:ascii="Calibri" w:hAnsi="Calibri" w:cs="Calibri"/>
                <w:b/>
                <w:bCs/>
                <w:sz w:val="22"/>
                <w:szCs w:val="22"/>
              </w:rPr>
              <w:t>Bank of Israel</w:t>
            </w:r>
          </w:p>
          <w:p w:rsidR="00DD4DB0" w:rsidRPr="00D01F07" w:rsidRDefault="00DD4DB0" w:rsidP="00316BE7">
            <w:pPr>
              <w:pStyle w:val="regpar"/>
              <w:spacing w:line="240" w:lineRule="auto"/>
              <w:ind w:firstLine="0"/>
              <w:rPr>
                <w:rFonts w:ascii="Calibri" w:hAnsi="Calibri" w:cs="Calibri"/>
                <w:sz w:val="22"/>
                <w:szCs w:val="22"/>
              </w:rPr>
            </w:pPr>
            <w:r w:rsidRPr="00D01F07">
              <w:rPr>
                <w:rFonts w:ascii="Calibri" w:hAnsi="Calibri" w:cs="Calibri"/>
                <w:sz w:val="22"/>
                <w:szCs w:val="22"/>
                <w:rtl/>
              </w:rPr>
              <w:t xml:space="preserve">= = = = </w:t>
            </w:r>
            <w:r w:rsidRPr="00D01F07">
              <w:rPr>
                <w:rFonts w:ascii="Calibri" w:hAnsi="Calibri" w:cs="Calibri"/>
                <w:sz w:val="22"/>
                <w:szCs w:val="22"/>
              </w:rPr>
              <w:t xml:space="preserve"> </w:t>
            </w:r>
            <w:r w:rsidRPr="00D01F07">
              <w:rPr>
                <w:rFonts w:ascii="Calibri" w:hAnsi="Calibri" w:cs="Calibri"/>
                <w:sz w:val="22"/>
                <w:szCs w:val="22"/>
                <w:rtl/>
              </w:rPr>
              <w:t>= = =</w:t>
            </w:r>
          </w:p>
        </w:tc>
        <w:tc>
          <w:tcPr>
            <w:tcW w:w="559" w:type="pct"/>
            <w:tcBorders>
              <w:top w:val="single" w:sz="4" w:space="0" w:color="auto"/>
              <w:left w:val="single" w:sz="4" w:space="0" w:color="auto"/>
              <w:bottom w:val="single" w:sz="4" w:space="0" w:color="auto"/>
              <w:right w:val="single" w:sz="4" w:space="0" w:color="auto"/>
            </w:tcBorders>
            <w:vAlign w:val="center"/>
            <w:hideMark/>
          </w:tcPr>
          <w:p w:rsidR="00316BE7" w:rsidRPr="00D01F07" w:rsidRDefault="00316BE7" w:rsidP="00316BE7">
            <w:pPr>
              <w:jc w:val="center"/>
              <w:rPr>
                <w:rFonts w:ascii="Calibri" w:hAnsi="Calibri" w:cs="Calibri"/>
                <w:b/>
                <w:bCs/>
                <w:sz w:val="22"/>
                <w:szCs w:val="22"/>
              </w:rPr>
            </w:pPr>
            <w:r w:rsidRPr="00D01F07">
              <w:rPr>
                <w:rFonts w:ascii="Calibri" w:hAnsi="Calibri" w:cs="Calibri"/>
                <w:b/>
                <w:bCs/>
                <w:sz w:val="22"/>
                <w:szCs w:val="22"/>
                <w:rtl/>
              </w:rPr>
              <w:t>1,301,420</w:t>
            </w:r>
          </w:p>
          <w:p w:rsidR="00DD4DB0" w:rsidRPr="00D01F07" w:rsidRDefault="00DD4DB0" w:rsidP="00316BE7">
            <w:pPr>
              <w:spacing w:line="240" w:lineRule="auto"/>
              <w:jc w:val="center"/>
              <w:rPr>
                <w:rFonts w:ascii="Calibri" w:hAnsi="Calibri" w:cs="Calibri"/>
                <w:b/>
                <w:bCs/>
                <w:sz w:val="22"/>
                <w:szCs w:val="22"/>
              </w:rPr>
            </w:pPr>
            <w:r w:rsidRPr="00D01F07">
              <w:rPr>
                <w:rFonts w:ascii="Calibri" w:hAnsi="Calibri" w:cs="Calibri"/>
                <w:sz w:val="22"/>
                <w:szCs w:val="22"/>
                <w:rtl/>
              </w:rPr>
              <w:t>= = = = =</w:t>
            </w:r>
          </w:p>
        </w:tc>
        <w:tc>
          <w:tcPr>
            <w:tcW w:w="761" w:type="pct"/>
            <w:tcBorders>
              <w:top w:val="single" w:sz="4" w:space="0" w:color="auto"/>
              <w:left w:val="single" w:sz="4" w:space="0" w:color="auto"/>
              <w:bottom w:val="single" w:sz="4" w:space="0" w:color="auto"/>
              <w:right w:val="single" w:sz="4" w:space="0" w:color="auto"/>
            </w:tcBorders>
            <w:vAlign w:val="center"/>
            <w:hideMark/>
          </w:tcPr>
          <w:p w:rsidR="00316BE7" w:rsidRPr="00D01F07" w:rsidRDefault="00316BE7" w:rsidP="00316BE7">
            <w:pPr>
              <w:jc w:val="center"/>
              <w:rPr>
                <w:rFonts w:ascii="Calibri" w:hAnsi="Calibri" w:cs="Calibri"/>
                <w:b/>
                <w:bCs/>
                <w:sz w:val="22"/>
                <w:szCs w:val="22"/>
              </w:rPr>
            </w:pPr>
            <w:r w:rsidRPr="00D01F07">
              <w:rPr>
                <w:rFonts w:ascii="Calibri" w:hAnsi="Calibri" w:cs="Calibri"/>
                <w:b/>
                <w:bCs/>
                <w:sz w:val="22"/>
                <w:szCs w:val="22"/>
                <w:rtl/>
              </w:rPr>
              <w:t>823,619</w:t>
            </w:r>
          </w:p>
          <w:p w:rsidR="00DD4DB0" w:rsidRPr="00D01F07" w:rsidRDefault="00DD4DB0" w:rsidP="00316BE7">
            <w:pPr>
              <w:spacing w:line="240" w:lineRule="auto"/>
              <w:jc w:val="center"/>
              <w:rPr>
                <w:rFonts w:ascii="Calibri" w:hAnsi="Calibri" w:cs="Calibri"/>
                <w:b/>
                <w:bCs/>
                <w:sz w:val="22"/>
                <w:szCs w:val="22"/>
                <w:rtl/>
              </w:rPr>
            </w:pPr>
            <w:r w:rsidRPr="00D01F07">
              <w:rPr>
                <w:rFonts w:ascii="Calibri" w:hAnsi="Calibri" w:cs="Calibri"/>
                <w:sz w:val="22"/>
                <w:szCs w:val="22"/>
                <w:rtl/>
              </w:rPr>
              <w:t>= = = = =</w:t>
            </w:r>
          </w:p>
        </w:tc>
        <w:tc>
          <w:tcPr>
            <w:tcW w:w="586" w:type="pct"/>
            <w:tcBorders>
              <w:top w:val="single" w:sz="4" w:space="0" w:color="auto"/>
              <w:left w:val="single" w:sz="4" w:space="0" w:color="auto"/>
              <w:bottom w:val="single" w:sz="4" w:space="0" w:color="auto"/>
              <w:right w:val="single" w:sz="4" w:space="0" w:color="auto"/>
            </w:tcBorders>
            <w:vAlign w:val="center"/>
            <w:hideMark/>
          </w:tcPr>
          <w:p w:rsidR="00316BE7" w:rsidRPr="00D01F07" w:rsidRDefault="00316BE7" w:rsidP="00316BE7">
            <w:pPr>
              <w:jc w:val="center"/>
              <w:rPr>
                <w:rFonts w:ascii="Calibri" w:hAnsi="Calibri" w:cs="Calibri"/>
                <w:b/>
                <w:bCs/>
                <w:sz w:val="22"/>
                <w:szCs w:val="22"/>
              </w:rPr>
            </w:pPr>
            <w:r w:rsidRPr="00D01F07">
              <w:rPr>
                <w:rFonts w:ascii="Calibri" w:hAnsi="Calibri" w:cs="Calibri"/>
                <w:b/>
                <w:bCs/>
                <w:sz w:val="22"/>
                <w:szCs w:val="22"/>
                <w:rtl/>
              </w:rPr>
              <w:t>968.4</w:t>
            </w:r>
          </w:p>
          <w:p w:rsidR="00DD4DB0" w:rsidRPr="00D01F07" w:rsidRDefault="00DD4DB0" w:rsidP="00316BE7">
            <w:pPr>
              <w:spacing w:line="240" w:lineRule="auto"/>
              <w:jc w:val="center"/>
              <w:rPr>
                <w:rFonts w:ascii="Calibri" w:hAnsi="Calibri" w:cs="Calibri"/>
                <w:b/>
                <w:bCs/>
                <w:sz w:val="22"/>
                <w:szCs w:val="22"/>
              </w:rPr>
            </w:pPr>
            <w:r w:rsidRPr="00D01F07">
              <w:rPr>
                <w:rFonts w:ascii="Calibri" w:hAnsi="Calibri" w:cs="Calibri"/>
                <w:sz w:val="22"/>
                <w:szCs w:val="22"/>
                <w:rtl/>
              </w:rPr>
              <w:t>= = = = =</w:t>
            </w:r>
          </w:p>
        </w:tc>
        <w:tc>
          <w:tcPr>
            <w:tcW w:w="559" w:type="pct"/>
            <w:tcBorders>
              <w:top w:val="single" w:sz="4" w:space="0" w:color="auto"/>
              <w:left w:val="single" w:sz="4" w:space="0" w:color="auto"/>
              <w:bottom w:val="single" w:sz="4" w:space="0" w:color="auto"/>
              <w:right w:val="single" w:sz="4" w:space="0" w:color="auto"/>
            </w:tcBorders>
            <w:vAlign w:val="center"/>
            <w:hideMark/>
          </w:tcPr>
          <w:p w:rsidR="00316BE7" w:rsidRPr="00D01F07" w:rsidRDefault="00316BE7" w:rsidP="00316BE7">
            <w:pPr>
              <w:jc w:val="center"/>
              <w:rPr>
                <w:rFonts w:ascii="Calibri" w:hAnsi="Calibri" w:cs="Calibri"/>
                <w:b/>
                <w:bCs/>
                <w:sz w:val="22"/>
                <w:szCs w:val="22"/>
              </w:rPr>
            </w:pPr>
            <w:r w:rsidRPr="00D01F07">
              <w:rPr>
                <w:rFonts w:ascii="Calibri" w:hAnsi="Calibri" w:cs="Calibri"/>
                <w:b/>
                <w:bCs/>
                <w:sz w:val="22"/>
                <w:szCs w:val="22"/>
                <w:rtl/>
              </w:rPr>
              <w:t>1,249,273</w:t>
            </w:r>
          </w:p>
          <w:p w:rsidR="00DD4DB0" w:rsidRPr="00D01F07" w:rsidRDefault="00DD4DB0" w:rsidP="00316BE7">
            <w:pPr>
              <w:spacing w:line="240" w:lineRule="auto"/>
              <w:jc w:val="center"/>
              <w:rPr>
                <w:rFonts w:ascii="Calibri" w:hAnsi="Calibri" w:cs="Calibri"/>
                <w:b/>
                <w:bCs/>
                <w:sz w:val="22"/>
                <w:szCs w:val="22"/>
                <w:rtl/>
              </w:rPr>
            </w:pPr>
            <w:r w:rsidRPr="00D01F07">
              <w:rPr>
                <w:rFonts w:ascii="Calibri" w:hAnsi="Calibri" w:cs="Calibri"/>
                <w:sz w:val="22"/>
                <w:szCs w:val="22"/>
                <w:rtl/>
              </w:rPr>
              <w:t>= = = = =</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before="120"/>
              <w:jc w:val="center"/>
              <w:rPr>
                <w:rFonts w:ascii="Calibri" w:hAnsi="Calibri" w:cs="Calibri"/>
                <w:b/>
                <w:bCs/>
                <w:sz w:val="22"/>
                <w:szCs w:val="22"/>
              </w:rPr>
            </w:pPr>
            <w:r w:rsidRPr="00D01F07">
              <w:rPr>
                <w:rFonts w:ascii="Calibri" w:hAnsi="Calibri" w:cs="Calibri"/>
                <w:b/>
                <w:bCs/>
                <w:sz w:val="22"/>
                <w:szCs w:val="22"/>
                <w:rtl/>
              </w:rPr>
              <w:t>1,033,523</w:t>
            </w:r>
          </w:p>
          <w:p w:rsidR="00DD4DB0" w:rsidRPr="00D01F07" w:rsidRDefault="00316BE7" w:rsidP="00316BE7">
            <w:pPr>
              <w:jc w:val="center"/>
              <w:rPr>
                <w:rFonts w:ascii="Calibri" w:hAnsi="Calibri" w:cs="Calibri"/>
                <w:b/>
                <w:bCs/>
                <w:sz w:val="22"/>
                <w:szCs w:val="22"/>
                <w:rtl/>
              </w:rPr>
            </w:pPr>
            <w:r w:rsidRPr="00D01F07">
              <w:rPr>
                <w:rFonts w:ascii="Calibri" w:hAnsi="Calibri" w:cs="Calibri"/>
                <w:b/>
                <w:bCs/>
                <w:sz w:val="22"/>
                <w:szCs w:val="22"/>
                <w:rtl/>
              </w:rPr>
              <w:t>= = = = =</w:t>
            </w:r>
          </w:p>
        </w:tc>
      </w:tr>
      <w:tr w:rsidR="00A65977" w:rsidRPr="00D01F07" w:rsidTr="00200724">
        <w:tc>
          <w:tcPr>
            <w:tcW w:w="1804" w:type="pct"/>
            <w:tcBorders>
              <w:top w:val="single" w:sz="4" w:space="0" w:color="auto"/>
              <w:left w:val="single" w:sz="4" w:space="0" w:color="auto"/>
              <w:bottom w:val="single" w:sz="4" w:space="0" w:color="auto"/>
              <w:right w:val="single" w:sz="4" w:space="0" w:color="auto"/>
            </w:tcBorders>
            <w:vAlign w:val="center"/>
          </w:tcPr>
          <w:p w:rsidR="00A65977" w:rsidRPr="00D01F07" w:rsidRDefault="008B5608" w:rsidP="0095604D">
            <w:pPr>
              <w:spacing w:line="240" w:lineRule="auto"/>
              <w:jc w:val="left"/>
              <w:rPr>
                <w:rFonts w:ascii="Calibri" w:hAnsi="Calibri" w:cs="Calibri"/>
                <w:b/>
                <w:bCs/>
                <w:sz w:val="22"/>
                <w:szCs w:val="22"/>
              </w:rPr>
            </w:pPr>
            <w:r w:rsidRPr="00D01F07">
              <w:rPr>
                <w:rFonts w:ascii="Calibri" w:hAnsi="Calibri" w:cs="Calibri"/>
                <w:b/>
                <w:bCs/>
                <w:sz w:val="22"/>
                <w:szCs w:val="22"/>
              </w:rPr>
              <w:t xml:space="preserve">Total excluding Currency issue, Managing the Citizens of Israel Fund, and the Credit Data System </w:t>
            </w:r>
          </w:p>
        </w:tc>
        <w:tc>
          <w:tcPr>
            <w:tcW w:w="559" w:type="pct"/>
            <w:tcBorders>
              <w:top w:val="single" w:sz="4" w:space="0" w:color="auto"/>
              <w:left w:val="single" w:sz="4" w:space="0" w:color="auto"/>
              <w:bottom w:val="single" w:sz="4" w:space="0" w:color="auto"/>
              <w:right w:val="single" w:sz="4" w:space="0" w:color="auto"/>
            </w:tcBorders>
            <w:vAlign w:val="center"/>
          </w:tcPr>
          <w:p w:rsidR="00A65977" w:rsidRPr="00D01F07" w:rsidRDefault="008B5608" w:rsidP="00200724">
            <w:pPr>
              <w:tabs>
                <w:tab w:val="center" w:pos="440"/>
              </w:tabs>
              <w:spacing w:line="240" w:lineRule="auto"/>
              <w:jc w:val="center"/>
              <w:rPr>
                <w:rFonts w:ascii="Calibri" w:hAnsi="Calibri" w:cs="Calibri"/>
                <w:b/>
                <w:bCs/>
                <w:sz w:val="22"/>
                <w:szCs w:val="22"/>
                <w:rtl/>
              </w:rPr>
            </w:pPr>
            <w:r w:rsidRPr="00D01F07">
              <w:rPr>
                <w:rFonts w:ascii="Calibri" w:hAnsi="Calibri" w:cs="Calibri"/>
                <w:b/>
                <w:bCs/>
                <w:sz w:val="22"/>
                <w:szCs w:val="22"/>
              </w:rPr>
              <w:t>1,070,908</w:t>
            </w:r>
          </w:p>
        </w:tc>
        <w:tc>
          <w:tcPr>
            <w:tcW w:w="761" w:type="pct"/>
            <w:tcBorders>
              <w:top w:val="single" w:sz="4" w:space="0" w:color="auto"/>
              <w:left w:val="single" w:sz="4" w:space="0" w:color="auto"/>
              <w:bottom w:val="single" w:sz="4" w:space="0" w:color="auto"/>
              <w:right w:val="single" w:sz="4" w:space="0" w:color="auto"/>
            </w:tcBorders>
            <w:vAlign w:val="center"/>
          </w:tcPr>
          <w:p w:rsidR="00A65977" w:rsidRPr="00D01F07" w:rsidRDefault="008B5608" w:rsidP="00200724">
            <w:pPr>
              <w:spacing w:line="240" w:lineRule="auto"/>
              <w:jc w:val="center"/>
              <w:rPr>
                <w:rFonts w:ascii="Calibri" w:hAnsi="Calibri" w:cs="Calibri"/>
                <w:b/>
                <w:bCs/>
                <w:sz w:val="22"/>
                <w:szCs w:val="22"/>
                <w:rtl/>
              </w:rPr>
            </w:pPr>
            <w:r w:rsidRPr="00D01F07">
              <w:rPr>
                <w:rFonts w:ascii="Calibri" w:hAnsi="Calibri" w:cs="Calibri"/>
                <w:b/>
                <w:bCs/>
                <w:sz w:val="22"/>
                <w:szCs w:val="22"/>
              </w:rPr>
              <w:t>304,096</w:t>
            </w:r>
          </w:p>
        </w:tc>
        <w:tc>
          <w:tcPr>
            <w:tcW w:w="586" w:type="pct"/>
            <w:tcBorders>
              <w:top w:val="single" w:sz="4" w:space="0" w:color="auto"/>
              <w:left w:val="single" w:sz="4" w:space="0" w:color="auto"/>
              <w:bottom w:val="single" w:sz="4" w:space="0" w:color="auto"/>
              <w:right w:val="single" w:sz="4" w:space="0" w:color="auto"/>
            </w:tcBorders>
            <w:vAlign w:val="center"/>
          </w:tcPr>
          <w:p w:rsidR="00A65977" w:rsidRPr="00D01F07" w:rsidRDefault="008B5608" w:rsidP="00200724">
            <w:pPr>
              <w:spacing w:line="240" w:lineRule="auto"/>
              <w:jc w:val="center"/>
              <w:rPr>
                <w:rFonts w:ascii="Calibri" w:hAnsi="Calibri" w:cs="Calibri"/>
                <w:b/>
                <w:bCs/>
                <w:sz w:val="22"/>
                <w:szCs w:val="22"/>
                <w:rtl/>
              </w:rPr>
            </w:pPr>
            <w:r w:rsidRPr="00D01F07">
              <w:rPr>
                <w:rFonts w:ascii="Calibri" w:hAnsi="Calibri" w:cs="Calibri"/>
                <w:b/>
                <w:bCs/>
                <w:sz w:val="22"/>
                <w:szCs w:val="22"/>
              </w:rPr>
              <w:t>894.9</w:t>
            </w:r>
          </w:p>
        </w:tc>
        <w:tc>
          <w:tcPr>
            <w:tcW w:w="559" w:type="pct"/>
            <w:tcBorders>
              <w:top w:val="single" w:sz="4" w:space="0" w:color="auto"/>
              <w:left w:val="single" w:sz="4" w:space="0" w:color="auto"/>
              <w:bottom w:val="single" w:sz="4" w:space="0" w:color="auto"/>
              <w:right w:val="single" w:sz="4" w:space="0" w:color="auto"/>
            </w:tcBorders>
            <w:vAlign w:val="center"/>
          </w:tcPr>
          <w:p w:rsidR="00A65977" w:rsidRPr="00D01F07" w:rsidRDefault="008B5608" w:rsidP="00200724">
            <w:pPr>
              <w:spacing w:line="240" w:lineRule="auto"/>
              <w:jc w:val="center"/>
              <w:rPr>
                <w:rFonts w:ascii="Calibri" w:hAnsi="Calibri" w:cs="Calibri"/>
                <w:b/>
                <w:bCs/>
                <w:sz w:val="22"/>
                <w:szCs w:val="22"/>
                <w:rtl/>
              </w:rPr>
            </w:pPr>
            <w:r w:rsidRPr="00D01F07">
              <w:rPr>
                <w:rFonts w:ascii="Calibri" w:hAnsi="Calibri" w:cs="Calibri"/>
                <w:b/>
                <w:bCs/>
                <w:sz w:val="22"/>
                <w:szCs w:val="22"/>
              </w:rPr>
              <w:t>1,037,994</w:t>
            </w:r>
          </w:p>
        </w:tc>
        <w:tc>
          <w:tcPr>
            <w:tcW w:w="730" w:type="pct"/>
            <w:tcBorders>
              <w:top w:val="single" w:sz="4" w:space="0" w:color="auto"/>
              <w:left w:val="single" w:sz="4" w:space="0" w:color="auto"/>
              <w:bottom w:val="single" w:sz="4" w:space="0" w:color="auto"/>
              <w:right w:val="single" w:sz="4" w:space="0" w:color="auto"/>
            </w:tcBorders>
            <w:vAlign w:val="center"/>
          </w:tcPr>
          <w:p w:rsidR="00A65977" w:rsidRPr="00D01F07" w:rsidRDefault="008B5608" w:rsidP="00200724">
            <w:pPr>
              <w:spacing w:line="240" w:lineRule="auto"/>
              <w:jc w:val="center"/>
              <w:rPr>
                <w:rFonts w:ascii="Calibri" w:hAnsi="Calibri" w:cs="Calibri"/>
                <w:b/>
                <w:bCs/>
                <w:sz w:val="22"/>
                <w:szCs w:val="22"/>
                <w:rtl/>
              </w:rPr>
            </w:pPr>
            <w:r w:rsidRPr="00D01F07">
              <w:rPr>
                <w:rFonts w:ascii="Calibri" w:hAnsi="Calibri" w:cs="Calibri"/>
                <w:b/>
                <w:bCs/>
                <w:sz w:val="22"/>
                <w:szCs w:val="22"/>
              </w:rPr>
              <w:t>883,541</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16BE7">
            <w:pPr>
              <w:spacing w:line="240" w:lineRule="auto"/>
              <w:jc w:val="left"/>
              <w:rPr>
                <w:rFonts w:ascii="Calibri" w:hAnsi="Calibri" w:cs="Calibri"/>
                <w:sz w:val="22"/>
                <w:szCs w:val="22"/>
              </w:rPr>
            </w:pPr>
            <w:r w:rsidRPr="00D01F07">
              <w:rPr>
                <w:rFonts w:ascii="Calibri" w:hAnsi="Calibri" w:cs="Calibri"/>
                <w:sz w:val="22"/>
                <w:szCs w:val="22"/>
              </w:rPr>
              <w:t>Management and Central Services</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200724">
            <w:pPr>
              <w:tabs>
                <w:tab w:val="center" w:pos="440"/>
              </w:tabs>
              <w:spacing w:line="240" w:lineRule="auto"/>
              <w:jc w:val="center"/>
              <w:rPr>
                <w:rFonts w:ascii="Calibri" w:hAnsi="Calibri" w:cs="Calibri"/>
                <w:sz w:val="22"/>
                <w:szCs w:val="22"/>
              </w:rPr>
            </w:pPr>
            <w:r w:rsidRPr="00D01F07">
              <w:rPr>
                <w:rFonts w:ascii="Calibri" w:hAnsi="Calibri" w:cs="Calibri"/>
                <w:sz w:val="22"/>
                <w:szCs w:val="22"/>
                <w:rtl/>
              </w:rPr>
              <w:t>319,669</w:t>
            </w:r>
          </w:p>
        </w:tc>
        <w:tc>
          <w:tcPr>
            <w:tcW w:w="761"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54,172</w:t>
            </w:r>
          </w:p>
        </w:tc>
        <w:tc>
          <w:tcPr>
            <w:tcW w:w="586"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381.6</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308,283</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269,965</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16BE7">
            <w:pPr>
              <w:spacing w:line="240" w:lineRule="auto"/>
              <w:jc w:val="left"/>
              <w:rPr>
                <w:rFonts w:ascii="Calibri" w:hAnsi="Calibri" w:cs="Calibri"/>
                <w:sz w:val="22"/>
                <w:szCs w:val="22"/>
              </w:rPr>
            </w:pPr>
            <w:r w:rsidRPr="00D01F07">
              <w:rPr>
                <w:rFonts w:ascii="Calibri" w:hAnsi="Calibri" w:cs="Calibri"/>
                <w:sz w:val="22"/>
                <w:szCs w:val="22"/>
              </w:rPr>
              <w:t xml:space="preserve">Performance of </w:t>
            </w:r>
            <w:r w:rsidR="00F13233" w:rsidRPr="00D01F07">
              <w:rPr>
                <w:rFonts w:ascii="Calibri" w:hAnsi="Calibri" w:cs="Calibri"/>
                <w:sz w:val="22"/>
                <w:szCs w:val="22"/>
              </w:rPr>
              <w:t xml:space="preserve">the </w:t>
            </w:r>
            <w:r w:rsidRPr="00D01F07">
              <w:rPr>
                <w:rFonts w:ascii="Calibri" w:hAnsi="Calibri" w:cs="Calibri"/>
                <w:sz w:val="22"/>
                <w:szCs w:val="22"/>
              </w:rPr>
              <w:t>Bank’s functions</w:t>
            </w: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317,004</w:t>
            </w:r>
          </w:p>
        </w:tc>
        <w:tc>
          <w:tcPr>
            <w:tcW w:w="761"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26,537</w:t>
            </w:r>
          </w:p>
        </w:tc>
        <w:tc>
          <w:tcPr>
            <w:tcW w:w="586"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501.3</w:t>
            </w: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309,567</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274,293</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16BE7">
            <w:pPr>
              <w:spacing w:line="240" w:lineRule="auto"/>
              <w:jc w:val="left"/>
              <w:rPr>
                <w:rFonts w:ascii="Calibri" w:hAnsi="Calibri" w:cs="Calibri"/>
                <w:sz w:val="22"/>
                <w:szCs w:val="22"/>
              </w:rPr>
            </w:pPr>
            <w:r w:rsidRPr="00D01F07">
              <w:rPr>
                <w:rFonts w:ascii="Calibri" w:hAnsi="Calibri" w:cs="Calibri"/>
                <w:sz w:val="22"/>
                <w:szCs w:val="22"/>
              </w:rPr>
              <w:t>Pensions</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332,086</w:t>
            </w:r>
          </w:p>
        </w:tc>
        <w:tc>
          <w:tcPr>
            <w:tcW w:w="761"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201</w:t>
            </w:r>
          </w:p>
        </w:tc>
        <w:tc>
          <w:tcPr>
            <w:tcW w:w="586"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330,244</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297,538</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16BE7">
            <w:pPr>
              <w:spacing w:line="240" w:lineRule="auto"/>
              <w:jc w:val="left"/>
              <w:rPr>
                <w:rFonts w:ascii="Calibri" w:hAnsi="Calibri" w:cs="Calibri"/>
                <w:sz w:val="22"/>
                <w:szCs w:val="22"/>
              </w:rPr>
            </w:pPr>
            <w:r w:rsidRPr="00D01F07">
              <w:rPr>
                <w:rFonts w:ascii="Calibri" w:hAnsi="Calibri" w:cs="Calibri"/>
                <w:sz w:val="22"/>
                <w:szCs w:val="22"/>
              </w:rPr>
              <w:t>Investments</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78,530</w:t>
            </w:r>
          </w:p>
        </w:tc>
        <w:tc>
          <w:tcPr>
            <w:tcW w:w="761"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96,185</w:t>
            </w:r>
          </w:p>
        </w:tc>
        <w:tc>
          <w:tcPr>
            <w:tcW w:w="586"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68,134</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51,487</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95604D" w:rsidP="00316BE7">
            <w:pPr>
              <w:spacing w:line="240" w:lineRule="auto"/>
              <w:jc w:val="left"/>
              <w:rPr>
                <w:rFonts w:ascii="Calibri" w:hAnsi="Calibri" w:cs="Calibri"/>
                <w:sz w:val="22"/>
                <w:szCs w:val="22"/>
              </w:rPr>
            </w:pPr>
            <w:r w:rsidRPr="00D01F07">
              <w:rPr>
                <w:rFonts w:ascii="Calibri" w:hAnsi="Calibri" w:cs="Calibri"/>
                <w:sz w:val="22"/>
                <w:szCs w:val="22"/>
              </w:rPr>
              <w:t>Revenues</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(9,381)</w:t>
            </w:r>
          </w:p>
        </w:tc>
        <w:tc>
          <w:tcPr>
            <w:tcW w:w="761"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p>
        </w:tc>
        <w:tc>
          <w:tcPr>
            <w:tcW w:w="586"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(9,531)</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(9,742)</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16BE7">
            <w:pPr>
              <w:spacing w:line="240" w:lineRule="auto"/>
              <w:jc w:val="left"/>
              <w:rPr>
                <w:rFonts w:ascii="Calibri" w:hAnsi="Calibri" w:cs="Calibri"/>
                <w:sz w:val="22"/>
                <w:szCs w:val="22"/>
              </w:rPr>
            </w:pPr>
            <w:r w:rsidRPr="00D01F07">
              <w:rPr>
                <w:rFonts w:ascii="Calibri" w:hAnsi="Calibri" w:cs="Calibri"/>
                <w:sz w:val="22"/>
                <w:szCs w:val="22"/>
              </w:rPr>
              <w:t>Reserve</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33,000</w:t>
            </w:r>
          </w:p>
        </w:tc>
        <w:tc>
          <w:tcPr>
            <w:tcW w:w="761"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127,000</w:t>
            </w:r>
          </w:p>
        </w:tc>
        <w:tc>
          <w:tcPr>
            <w:tcW w:w="586"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12</w:t>
            </w: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31,297</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16BE7">
            <w:pPr>
              <w:spacing w:line="240" w:lineRule="auto"/>
              <w:jc w:val="left"/>
              <w:rPr>
                <w:rFonts w:ascii="Calibri" w:hAnsi="Calibri" w:cs="Calibri"/>
                <w:sz w:val="22"/>
                <w:szCs w:val="22"/>
              </w:rPr>
            </w:pPr>
            <w:r w:rsidRPr="00D01F07">
              <w:rPr>
                <w:rFonts w:ascii="Calibri" w:hAnsi="Calibri" w:cs="Calibri"/>
                <w:sz w:val="22"/>
                <w:szCs w:val="22"/>
              </w:rPr>
              <w:t>Currency issue</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127,892</w:t>
            </w:r>
          </w:p>
        </w:tc>
        <w:tc>
          <w:tcPr>
            <w:tcW w:w="761"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306,614</w:t>
            </w:r>
          </w:p>
        </w:tc>
        <w:tc>
          <w:tcPr>
            <w:tcW w:w="586"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108,097</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76,352</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A65977" w:rsidP="0095604D">
            <w:pPr>
              <w:spacing w:line="240" w:lineRule="auto"/>
              <w:jc w:val="left"/>
              <w:rPr>
                <w:rFonts w:ascii="Calibri" w:hAnsi="Calibri" w:cs="Calibri"/>
                <w:sz w:val="22"/>
                <w:szCs w:val="22"/>
              </w:rPr>
            </w:pPr>
            <w:r w:rsidRPr="00D01F07">
              <w:rPr>
                <w:rFonts w:ascii="Calibri" w:hAnsi="Calibri" w:cs="Calibri"/>
                <w:sz w:val="22"/>
                <w:szCs w:val="22"/>
              </w:rPr>
              <w:t xml:space="preserve">Managing </w:t>
            </w:r>
            <w:r w:rsidR="00316BE7" w:rsidRPr="00D01F07">
              <w:rPr>
                <w:rFonts w:ascii="Calibri" w:hAnsi="Calibri" w:cs="Calibri"/>
                <w:sz w:val="22"/>
                <w:szCs w:val="22"/>
              </w:rPr>
              <w:t xml:space="preserve">the Citizens of Israel Fund </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9,115</w:t>
            </w:r>
          </w:p>
        </w:tc>
        <w:tc>
          <w:tcPr>
            <w:tcW w:w="761"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1,370</w:t>
            </w:r>
          </w:p>
        </w:tc>
        <w:tc>
          <w:tcPr>
            <w:tcW w:w="586"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14</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7,384</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1,753</w:t>
            </w:r>
          </w:p>
        </w:tc>
      </w:tr>
      <w:tr w:rsidR="008B5608" w:rsidRPr="00D01F07" w:rsidTr="008B5608">
        <w:tc>
          <w:tcPr>
            <w:tcW w:w="1804" w:type="pct"/>
            <w:tcBorders>
              <w:top w:val="single" w:sz="4" w:space="0" w:color="auto"/>
              <w:left w:val="single" w:sz="4" w:space="0" w:color="auto"/>
              <w:bottom w:val="single" w:sz="4" w:space="0" w:color="auto"/>
              <w:right w:val="single" w:sz="4" w:space="0" w:color="auto"/>
            </w:tcBorders>
            <w:vAlign w:val="center"/>
          </w:tcPr>
          <w:p w:rsidR="00316BE7" w:rsidRPr="00D01F07" w:rsidRDefault="00316BE7" w:rsidP="00397693">
            <w:pPr>
              <w:spacing w:line="240" w:lineRule="auto"/>
              <w:jc w:val="left"/>
              <w:rPr>
                <w:rFonts w:ascii="Calibri" w:hAnsi="Calibri" w:cs="Calibri"/>
                <w:sz w:val="22"/>
                <w:szCs w:val="22"/>
              </w:rPr>
            </w:pPr>
            <w:r w:rsidRPr="00D01F07">
              <w:rPr>
                <w:rFonts w:ascii="Calibri" w:hAnsi="Calibri" w:cs="Calibri"/>
                <w:sz w:val="22"/>
                <w:szCs w:val="22"/>
              </w:rPr>
              <w:t xml:space="preserve">Credit </w:t>
            </w:r>
            <w:r w:rsidR="00397693" w:rsidRPr="00D01F07">
              <w:rPr>
                <w:rFonts w:ascii="Calibri" w:hAnsi="Calibri" w:cs="Calibri"/>
                <w:sz w:val="22"/>
                <w:szCs w:val="22"/>
              </w:rPr>
              <w:t>Data System</w:t>
            </w:r>
          </w:p>
        </w:tc>
        <w:tc>
          <w:tcPr>
            <w:tcW w:w="559"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93,505</w:t>
            </w:r>
          </w:p>
        </w:tc>
        <w:tc>
          <w:tcPr>
            <w:tcW w:w="761"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211,540</w:t>
            </w:r>
          </w:p>
        </w:tc>
        <w:tc>
          <w:tcPr>
            <w:tcW w:w="586"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59.5</w:t>
            </w:r>
          </w:p>
        </w:tc>
        <w:tc>
          <w:tcPr>
            <w:tcW w:w="559" w:type="pct"/>
            <w:tcBorders>
              <w:top w:val="single" w:sz="4" w:space="0" w:color="auto"/>
              <w:left w:val="single" w:sz="4" w:space="0" w:color="auto"/>
              <w:bottom w:val="single" w:sz="4" w:space="0" w:color="auto"/>
              <w:right w:val="single" w:sz="4" w:space="0" w:color="auto"/>
            </w:tcBorders>
            <w:hideMark/>
          </w:tcPr>
          <w:p w:rsidR="00316BE7" w:rsidRPr="00D01F07" w:rsidRDefault="00316BE7" w:rsidP="00316BE7">
            <w:pPr>
              <w:spacing w:line="240" w:lineRule="auto"/>
              <w:jc w:val="center"/>
              <w:rPr>
                <w:rFonts w:ascii="Calibri" w:hAnsi="Calibri" w:cs="Calibri"/>
                <w:sz w:val="22"/>
                <w:szCs w:val="22"/>
              </w:rPr>
            </w:pPr>
            <w:r w:rsidRPr="00D01F07">
              <w:rPr>
                <w:rFonts w:ascii="Calibri" w:hAnsi="Calibri" w:cs="Calibri"/>
                <w:sz w:val="22"/>
                <w:szCs w:val="22"/>
                <w:rtl/>
              </w:rPr>
              <w:t>95,797</w:t>
            </w:r>
          </w:p>
        </w:tc>
        <w:tc>
          <w:tcPr>
            <w:tcW w:w="730" w:type="pct"/>
            <w:tcBorders>
              <w:top w:val="single" w:sz="4" w:space="0" w:color="auto"/>
              <w:left w:val="single" w:sz="4" w:space="0" w:color="auto"/>
              <w:bottom w:val="single" w:sz="4" w:space="0" w:color="auto"/>
              <w:right w:val="single" w:sz="4" w:space="0" w:color="auto"/>
            </w:tcBorders>
          </w:tcPr>
          <w:p w:rsidR="00316BE7" w:rsidRPr="00D01F07" w:rsidRDefault="00316BE7" w:rsidP="00316BE7">
            <w:pPr>
              <w:spacing w:line="240" w:lineRule="auto"/>
              <w:jc w:val="center"/>
              <w:rPr>
                <w:rFonts w:ascii="Calibri" w:hAnsi="Calibri" w:cs="Calibri"/>
                <w:sz w:val="22"/>
                <w:szCs w:val="22"/>
                <w:rtl/>
              </w:rPr>
            </w:pPr>
            <w:r w:rsidRPr="00D01F07">
              <w:rPr>
                <w:rFonts w:ascii="Calibri" w:hAnsi="Calibri" w:cs="Calibri"/>
                <w:sz w:val="22"/>
                <w:szCs w:val="22"/>
                <w:rtl/>
              </w:rPr>
              <w:t>71,876</w:t>
            </w:r>
          </w:p>
        </w:tc>
      </w:tr>
    </w:tbl>
    <w:p w:rsidR="00687F53" w:rsidRPr="00D01F07" w:rsidRDefault="00687F53" w:rsidP="00687F53">
      <w:pPr>
        <w:pStyle w:val="regpar"/>
        <w:spacing w:line="240" w:lineRule="auto"/>
        <w:ind w:firstLine="0"/>
        <w:jc w:val="center"/>
        <w:rPr>
          <w:rFonts w:ascii="Calibri" w:hAnsi="Calibri" w:cs="Calibri"/>
          <w:rtl/>
        </w:rPr>
      </w:pPr>
    </w:p>
    <w:p w:rsidR="00687F53" w:rsidRPr="00D01F07" w:rsidRDefault="00687F53" w:rsidP="00901F1C">
      <w:pPr>
        <w:pStyle w:val="regpar"/>
        <w:ind w:firstLine="0"/>
        <w:jc w:val="left"/>
        <w:rPr>
          <w:rFonts w:ascii="Calibri" w:hAnsi="Calibri" w:cs="Calibri"/>
        </w:rPr>
      </w:pPr>
    </w:p>
    <w:sectPr w:rsidR="00687F53" w:rsidRPr="00D01F07" w:rsidSect="00B77994">
      <w:headerReference w:type="first" r:id="rId12"/>
      <w:footerReference w:type="first" r:id="rId13"/>
      <w:endnotePr>
        <w:numFmt w:val="hebrew2"/>
      </w:endnotePr>
      <w:pgSz w:w="11880" w:h="16820"/>
      <w:pgMar w:top="624" w:right="1390" w:bottom="567" w:left="1418" w:header="57" w:footer="283" w:gutter="0"/>
      <w:cols w:space="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22" w:rsidRDefault="00364622">
      <w:pPr>
        <w:spacing w:line="240" w:lineRule="auto"/>
      </w:pPr>
      <w:r>
        <w:separator/>
      </w:r>
    </w:p>
  </w:endnote>
  <w:endnote w:type="continuationSeparator" w:id="0">
    <w:p w:rsidR="00364622" w:rsidRDefault="00364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94" w:rsidRDefault="008712AE" w:rsidP="008712AE">
    <w:pPr>
      <w:pStyle w:val="a3"/>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22" w:rsidRDefault="00364622">
      <w:pPr>
        <w:spacing w:line="160" w:lineRule="exact"/>
      </w:pPr>
    </w:p>
  </w:footnote>
  <w:footnote w:type="continuationSeparator" w:id="0">
    <w:p w:rsidR="00364622" w:rsidRDefault="00364622">
      <w:pPr>
        <w:pStyle w:val="rule"/>
      </w:pPr>
      <w:r>
        <w:t>–––––––––––––––––––––––––––</w:t>
      </w:r>
    </w:p>
    <w:p w:rsidR="00364622" w:rsidRDefault="00364622">
      <w:pPr>
        <w:pStyle w:val="noteseparator"/>
      </w:pPr>
    </w:p>
  </w:footnote>
  <w:footnote w:id="1">
    <w:p w:rsidR="00687F53" w:rsidRPr="00D01F07" w:rsidRDefault="00687F53" w:rsidP="00396E7E">
      <w:pPr>
        <w:pStyle w:val="a8"/>
        <w:spacing w:line="240" w:lineRule="auto"/>
        <w:rPr>
          <w:rFonts w:ascii="Calibri" w:hAnsi="Calibri" w:cs="Calibri"/>
        </w:rPr>
      </w:pPr>
      <w:r w:rsidRPr="00D01F07">
        <w:rPr>
          <w:rStyle w:val="a7"/>
          <w:rFonts w:ascii="Calibri" w:hAnsi="Calibri" w:cs="Calibri"/>
        </w:rPr>
        <w:footnoteRef/>
      </w:r>
      <w:r w:rsidRPr="00D01F07">
        <w:rPr>
          <w:rFonts w:ascii="Calibri" w:hAnsi="Calibri" w:cs="Calibri"/>
        </w:rPr>
        <w:t xml:space="preserve"> </w:t>
      </w:r>
      <w:r w:rsidR="003C2E58" w:rsidRPr="00D01F07">
        <w:rPr>
          <w:rFonts w:ascii="Calibri" w:hAnsi="Calibri" w:cs="Calibri"/>
        </w:rPr>
        <w:t>Under the Bank of Israel Law, 5770–2010, t</w:t>
      </w:r>
      <w:r w:rsidRPr="00D01F07">
        <w:rPr>
          <w:rFonts w:ascii="Calibri" w:hAnsi="Calibri" w:cs="Calibri"/>
        </w:rPr>
        <w:t>he Supervisory Council</w:t>
      </w:r>
      <w:r w:rsidR="003C2E58" w:rsidRPr="00D01F07">
        <w:rPr>
          <w:rFonts w:ascii="Calibri" w:hAnsi="Calibri" w:cs="Calibri"/>
        </w:rPr>
        <w:t xml:space="preserve"> </w:t>
      </w:r>
      <w:r w:rsidRPr="00D01F07">
        <w:rPr>
          <w:rFonts w:ascii="Calibri" w:hAnsi="Calibri" w:cs="Calibri"/>
        </w:rPr>
        <w:t xml:space="preserve">is the </w:t>
      </w:r>
      <w:r w:rsidR="00396E7E" w:rsidRPr="00D01F07">
        <w:rPr>
          <w:rFonts w:ascii="Calibri" w:hAnsi="Calibri" w:cs="Calibri"/>
        </w:rPr>
        <w:t>entity</w:t>
      </w:r>
      <w:r w:rsidRPr="00D01F07">
        <w:rPr>
          <w:rFonts w:ascii="Calibri" w:hAnsi="Calibri" w:cs="Calibri"/>
        </w:rPr>
        <w:t xml:space="preserve"> charged with supervising the administrative activity of the Bank of Israel. The Supervisory Council consists mostly of members from among the public. </w:t>
      </w:r>
    </w:p>
    <w:p w:rsidR="00687F53" w:rsidRDefault="00687F53" w:rsidP="00687F53">
      <w:pPr>
        <w:pStyle w:val="a8"/>
      </w:pPr>
    </w:p>
  </w:footnote>
  <w:footnote w:id="2">
    <w:p w:rsidR="004D433F" w:rsidRDefault="004D433F" w:rsidP="0095604D">
      <w:pPr>
        <w:pStyle w:val="a8"/>
      </w:pPr>
      <w:r>
        <w:rPr>
          <w:rStyle w:val="a7"/>
        </w:rPr>
        <w:footnoteRef/>
      </w:r>
      <w:r>
        <w:t xml:space="preserve"> In addition to the </w:t>
      </w:r>
      <w:r w:rsidR="002C3F57">
        <w:t>budget</w:t>
      </w:r>
      <w:r>
        <w:t xml:space="preserve"> for </w:t>
      </w:r>
      <w:r w:rsidR="0095604D">
        <w:t>wage and pension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94" w:rsidRDefault="00B77994" w:rsidP="00B77994">
    <w:pPr>
      <w:pStyle w:val="regpa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163E01A4"/>
    <w:multiLevelType w:val="hybridMultilevel"/>
    <w:tmpl w:val="4D1E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946A2"/>
    <w:multiLevelType w:val="hybridMultilevel"/>
    <w:tmpl w:val="67DE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E0607"/>
    <w:multiLevelType w:val="hybridMultilevel"/>
    <w:tmpl w:val="52A4DB4A"/>
    <w:lvl w:ilvl="0" w:tplc="3E90A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5AE25579"/>
    <w:multiLevelType w:val="hybridMultilevel"/>
    <w:tmpl w:val="BA969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C683AED"/>
    <w:multiLevelType w:val="hybridMultilevel"/>
    <w:tmpl w:val="AE5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661E5368"/>
    <w:multiLevelType w:val="hybridMultilevel"/>
    <w:tmpl w:val="EFA6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242A3"/>
    <w:multiLevelType w:val="hybridMultilevel"/>
    <w:tmpl w:val="5E1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6"/>
  </w:num>
  <w:num w:numId="3">
    <w:abstractNumId w:val="9"/>
  </w:num>
  <w:num w:numId="4">
    <w:abstractNumId w:val="11"/>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8"/>
  </w:num>
  <w:num w:numId="11">
    <w:abstractNumId w:val="3"/>
  </w:num>
  <w:num w:numId="12">
    <w:abstractNumId w:val="12"/>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63E"/>
    <w:rsid w:val="00002A48"/>
    <w:rsid w:val="00005737"/>
    <w:rsid w:val="00014291"/>
    <w:rsid w:val="000159F3"/>
    <w:rsid w:val="00016705"/>
    <w:rsid w:val="00016929"/>
    <w:rsid w:val="00017E04"/>
    <w:rsid w:val="00022656"/>
    <w:rsid w:val="000243D9"/>
    <w:rsid w:val="00026F35"/>
    <w:rsid w:val="000305B1"/>
    <w:rsid w:val="00040D56"/>
    <w:rsid w:val="0004520A"/>
    <w:rsid w:val="000466C2"/>
    <w:rsid w:val="000502D1"/>
    <w:rsid w:val="00054561"/>
    <w:rsid w:val="000614E5"/>
    <w:rsid w:val="00066C5D"/>
    <w:rsid w:val="00067EAC"/>
    <w:rsid w:val="000705D7"/>
    <w:rsid w:val="00070F2C"/>
    <w:rsid w:val="00071266"/>
    <w:rsid w:val="00072BD6"/>
    <w:rsid w:val="0007485B"/>
    <w:rsid w:val="00076856"/>
    <w:rsid w:val="00077915"/>
    <w:rsid w:val="00083B36"/>
    <w:rsid w:val="00084303"/>
    <w:rsid w:val="00084E4D"/>
    <w:rsid w:val="000868A3"/>
    <w:rsid w:val="00093619"/>
    <w:rsid w:val="00093A61"/>
    <w:rsid w:val="00093D77"/>
    <w:rsid w:val="00094FFA"/>
    <w:rsid w:val="000A0AE8"/>
    <w:rsid w:val="000A6E05"/>
    <w:rsid w:val="000B2451"/>
    <w:rsid w:val="000B5143"/>
    <w:rsid w:val="000B5B71"/>
    <w:rsid w:val="000C1242"/>
    <w:rsid w:val="000D3201"/>
    <w:rsid w:val="000D3F79"/>
    <w:rsid w:val="000E08B9"/>
    <w:rsid w:val="000E2C08"/>
    <w:rsid w:val="000E2EB0"/>
    <w:rsid w:val="000F535B"/>
    <w:rsid w:val="000F755D"/>
    <w:rsid w:val="00102695"/>
    <w:rsid w:val="00104F58"/>
    <w:rsid w:val="00110016"/>
    <w:rsid w:val="001116D7"/>
    <w:rsid w:val="001140C0"/>
    <w:rsid w:val="00114F59"/>
    <w:rsid w:val="001172A8"/>
    <w:rsid w:val="00121BED"/>
    <w:rsid w:val="001239DD"/>
    <w:rsid w:val="00124ED8"/>
    <w:rsid w:val="00126370"/>
    <w:rsid w:val="00127549"/>
    <w:rsid w:val="00130460"/>
    <w:rsid w:val="00143931"/>
    <w:rsid w:val="00143F0D"/>
    <w:rsid w:val="0014603A"/>
    <w:rsid w:val="001550A7"/>
    <w:rsid w:val="00160123"/>
    <w:rsid w:val="00161743"/>
    <w:rsid w:val="00164912"/>
    <w:rsid w:val="0016621D"/>
    <w:rsid w:val="00173702"/>
    <w:rsid w:val="0018444C"/>
    <w:rsid w:val="00187782"/>
    <w:rsid w:val="00187D68"/>
    <w:rsid w:val="00190845"/>
    <w:rsid w:val="00190909"/>
    <w:rsid w:val="00194F7F"/>
    <w:rsid w:val="00197CA2"/>
    <w:rsid w:val="001A2237"/>
    <w:rsid w:val="001A4A2B"/>
    <w:rsid w:val="001A5018"/>
    <w:rsid w:val="001A6127"/>
    <w:rsid w:val="001B0294"/>
    <w:rsid w:val="001B4B84"/>
    <w:rsid w:val="001B4F92"/>
    <w:rsid w:val="001B69BB"/>
    <w:rsid w:val="001C1743"/>
    <w:rsid w:val="001C209A"/>
    <w:rsid w:val="001C2528"/>
    <w:rsid w:val="001C502E"/>
    <w:rsid w:val="001C5614"/>
    <w:rsid w:val="001D57CD"/>
    <w:rsid w:val="001D5EBA"/>
    <w:rsid w:val="001D6DFF"/>
    <w:rsid w:val="001E2931"/>
    <w:rsid w:val="001E417F"/>
    <w:rsid w:val="001E6D0C"/>
    <w:rsid w:val="001E6DD3"/>
    <w:rsid w:val="001F28E6"/>
    <w:rsid w:val="001F51F4"/>
    <w:rsid w:val="001F5976"/>
    <w:rsid w:val="00200724"/>
    <w:rsid w:val="00203B3D"/>
    <w:rsid w:val="00210F11"/>
    <w:rsid w:val="00212EBE"/>
    <w:rsid w:val="00221ABA"/>
    <w:rsid w:val="002230DC"/>
    <w:rsid w:val="002232E4"/>
    <w:rsid w:val="00236391"/>
    <w:rsid w:val="00243044"/>
    <w:rsid w:val="00246FA7"/>
    <w:rsid w:val="00250C32"/>
    <w:rsid w:val="0025222B"/>
    <w:rsid w:val="00263AC9"/>
    <w:rsid w:val="00267BB7"/>
    <w:rsid w:val="00275B82"/>
    <w:rsid w:val="00276225"/>
    <w:rsid w:val="00283C91"/>
    <w:rsid w:val="002878D8"/>
    <w:rsid w:val="0028797C"/>
    <w:rsid w:val="00293AA9"/>
    <w:rsid w:val="00295684"/>
    <w:rsid w:val="002A325D"/>
    <w:rsid w:val="002A5885"/>
    <w:rsid w:val="002A5EE7"/>
    <w:rsid w:val="002C31A2"/>
    <w:rsid w:val="002C3F57"/>
    <w:rsid w:val="002C5B02"/>
    <w:rsid w:val="002D0B04"/>
    <w:rsid w:val="002D460E"/>
    <w:rsid w:val="002D47BE"/>
    <w:rsid w:val="002D5769"/>
    <w:rsid w:val="002D6616"/>
    <w:rsid w:val="002D6644"/>
    <w:rsid w:val="002D69E6"/>
    <w:rsid w:val="002D7400"/>
    <w:rsid w:val="002E29BA"/>
    <w:rsid w:val="002E5259"/>
    <w:rsid w:val="002E77B6"/>
    <w:rsid w:val="002F02D1"/>
    <w:rsid w:val="002F761B"/>
    <w:rsid w:val="00302325"/>
    <w:rsid w:val="003121C6"/>
    <w:rsid w:val="0031394B"/>
    <w:rsid w:val="003140DF"/>
    <w:rsid w:val="00316BE7"/>
    <w:rsid w:val="00316F1F"/>
    <w:rsid w:val="00323D8C"/>
    <w:rsid w:val="00324613"/>
    <w:rsid w:val="00327BCD"/>
    <w:rsid w:val="00333620"/>
    <w:rsid w:val="00333F56"/>
    <w:rsid w:val="003370E3"/>
    <w:rsid w:val="003445F3"/>
    <w:rsid w:val="003456A1"/>
    <w:rsid w:val="00347069"/>
    <w:rsid w:val="00347EEC"/>
    <w:rsid w:val="00350413"/>
    <w:rsid w:val="00350B5F"/>
    <w:rsid w:val="003514AB"/>
    <w:rsid w:val="00354C47"/>
    <w:rsid w:val="00357E66"/>
    <w:rsid w:val="003605C6"/>
    <w:rsid w:val="00364622"/>
    <w:rsid w:val="00366DB8"/>
    <w:rsid w:val="00367A32"/>
    <w:rsid w:val="00376023"/>
    <w:rsid w:val="00376976"/>
    <w:rsid w:val="003814C4"/>
    <w:rsid w:val="00383973"/>
    <w:rsid w:val="00387675"/>
    <w:rsid w:val="00390095"/>
    <w:rsid w:val="00392558"/>
    <w:rsid w:val="003938F8"/>
    <w:rsid w:val="00395D70"/>
    <w:rsid w:val="00396E7E"/>
    <w:rsid w:val="00397693"/>
    <w:rsid w:val="003A0963"/>
    <w:rsid w:val="003A1107"/>
    <w:rsid w:val="003A3B39"/>
    <w:rsid w:val="003B0942"/>
    <w:rsid w:val="003B4074"/>
    <w:rsid w:val="003B42AA"/>
    <w:rsid w:val="003B4DF1"/>
    <w:rsid w:val="003C2E58"/>
    <w:rsid w:val="003C3B6F"/>
    <w:rsid w:val="003C6E15"/>
    <w:rsid w:val="003D0E36"/>
    <w:rsid w:val="003D71F7"/>
    <w:rsid w:val="003E107B"/>
    <w:rsid w:val="003F360E"/>
    <w:rsid w:val="004002DD"/>
    <w:rsid w:val="00402AF6"/>
    <w:rsid w:val="00403AF2"/>
    <w:rsid w:val="0040533A"/>
    <w:rsid w:val="00405AA2"/>
    <w:rsid w:val="00406562"/>
    <w:rsid w:val="00406709"/>
    <w:rsid w:val="00406809"/>
    <w:rsid w:val="00407252"/>
    <w:rsid w:val="00421E16"/>
    <w:rsid w:val="00423781"/>
    <w:rsid w:val="0042406A"/>
    <w:rsid w:val="004266FD"/>
    <w:rsid w:val="004307F0"/>
    <w:rsid w:val="004350D1"/>
    <w:rsid w:val="004356C6"/>
    <w:rsid w:val="004361EA"/>
    <w:rsid w:val="00437FD7"/>
    <w:rsid w:val="00441DC9"/>
    <w:rsid w:val="00445085"/>
    <w:rsid w:val="00452814"/>
    <w:rsid w:val="00452F4F"/>
    <w:rsid w:val="00454C06"/>
    <w:rsid w:val="00457687"/>
    <w:rsid w:val="004576AA"/>
    <w:rsid w:val="004655E8"/>
    <w:rsid w:val="00472FB7"/>
    <w:rsid w:val="004735EC"/>
    <w:rsid w:val="00481D7F"/>
    <w:rsid w:val="00482641"/>
    <w:rsid w:val="00482B8E"/>
    <w:rsid w:val="004839AA"/>
    <w:rsid w:val="00484A86"/>
    <w:rsid w:val="00487E74"/>
    <w:rsid w:val="00492029"/>
    <w:rsid w:val="004A0A80"/>
    <w:rsid w:val="004A2970"/>
    <w:rsid w:val="004B0811"/>
    <w:rsid w:val="004B1777"/>
    <w:rsid w:val="004C5B3B"/>
    <w:rsid w:val="004C7155"/>
    <w:rsid w:val="004D0449"/>
    <w:rsid w:val="004D197A"/>
    <w:rsid w:val="004D433F"/>
    <w:rsid w:val="004D5337"/>
    <w:rsid w:val="004D55DA"/>
    <w:rsid w:val="004E1F79"/>
    <w:rsid w:val="004E7032"/>
    <w:rsid w:val="004F23C9"/>
    <w:rsid w:val="004F5A85"/>
    <w:rsid w:val="004F7CE7"/>
    <w:rsid w:val="00500F8B"/>
    <w:rsid w:val="00503622"/>
    <w:rsid w:val="00514DB6"/>
    <w:rsid w:val="00515681"/>
    <w:rsid w:val="00517461"/>
    <w:rsid w:val="005177D1"/>
    <w:rsid w:val="00517FD4"/>
    <w:rsid w:val="005215A7"/>
    <w:rsid w:val="005273A2"/>
    <w:rsid w:val="00530C47"/>
    <w:rsid w:val="005317F2"/>
    <w:rsid w:val="00531AD1"/>
    <w:rsid w:val="00533BD5"/>
    <w:rsid w:val="00536575"/>
    <w:rsid w:val="0054075A"/>
    <w:rsid w:val="005427A9"/>
    <w:rsid w:val="005504CF"/>
    <w:rsid w:val="00552399"/>
    <w:rsid w:val="00552922"/>
    <w:rsid w:val="0055658B"/>
    <w:rsid w:val="005602EC"/>
    <w:rsid w:val="0056099E"/>
    <w:rsid w:val="00562B0B"/>
    <w:rsid w:val="005676E1"/>
    <w:rsid w:val="005735F5"/>
    <w:rsid w:val="0058092D"/>
    <w:rsid w:val="0058112B"/>
    <w:rsid w:val="00581AE6"/>
    <w:rsid w:val="00590949"/>
    <w:rsid w:val="00591171"/>
    <w:rsid w:val="00594895"/>
    <w:rsid w:val="005A33E0"/>
    <w:rsid w:val="005A3664"/>
    <w:rsid w:val="005A5253"/>
    <w:rsid w:val="005B0C33"/>
    <w:rsid w:val="005B0DB8"/>
    <w:rsid w:val="005B5BFC"/>
    <w:rsid w:val="005B6B00"/>
    <w:rsid w:val="005C1FAF"/>
    <w:rsid w:val="005C635F"/>
    <w:rsid w:val="005C76FF"/>
    <w:rsid w:val="005D0971"/>
    <w:rsid w:val="005D175A"/>
    <w:rsid w:val="005D225E"/>
    <w:rsid w:val="005D26C5"/>
    <w:rsid w:val="005D4700"/>
    <w:rsid w:val="005E1AD6"/>
    <w:rsid w:val="005E23D5"/>
    <w:rsid w:val="005E795F"/>
    <w:rsid w:val="006031D8"/>
    <w:rsid w:val="00604840"/>
    <w:rsid w:val="00604899"/>
    <w:rsid w:val="00611232"/>
    <w:rsid w:val="0061268B"/>
    <w:rsid w:val="00612A07"/>
    <w:rsid w:val="00613B3E"/>
    <w:rsid w:val="00617A39"/>
    <w:rsid w:val="00621DB2"/>
    <w:rsid w:val="00624732"/>
    <w:rsid w:val="00632487"/>
    <w:rsid w:val="0063248B"/>
    <w:rsid w:val="0063391C"/>
    <w:rsid w:val="00641FBE"/>
    <w:rsid w:val="006446DA"/>
    <w:rsid w:val="00644EC6"/>
    <w:rsid w:val="00645241"/>
    <w:rsid w:val="0064598C"/>
    <w:rsid w:val="00645B7A"/>
    <w:rsid w:val="00650B9A"/>
    <w:rsid w:val="00653813"/>
    <w:rsid w:val="006540CC"/>
    <w:rsid w:val="0065491B"/>
    <w:rsid w:val="00655D2E"/>
    <w:rsid w:val="00660075"/>
    <w:rsid w:val="00677C0C"/>
    <w:rsid w:val="00681BC1"/>
    <w:rsid w:val="00683C36"/>
    <w:rsid w:val="00684279"/>
    <w:rsid w:val="00687F53"/>
    <w:rsid w:val="006918C1"/>
    <w:rsid w:val="00694066"/>
    <w:rsid w:val="00696506"/>
    <w:rsid w:val="006A29C7"/>
    <w:rsid w:val="006A2E45"/>
    <w:rsid w:val="006A36A4"/>
    <w:rsid w:val="006A56FF"/>
    <w:rsid w:val="006A761D"/>
    <w:rsid w:val="006A7B15"/>
    <w:rsid w:val="006B03B7"/>
    <w:rsid w:val="006B3860"/>
    <w:rsid w:val="006B39E9"/>
    <w:rsid w:val="006B571A"/>
    <w:rsid w:val="006C0FD5"/>
    <w:rsid w:val="006C17E0"/>
    <w:rsid w:val="006C7DEA"/>
    <w:rsid w:val="006D10C5"/>
    <w:rsid w:val="006D4B34"/>
    <w:rsid w:val="006E30C1"/>
    <w:rsid w:val="006E33B5"/>
    <w:rsid w:val="006E35F9"/>
    <w:rsid w:val="006F331D"/>
    <w:rsid w:val="00700194"/>
    <w:rsid w:val="007012E2"/>
    <w:rsid w:val="00701620"/>
    <w:rsid w:val="00702486"/>
    <w:rsid w:val="00702515"/>
    <w:rsid w:val="0070597E"/>
    <w:rsid w:val="00706A01"/>
    <w:rsid w:val="0071317E"/>
    <w:rsid w:val="00726929"/>
    <w:rsid w:val="00730C23"/>
    <w:rsid w:val="00730F15"/>
    <w:rsid w:val="00731177"/>
    <w:rsid w:val="007342CE"/>
    <w:rsid w:val="007351D2"/>
    <w:rsid w:val="00740582"/>
    <w:rsid w:val="007414E1"/>
    <w:rsid w:val="00741B11"/>
    <w:rsid w:val="00741FA5"/>
    <w:rsid w:val="00750904"/>
    <w:rsid w:val="007571E2"/>
    <w:rsid w:val="00757654"/>
    <w:rsid w:val="007617BD"/>
    <w:rsid w:val="0076603C"/>
    <w:rsid w:val="00770D80"/>
    <w:rsid w:val="00772339"/>
    <w:rsid w:val="00773CC8"/>
    <w:rsid w:val="007749AB"/>
    <w:rsid w:val="00781542"/>
    <w:rsid w:val="0078710E"/>
    <w:rsid w:val="00787F4C"/>
    <w:rsid w:val="00790523"/>
    <w:rsid w:val="007917B0"/>
    <w:rsid w:val="0079604D"/>
    <w:rsid w:val="007A1002"/>
    <w:rsid w:val="007A1A5F"/>
    <w:rsid w:val="007A34C9"/>
    <w:rsid w:val="007A6C5D"/>
    <w:rsid w:val="007A7425"/>
    <w:rsid w:val="007A7980"/>
    <w:rsid w:val="007B04FD"/>
    <w:rsid w:val="007B71B6"/>
    <w:rsid w:val="007B7BC6"/>
    <w:rsid w:val="007C1B58"/>
    <w:rsid w:val="007C4CC0"/>
    <w:rsid w:val="007D41E1"/>
    <w:rsid w:val="007E1A57"/>
    <w:rsid w:val="007E616F"/>
    <w:rsid w:val="007F0611"/>
    <w:rsid w:val="007F2CA6"/>
    <w:rsid w:val="007F423C"/>
    <w:rsid w:val="007F5EA9"/>
    <w:rsid w:val="007F71A7"/>
    <w:rsid w:val="008012D4"/>
    <w:rsid w:val="00801CA2"/>
    <w:rsid w:val="00802625"/>
    <w:rsid w:val="00802BDE"/>
    <w:rsid w:val="00802BFE"/>
    <w:rsid w:val="008052DA"/>
    <w:rsid w:val="00807431"/>
    <w:rsid w:val="00810763"/>
    <w:rsid w:val="0081676A"/>
    <w:rsid w:val="00821C1F"/>
    <w:rsid w:val="00825612"/>
    <w:rsid w:val="008263FA"/>
    <w:rsid w:val="00826845"/>
    <w:rsid w:val="00831781"/>
    <w:rsid w:val="00835E59"/>
    <w:rsid w:val="00836106"/>
    <w:rsid w:val="00836D7A"/>
    <w:rsid w:val="00841E41"/>
    <w:rsid w:val="0084331E"/>
    <w:rsid w:val="00843E13"/>
    <w:rsid w:val="00843F4B"/>
    <w:rsid w:val="00850A5F"/>
    <w:rsid w:val="00850D4E"/>
    <w:rsid w:val="00853C73"/>
    <w:rsid w:val="00857394"/>
    <w:rsid w:val="008600E4"/>
    <w:rsid w:val="00861CEC"/>
    <w:rsid w:val="00864131"/>
    <w:rsid w:val="008645EB"/>
    <w:rsid w:val="00864F06"/>
    <w:rsid w:val="008676DF"/>
    <w:rsid w:val="008712AE"/>
    <w:rsid w:val="00872CF4"/>
    <w:rsid w:val="008760BA"/>
    <w:rsid w:val="00877C88"/>
    <w:rsid w:val="00880DC2"/>
    <w:rsid w:val="0088365D"/>
    <w:rsid w:val="0088413E"/>
    <w:rsid w:val="00884946"/>
    <w:rsid w:val="008907C3"/>
    <w:rsid w:val="008920C9"/>
    <w:rsid w:val="008924D8"/>
    <w:rsid w:val="00892705"/>
    <w:rsid w:val="008965FF"/>
    <w:rsid w:val="00897D7D"/>
    <w:rsid w:val="008A0D61"/>
    <w:rsid w:val="008A117A"/>
    <w:rsid w:val="008A4B64"/>
    <w:rsid w:val="008A4D24"/>
    <w:rsid w:val="008A4E71"/>
    <w:rsid w:val="008B3910"/>
    <w:rsid w:val="008B4C09"/>
    <w:rsid w:val="008B5377"/>
    <w:rsid w:val="008B5608"/>
    <w:rsid w:val="008B564A"/>
    <w:rsid w:val="008C0767"/>
    <w:rsid w:val="008C2D26"/>
    <w:rsid w:val="008C671A"/>
    <w:rsid w:val="008C7B14"/>
    <w:rsid w:val="008D2340"/>
    <w:rsid w:val="008E2532"/>
    <w:rsid w:val="008E34E9"/>
    <w:rsid w:val="008F0C79"/>
    <w:rsid w:val="008F3DE8"/>
    <w:rsid w:val="008F4908"/>
    <w:rsid w:val="00901F1C"/>
    <w:rsid w:val="009055ED"/>
    <w:rsid w:val="00912CE3"/>
    <w:rsid w:val="009249B9"/>
    <w:rsid w:val="009269B2"/>
    <w:rsid w:val="00926CC4"/>
    <w:rsid w:val="00930D0F"/>
    <w:rsid w:val="00932779"/>
    <w:rsid w:val="009345ED"/>
    <w:rsid w:val="00934ED3"/>
    <w:rsid w:val="00941183"/>
    <w:rsid w:val="0094178E"/>
    <w:rsid w:val="00943D8F"/>
    <w:rsid w:val="00943EFE"/>
    <w:rsid w:val="00946CAD"/>
    <w:rsid w:val="0095604D"/>
    <w:rsid w:val="00970925"/>
    <w:rsid w:val="0097395B"/>
    <w:rsid w:val="00975D1C"/>
    <w:rsid w:val="0098223D"/>
    <w:rsid w:val="00987141"/>
    <w:rsid w:val="00991A2A"/>
    <w:rsid w:val="009937AE"/>
    <w:rsid w:val="00993F16"/>
    <w:rsid w:val="00994783"/>
    <w:rsid w:val="00996A27"/>
    <w:rsid w:val="009A16EF"/>
    <w:rsid w:val="009A2328"/>
    <w:rsid w:val="009A374A"/>
    <w:rsid w:val="009B01E1"/>
    <w:rsid w:val="009B11E3"/>
    <w:rsid w:val="009C2CE3"/>
    <w:rsid w:val="009C4A35"/>
    <w:rsid w:val="009D0738"/>
    <w:rsid w:val="009D5B6B"/>
    <w:rsid w:val="009D6B3B"/>
    <w:rsid w:val="009D71A3"/>
    <w:rsid w:val="009D749E"/>
    <w:rsid w:val="009E5610"/>
    <w:rsid w:val="009F047F"/>
    <w:rsid w:val="009F3027"/>
    <w:rsid w:val="009F471B"/>
    <w:rsid w:val="009F5C01"/>
    <w:rsid w:val="009F655D"/>
    <w:rsid w:val="009F7306"/>
    <w:rsid w:val="00A005FA"/>
    <w:rsid w:val="00A03827"/>
    <w:rsid w:val="00A06CAC"/>
    <w:rsid w:val="00A0764C"/>
    <w:rsid w:val="00A10C60"/>
    <w:rsid w:val="00A12AA5"/>
    <w:rsid w:val="00A13A8C"/>
    <w:rsid w:val="00A141BC"/>
    <w:rsid w:val="00A176D5"/>
    <w:rsid w:val="00A251E5"/>
    <w:rsid w:val="00A2557F"/>
    <w:rsid w:val="00A27711"/>
    <w:rsid w:val="00A30E4A"/>
    <w:rsid w:val="00A310DA"/>
    <w:rsid w:val="00A339CF"/>
    <w:rsid w:val="00A362B4"/>
    <w:rsid w:val="00A41ECF"/>
    <w:rsid w:val="00A43D36"/>
    <w:rsid w:val="00A525AC"/>
    <w:rsid w:val="00A60E0E"/>
    <w:rsid w:val="00A61B62"/>
    <w:rsid w:val="00A61D2A"/>
    <w:rsid w:val="00A65977"/>
    <w:rsid w:val="00A66A80"/>
    <w:rsid w:val="00A72CBB"/>
    <w:rsid w:val="00A73F5D"/>
    <w:rsid w:val="00A84730"/>
    <w:rsid w:val="00A85159"/>
    <w:rsid w:val="00A87E8E"/>
    <w:rsid w:val="00A91D66"/>
    <w:rsid w:val="00A925A1"/>
    <w:rsid w:val="00AA32D3"/>
    <w:rsid w:val="00AA4754"/>
    <w:rsid w:val="00AA4992"/>
    <w:rsid w:val="00AA71D5"/>
    <w:rsid w:val="00AB0BFA"/>
    <w:rsid w:val="00AB0EB8"/>
    <w:rsid w:val="00AB44B8"/>
    <w:rsid w:val="00AB478D"/>
    <w:rsid w:val="00AC4D1F"/>
    <w:rsid w:val="00AC5B03"/>
    <w:rsid w:val="00AC5E64"/>
    <w:rsid w:val="00AD26D4"/>
    <w:rsid w:val="00AE35EB"/>
    <w:rsid w:val="00AF535D"/>
    <w:rsid w:val="00B0294A"/>
    <w:rsid w:val="00B02AD8"/>
    <w:rsid w:val="00B02B42"/>
    <w:rsid w:val="00B03A12"/>
    <w:rsid w:val="00B06509"/>
    <w:rsid w:val="00B06C58"/>
    <w:rsid w:val="00B158CF"/>
    <w:rsid w:val="00B17B0C"/>
    <w:rsid w:val="00B207CE"/>
    <w:rsid w:val="00B23E71"/>
    <w:rsid w:val="00B25794"/>
    <w:rsid w:val="00B2630E"/>
    <w:rsid w:val="00B269CD"/>
    <w:rsid w:val="00B273A9"/>
    <w:rsid w:val="00B3068E"/>
    <w:rsid w:val="00B3103B"/>
    <w:rsid w:val="00B35AE5"/>
    <w:rsid w:val="00B37BBE"/>
    <w:rsid w:val="00B46F7B"/>
    <w:rsid w:val="00B476CC"/>
    <w:rsid w:val="00B52957"/>
    <w:rsid w:val="00B552D1"/>
    <w:rsid w:val="00B57F69"/>
    <w:rsid w:val="00B60085"/>
    <w:rsid w:val="00B61DFC"/>
    <w:rsid w:val="00B65109"/>
    <w:rsid w:val="00B6764F"/>
    <w:rsid w:val="00B72712"/>
    <w:rsid w:val="00B74D51"/>
    <w:rsid w:val="00B77994"/>
    <w:rsid w:val="00B81305"/>
    <w:rsid w:val="00B854CF"/>
    <w:rsid w:val="00B93959"/>
    <w:rsid w:val="00B9723D"/>
    <w:rsid w:val="00BA2B4B"/>
    <w:rsid w:val="00BA3A63"/>
    <w:rsid w:val="00BA589A"/>
    <w:rsid w:val="00BA61C0"/>
    <w:rsid w:val="00BA78B9"/>
    <w:rsid w:val="00BC46DE"/>
    <w:rsid w:val="00BC6BBA"/>
    <w:rsid w:val="00BC7CDD"/>
    <w:rsid w:val="00BD06ED"/>
    <w:rsid w:val="00BD570C"/>
    <w:rsid w:val="00BD5C77"/>
    <w:rsid w:val="00BD7746"/>
    <w:rsid w:val="00BE50DA"/>
    <w:rsid w:val="00BF0276"/>
    <w:rsid w:val="00BF67EC"/>
    <w:rsid w:val="00BF6F15"/>
    <w:rsid w:val="00BF78A3"/>
    <w:rsid w:val="00C00CE9"/>
    <w:rsid w:val="00C042B1"/>
    <w:rsid w:val="00C178D0"/>
    <w:rsid w:val="00C2256F"/>
    <w:rsid w:val="00C23F8F"/>
    <w:rsid w:val="00C24EB5"/>
    <w:rsid w:val="00C25A28"/>
    <w:rsid w:val="00C26787"/>
    <w:rsid w:val="00C3065F"/>
    <w:rsid w:val="00C34F28"/>
    <w:rsid w:val="00C3506B"/>
    <w:rsid w:val="00C36FE1"/>
    <w:rsid w:val="00C40F50"/>
    <w:rsid w:val="00C5022D"/>
    <w:rsid w:val="00C50C0A"/>
    <w:rsid w:val="00C52A97"/>
    <w:rsid w:val="00C579A3"/>
    <w:rsid w:val="00C60B71"/>
    <w:rsid w:val="00C613BF"/>
    <w:rsid w:val="00C62185"/>
    <w:rsid w:val="00C62AC4"/>
    <w:rsid w:val="00C63A99"/>
    <w:rsid w:val="00C64770"/>
    <w:rsid w:val="00C67CCF"/>
    <w:rsid w:val="00C707C0"/>
    <w:rsid w:val="00C76EFC"/>
    <w:rsid w:val="00C773B3"/>
    <w:rsid w:val="00C80C62"/>
    <w:rsid w:val="00C81F0F"/>
    <w:rsid w:val="00C82902"/>
    <w:rsid w:val="00C839A9"/>
    <w:rsid w:val="00C84CE8"/>
    <w:rsid w:val="00C870AA"/>
    <w:rsid w:val="00C90075"/>
    <w:rsid w:val="00C91D49"/>
    <w:rsid w:val="00C96635"/>
    <w:rsid w:val="00C97616"/>
    <w:rsid w:val="00CA446A"/>
    <w:rsid w:val="00CA48EA"/>
    <w:rsid w:val="00CA4BB8"/>
    <w:rsid w:val="00CC493C"/>
    <w:rsid w:val="00CC598E"/>
    <w:rsid w:val="00CC59FC"/>
    <w:rsid w:val="00CC65CD"/>
    <w:rsid w:val="00CD1FAE"/>
    <w:rsid w:val="00CD50C3"/>
    <w:rsid w:val="00CD51D2"/>
    <w:rsid w:val="00CE1CDD"/>
    <w:rsid w:val="00CE2B4D"/>
    <w:rsid w:val="00CE65D4"/>
    <w:rsid w:val="00CE7A79"/>
    <w:rsid w:val="00CF4492"/>
    <w:rsid w:val="00D01F07"/>
    <w:rsid w:val="00D02451"/>
    <w:rsid w:val="00D038A8"/>
    <w:rsid w:val="00D0407A"/>
    <w:rsid w:val="00D043CC"/>
    <w:rsid w:val="00D14E29"/>
    <w:rsid w:val="00D25B51"/>
    <w:rsid w:val="00D33F84"/>
    <w:rsid w:val="00D3751C"/>
    <w:rsid w:val="00D424D1"/>
    <w:rsid w:val="00D463F8"/>
    <w:rsid w:val="00D54F0D"/>
    <w:rsid w:val="00D56CA9"/>
    <w:rsid w:val="00D56FEA"/>
    <w:rsid w:val="00D621C1"/>
    <w:rsid w:val="00D655AD"/>
    <w:rsid w:val="00D776C6"/>
    <w:rsid w:val="00D77FC6"/>
    <w:rsid w:val="00D85592"/>
    <w:rsid w:val="00D866ED"/>
    <w:rsid w:val="00D870FD"/>
    <w:rsid w:val="00D907F6"/>
    <w:rsid w:val="00D911C0"/>
    <w:rsid w:val="00D93E87"/>
    <w:rsid w:val="00D94C50"/>
    <w:rsid w:val="00D95B03"/>
    <w:rsid w:val="00DA4139"/>
    <w:rsid w:val="00DA5C83"/>
    <w:rsid w:val="00DA6399"/>
    <w:rsid w:val="00DC192C"/>
    <w:rsid w:val="00DD0AB5"/>
    <w:rsid w:val="00DD1273"/>
    <w:rsid w:val="00DD20B4"/>
    <w:rsid w:val="00DD4DB0"/>
    <w:rsid w:val="00DD58FA"/>
    <w:rsid w:val="00DE121E"/>
    <w:rsid w:val="00DE751F"/>
    <w:rsid w:val="00DE76BB"/>
    <w:rsid w:val="00DF20C1"/>
    <w:rsid w:val="00DF6F17"/>
    <w:rsid w:val="00E03DAD"/>
    <w:rsid w:val="00E042D4"/>
    <w:rsid w:val="00E0434B"/>
    <w:rsid w:val="00E1087D"/>
    <w:rsid w:val="00E11C80"/>
    <w:rsid w:val="00E1226C"/>
    <w:rsid w:val="00E305A3"/>
    <w:rsid w:val="00E3258A"/>
    <w:rsid w:val="00E33F37"/>
    <w:rsid w:val="00E37EA3"/>
    <w:rsid w:val="00E40792"/>
    <w:rsid w:val="00E448BF"/>
    <w:rsid w:val="00E4778C"/>
    <w:rsid w:val="00E52DD0"/>
    <w:rsid w:val="00E6497E"/>
    <w:rsid w:val="00E65CA7"/>
    <w:rsid w:val="00E67A70"/>
    <w:rsid w:val="00E701BC"/>
    <w:rsid w:val="00E711AB"/>
    <w:rsid w:val="00E74B20"/>
    <w:rsid w:val="00E878FC"/>
    <w:rsid w:val="00E90A29"/>
    <w:rsid w:val="00E9221F"/>
    <w:rsid w:val="00EA1D70"/>
    <w:rsid w:val="00EA287D"/>
    <w:rsid w:val="00EA2FB0"/>
    <w:rsid w:val="00EA3CE9"/>
    <w:rsid w:val="00EA4348"/>
    <w:rsid w:val="00EB22BD"/>
    <w:rsid w:val="00EB2AB7"/>
    <w:rsid w:val="00EC361E"/>
    <w:rsid w:val="00EC6A3B"/>
    <w:rsid w:val="00EC71B2"/>
    <w:rsid w:val="00ED1987"/>
    <w:rsid w:val="00ED1A90"/>
    <w:rsid w:val="00ED1B19"/>
    <w:rsid w:val="00ED3869"/>
    <w:rsid w:val="00ED576F"/>
    <w:rsid w:val="00ED6F4E"/>
    <w:rsid w:val="00EE4F43"/>
    <w:rsid w:val="00EE654F"/>
    <w:rsid w:val="00EF1502"/>
    <w:rsid w:val="00EF2E58"/>
    <w:rsid w:val="00EF5815"/>
    <w:rsid w:val="00F02DB1"/>
    <w:rsid w:val="00F0557B"/>
    <w:rsid w:val="00F13233"/>
    <w:rsid w:val="00F14FC5"/>
    <w:rsid w:val="00F217C5"/>
    <w:rsid w:val="00F2315C"/>
    <w:rsid w:val="00F23C43"/>
    <w:rsid w:val="00F2605B"/>
    <w:rsid w:val="00F26C5D"/>
    <w:rsid w:val="00F32332"/>
    <w:rsid w:val="00F35D37"/>
    <w:rsid w:val="00F35E4C"/>
    <w:rsid w:val="00F41E74"/>
    <w:rsid w:val="00F433E4"/>
    <w:rsid w:val="00F454A2"/>
    <w:rsid w:val="00F5394E"/>
    <w:rsid w:val="00F5404C"/>
    <w:rsid w:val="00F56652"/>
    <w:rsid w:val="00F573B0"/>
    <w:rsid w:val="00F6266E"/>
    <w:rsid w:val="00F64959"/>
    <w:rsid w:val="00F74B4E"/>
    <w:rsid w:val="00F75CC9"/>
    <w:rsid w:val="00F81E05"/>
    <w:rsid w:val="00F84E74"/>
    <w:rsid w:val="00F863B6"/>
    <w:rsid w:val="00F9199C"/>
    <w:rsid w:val="00F92BBC"/>
    <w:rsid w:val="00F95623"/>
    <w:rsid w:val="00F96CE5"/>
    <w:rsid w:val="00FA0F55"/>
    <w:rsid w:val="00FA1547"/>
    <w:rsid w:val="00FA16BE"/>
    <w:rsid w:val="00FA18C6"/>
    <w:rsid w:val="00FA24AC"/>
    <w:rsid w:val="00FA427D"/>
    <w:rsid w:val="00FA46BE"/>
    <w:rsid w:val="00FA4BC3"/>
    <w:rsid w:val="00FA5FFA"/>
    <w:rsid w:val="00FA67CD"/>
    <w:rsid w:val="00FA7603"/>
    <w:rsid w:val="00FB516D"/>
    <w:rsid w:val="00FC1161"/>
    <w:rsid w:val="00FC6705"/>
    <w:rsid w:val="00FD37FC"/>
    <w:rsid w:val="00FE0A60"/>
    <w:rsid w:val="00FE2A5C"/>
    <w:rsid w:val="00FE4890"/>
    <w:rsid w:val="00FF08A4"/>
    <w:rsid w:val="00FF0AEF"/>
    <w:rsid w:val="00FF27B3"/>
    <w:rsid w:val="00FF5F85"/>
    <w:rsid w:val="00FF6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C5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200"/>
        <w:tab w:val="right" w:pos="8400"/>
      </w:tabs>
    </w:pPr>
  </w:style>
  <w:style w:type="character" w:styleId="a7">
    <w:name w:val="footnote reference"/>
    <w:semiHidden/>
    <w:rPr>
      <w:position w:val="6"/>
      <w:sz w:val="14"/>
      <w:szCs w:val="14"/>
    </w:rPr>
  </w:style>
  <w:style w:type="paragraph" w:styleId="a8">
    <w:name w:val="footnote text"/>
    <w:basedOn w:val="regpar"/>
    <w:link w:val="a9"/>
    <w:semiHidden/>
    <w:pPr>
      <w:spacing w:line="240" w:lineRule="exact"/>
    </w:pPr>
    <w:rPr>
      <w:sz w:val="20"/>
      <w:szCs w:val="20"/>
    </w:rPr>
  </w:style>
  <w:style w:type="character" w:styleId="aa">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8"/>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b">
    <w:name w:val="Body Text Indent"/>
    <w:basedOn w:val="a"/>
    <w:pPr>
      <w:widowControl w:val="0"/>
      <w:ind w:left="284" w:hanging="284"/>
    </w:pPr>
  </w:style>
  <w:style w:type="character" w:styleId="Hyperlink">
    <w:name w:val="Hyperlink"/>
    <w:rPr>
      <w:color w:val="0000FF"/>
      <w:u w:val="single"/>
    </w:rPr>
  </w:style>
  <w:style w:type="paragraph" w:styleId="ac">
    <w:name w:val="Date"/>
    <w:basedOn w:val="a"/>
    <w:next w:val="a"/>
    <w:rsid w:val="00E03DAD"/>
  </w:style>
  <w:style w:type="table" w:styleId="ad">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e">
    <w:name w:val="Balloon Text"/>
    <w:basedOn w:val="a"/>
    <w:link w:val="af"/>
    <w:uiPriority w:val="99"/>
    <w:semiHidden/>
    <w:unhideWhenUsed/>
    <w:rsid w:val="00EC6A3B"/>
    <w:pPr>
      <w:spacing w:line="240" w:lineRule="auto"/>
    </w:pPr>
    <w:rPr>
      <w:rFonts w:ascii="Tahoma" w:hAnsi="Tahoma" w:cs="Tahoma"/>
      <w:sz w:val="16"/>
      <w:szCs w:val="16"/>
    </w:rPr>
  </w:style>
  <w:style w:type="character" w:customStyle="1" w:styleId="af">
    <w:name w:val="טקסט בלונים תו"/>
    <w:link w:val="ae"/>
    <w:uiPriority w:val="99"/>
    <w:semiHidden/>
    <w:rsid w:val="00EC6A3B"/>
    <w:rPr>
      <w:rFonts w:ascii="Tahoma" w:hAnsi="Tahoma" w:cs="Tahoma"/>
      <w:sz w:val="16"/>
      <w:szCs w:val="16"/>
    </w:rPr>
  </w:style>
  <w:style w:type="paragraph" w:styleId="af0">
    <w:name w:val="Revision"/>
    <w:hidden/>
    <w:uiPriority w:val="99"/>
    <w:semiHidden/>
    <w:rsid w:val="00C81F0F"/>
    <w:rPr>
      <w:rFonts w:ascii="Times" w:hAnsi="Times" w:cs="Times"/>
      <w:sz w:val="24"/>
      <w:szCs w:val="24"/>
    </w:rPr>
  </w:style>
  <w:style w:type="paragraph" w:styleId="af1">
    <w:name w:val="Plain Text"/>
    <w:basedOn w:val="a"/>
    <w:link w:val="af2"/>
    <w:uiPriority w:val="99"/>
    <w:semiHidden/>
    <w:unhideWhenUsed/>
    <w:rsid w:val="00E52DD0"/>
    <w:pPr>
      <w:spacing w:line="240" w:lineRule="auto"/>
      <w:jc w:val="left"/>
    </w:pPr>
    <w:rPr>
      <w:rFonts w:ascii="Calibri" w:eastAsia="Calibri" w:hAnsi="Calibri" w:cs="Arial"/>
      <w:sz w:val="22"/>
      <w:szCs w:val="21"/>
    </w:rPr>
  </w:style>
  <w:style w:type="character" w:customStyle="1" w:styleId="af2">
    <w:name w:val="טקסט רגיל תו"/>
    <w:link w:val="af1"/>
    <w:uiPriority w:val="99"/>
    <w:semiHidden/>
    <w:rsid w:val="00E52DD0"/>
    <w:rPr>
      <w:rFonts w:ascii="Calibri" w:eastAsia="Calibri" w:hAnsi="Calibri" w:cs="Arial"/>
      <w:sz w:val="22"/>
      <w:szCs w:val="21"/>
    </w:rPr>
  </w:style>
  <w:style w:type="paragraph" w:styleId="af3">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9">
    <w:name w:val="טקסט הערת שוליים תו"/>
    <w:basedOn w:val="a0"/>
    <w:link w:val="a8"/>
    <w:semiHidden/>
    <w:rsid w:val="00A27711"/>
    <w:rPr>
      <w:rFonts w:ascii="Times" w:hAnsi="Times" w:cs="Times"/>
    </w:rPr>
  </w:style>
  <w:style w:type="character" w:styleId="af4">
    <w:name w:val="annotation reference"/>
    <w:basedOn w:val="a0"/>
    <w:uiPriority w:val="99"/>
    <w:semiHidden/>
    <w:unhideWhenUsed/>
    <w:rsid w:val="008D2340"/>
    <w:rPr>
      <w:sz w:val="16"/>
      <w:szCs w:val="16"/>
    </w:rPr>
  </w:style>
  <w:style w:type="paragraph" w:styleId="af5">
    <w:name w:val="annotation text"/>
    <w:basedOn w:val="a"/>
    <w:link w:val="af6"/>
    <w:uiPriority w:val="99"/>
    <w:semiHidden/>
    <w:unhideWhenUsed/>
    <w:rsid w:val="008D2340"/>
    <w:pPr>
      <w:spacing w:line="240" w:lineRule="auto"/>
    </w:pPr>
    <w:rPr>
      <w:sz w:val="20"/>
      <w:szCs w:val="20"/>
    </w:rPr>
  </w:style>
  <w:style w:type="character" w:customStyle="1" w:styleId="af6">
    <w:name w:val="טקסט הערה תו"/>
    <w:basedOn w:val="a0"/>
    <w:link w:val="af5"/>
    <w:uiPriority w:val="99"/>
    <w:semiHidden/>
    <w:rsid w:val="008D2340"/>
    <w:rPr>
      <w:rFonts w:ascii="Times" w:hAnsi="Times" w:cs="Times"/>
    </w:rPr>
  </w:style>
  <w:style w:type="paragraph" w:styleId="af7">
    <w:name w:val="annotation subject"/>
    <w:basedOn w:val="af5"/>
    <w:next w:val="af5"/>
    <w:link w:val="af8"/>
    <w:uiPriority w:val="99"/>
    <w:semiHidden/>
    <w:unhideWhenUsed/>
    <w:rsid w:val="008D2340"/>
    <w:rPr>
      <w:b/>
      <w:bCs/>
    </w:rPr>
  </w:style>
  <w:style w:type="character" w:customStyle="1" w:styleId="af8">
    <w:name w:val="נושא הערה תו"/>
    <w:basedOn w:val="af6"/>
    <w:link w:val="af7"/>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58092D"/>
    <w:rPr>
      <w:color w:val="605E5C"/>
      <w:shd w:val="clear" w:color="auto" w:fill="E1DFDD"/>
    </w:rPr>
  </w:style>
  <w:style w:type="character" w:customStyle="1" w:styleId="a6">
    <w:name w:val="כותרת עליונה תו"/>
    <w:basedOn w:val="a0"/>
    <w:link w:val="a5"/>
    <w:uiPriority w:val="99"/>
    <w:rsid w:val="00B77994"/>
    <w:rPr>
      <w:rFonts w:ascii="Times" w:hAnsi="Times" w:cs="Times"/>
      <w:sz w:val="24"/>
      <w:szCs w:val="24"/>
    </w:rPr>
  </w:style>
  <w:style w:type="paragraph" w:customStyle="1" w:styleId="Letterhead2">
    <w:name w:val="Letterhead 2"/>
    <w:basedOn w:val="regpar"/>
    <w:link w:val="Letterhead2Char"/>
    <w:qFormat/>
    <w:rsid w:val="00D01F07"/>
    <w:pPr>
      <w:spacing w:line="300" w:lineRule="atLeast"/>
      <w:ind w:firstLine="0"/>
      <w:jc w:val="center"/>
    </w:pPr>
    <w:rPr>
      <w:rFonts w:ascii="Times New Roman" w:hAnsi="Times New Roman" w:cs="Times New Roman"/>
      <w:sz w:val="26"/>
      <w:szCs w:val="26"/>
    </w:rPr>
  </w:style>
  <w:style w:type="character" w:customStyle="1" w:styleId="Letterhead2Char">
    <w:name w:val="Letterhead 2 Char"/>
    <w:basedOn w:val="a0"/>
    <w:link w:val="Letterhead2"/>
    <w:rsid w:val="00D01F07"/>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33624140">
      <w:bodyDiv w:val="1"/>
      <w:marLeft w:val="0"/>
      <w:marRight w:val="0"/>
      <w:marTop w:val="0"/>
      <w:marBottom w:val="0"/>
      <w:divBdr>
        <w:top w:val="none" w:sz="0" w:space="0" w:color="auto"/>
        <w:left w:val="none" w:sz="0" w:space="0" w:color="auto"/>
        <w:bottom w:val="none" w:sz="0" w:space="0" w:color="auto"/>
        <w:right w:val="none" w:sz="0" w:space="0" w:color="auto"/>
      </w:divBdr>
    </w:div>
    <w:div w:id="182089528">
      <w:bodyDiv w:val="1"/>
      <w:marLeft w:val="0"/>
      <w:marRight w:val="0"/>
      <w:marTop w:val="0"/>
      <w:marBottom w:val="0"/>
      <w:divBdr>
        <w:top w:val="none" w:sz="0" w:space="0" w:color="auto"/>
        <w:left w:val="none" w:sz="0" w:space="0" w:color="auto"/>
        <w:bottom w:val="none" w:sz="0" w:space="0" w:color="auto"/>
        <w:right w:val="none" w:sz="0" w:space="0" w:color="auto"/>
      </w:divBdr>
    </w:div>
    <w:div w:id="371809270">
      <w:bodyDiv w:val="1"/>
      <w:marLeft w:val="0"/>
      <w:marRight w:val="0"/>
      <w:marTop w:val="0"/>
      <w:marBottom w:val="0"/>
      <w:divBdr>
        <w:top w:val="none" w:sz="0" w:space="0" w:color="auto"/>
        <w:left w:val="none" w:sz="0" w:space="0" w:color="auto"/>
        <w:bottom w:val="none" w:sz="0" w:space="0" w:color="auto"/>
        <w:right w:val="none" w:sz="0" w:space="0" w:color="auto"/>
      </w:divBdr>
    </w:div>
    <w:div w:id="549154503">
      <w:bodyDiv w:val="1"/>
      <w:marLeft w:val="0"/>
      <w:marRight w:val="0"/>
      <w:marTop w:val="0"/>
      <w:marBottom w:val="0"/>
      <w:divBdr>
        <w:top w:val="none" w:sz="0" w:space="0" w:color="auto"/>
        <w:left w:val="none" w:sz="0" w:space="0" w:color="auto"/>
        <w:bottom w:val="none" w:sz="0" w:space="0" w:color="auto"/>
        <w:right w:val="none" w:sz="0" w:space="0" w:color="auto"/>
      </w:divBdr>
    </w:div>
    <w:div w:id="650600847">
      <w:bodyDiv w:val="1"/>
      <w:marLeft w:val="0"/>
      <w:marRight w:val="0"/>
      <w:marTop w:val="0"/>
      <w:marBottom w:val="0"/>
      <w:divBdr>
        <w:top w:val="none" w:sz="0" w:space="0" w:color="auto"/>
        <w:left w:val="none" w:sz="0" w:space="0" w:color="auto"/>
        <w:bottom w:val="none" w:sz="0" w:space="0" w:color="auto"/>
        <w:right w:val="none" w:sz="0" w:space="0" w:color="auto"/>
      </w:divBdr>
    </w:div>
    <w:div w:id="1002465611">
      <w:bodyDiv w:val="1"/>
      <w:marLeft w:val="0"/>
      <w:marRight w:val="0"/>
      <w:marTop w:val="0"/>
      <w:marBottom w:val="0"/>
      <w:divBdr>
        <w:top w:val="none" w:sz="0" w:space="0" w:color="auto"/>
        <w:left w:val="none" w:sz="0" w:space="0" w:color="auto"/>
        <w:bottom w:val="none" w:sz="0" w:space="0" w:color="auto"/>
        <w:right w:val="none" w:sz="0" w:space="0" w:color="auto"/>
      </w:divBdr>
    </w:div>
    <w:div w:id="1013612341">
      <w:bodyDiv w:val="1"/>
      <w:marLeft w:val="0"/>
      <w:marRight w:val="0"/>
      <w:marTop w:val="0"/>
      <w:marBottom w:val="0"/>
      <w:divBdr>
        <w:top w:val="none" w:sz="0" w:space="0" w:color="auto"/>
        <w:left w:val="none" w:sz="0" w:space="0" w:color="auto"/>
        <w:bottom w:val="none" w:sz="0" w:space="0" w:color="auto"/>
        <w:right w:val="none" w:sz="0" w:space="0" w:color="auto"/>
      </w:divBdr>
    </w:div>
    <w:div w:id="1052273302">
      <w:bodyDiv w:val="1"/>
      <w:marLeft w:val="0"/>
      <w:marRight w:val="0"/>
      <w:marTop w:val="0"/>
      <w:marBottom w:val="0"/>
      <w:divBdr>
        <w:top w:val="none" w:sz="0" w:space="0" w:color="auto"/>
        <w:left w:val="none" w:sz="0" w:space="0" w:color="auto"/>
        <w:bottom w:val="none" w:sz="0" w:space="0" w:color="auto"/>
        <w:right w:val="none" w:sz="0" w:space="0" w:color="auto"/>
      </w:divBdr>
    </w:div>
    <w:div w:id="1129543374">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9628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5D348-1B14-4865-A0E4-403FDADE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8805</Characters>
  <Application>Microsoft Office Word</Application>
  <DocSecurity>4</DocSecurity>
  <Lines>73</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2025-01-28T08:27:00Z</dcterms:created>
  <dcterms:modified xsi:type="dcterms:W3CDTF">2025-01-28T08:27:00Z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