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34EF" w14:textId="77777777" w:rsidR="00CB5D78" w:rsidRPr="003B4DD7" w:rsidRDefault="002235F5" w:rsidP="007527B3">
      <w:pPr>
        <w:bidi w:val="0"/>
        <w:jc w:val="center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  <w:noProof/>
        </w:rPr>
        <w:drawing>
          <wp:inline distT="0" distB="0" distL="0" distR="0" wp14:anchorId="0558C21F" wp14:editId="391BCC72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5B91" w14:textId="77777777" w:rsidR="00892A46" w:rsidRPr="003B4DD7" w:rsidRDefault="00892A46" w:rsidP="007527B3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  <w:r w:rsidRPr="003B4DD7">
        <w:rPr>
          <w:rFonts w:asciiTheme="majorBidi" w:hAnsiTheme="majorBidi" w:cstheme="majorBidi"/>
          <w:b/>
          <w:bCs/>
        </w:rPr>
        <w:t>BANK OF ISRAEL</w:t>
      </w:r>
    </w:p>
    <w:p w14:paraId="152579A2" w14:textId="77777777" w:rsidR="00892A46" w:rsidRPr="003B4DD7" w:rsidRDefault="00892A46" w:rsidP="007527B3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Office of the Spokesperson and Economic Information</w:t>
      </w:r>
    </w:p>
    <w:p w14:paraId="59B7F8EB" w14:textId="77777777" w:rsidR="00B533D5" w:rsidRPr="003B4DD7" w:rsidRDefault="007926C7" w:rsidP="007527B3">
      <w:pPr>
        <w:bidi w:val="0"/>
        <w:jc w:val="both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</w:rPr>
        <w:br/>
      </w:r>
    </w:p>
    <w:p w14:paraId="01D52AA3" w14:textId="77777777" w:rsidR="007926C7" w:rsidRDefault="00AC2FC3" w:rsidP="007527B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August 26, 2024</w:t>
      </w:r>
    </w:p>
    <w:p w14:paraId="69D16BD4" w14:textId="77777777" w:rsidR="00C27619" w:rsidRDefault="00C27619" w:rsidP="007527B3">
      <w:pPr>
        <w:bidi w:val="0"/>
        <w:jc w:val="both"/>
        <w:rPr>
          <w:rFonts w:asciiTheme="majorBidi" w:hAnsiTheme="majorBidi" w:cstheme="majorBidi"/>
        </w:rPr>
      </w:pPr>
    </w:p>
    <w:p w14:paraId="2222A233" w14:textId="77777777" w:rsidR="00C27619" w:rsidRDefault="00C27619" w:rsidP="007527B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Press release:</w:t>
      </w:r>
    </w:p>
    <w:p w14:paraId="25B54483" w14:textId="77777777" w:rsidR="00C27619" w:rsidRDefault="00C27619" w:rsidP="007527B3">
      <w:pPr>
        <w:bidi w:val="0"/>
        <w:jc w:val="both"/>
        <w:rPr>
          <w:rFonts w:asciiTheme="majorBidi" w:hAnsiTheme="majorBidi" w:cstheme="majorBidi"/>
        </w:rPr>
      </w:pPr>
    </w:p>
    <w:p w14:paraId="36122218" w14:textId="6388AA41" w:rsidR="00003373" w:rsidRDefault="00AC2FC3" w:rsidP="00B81DA2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A4114">
        <w:rPr>
          <w:rFonts w:asciiTheme="majorBidi" w:hAnsiTheme="majorBidi" w:cstheme="majorBidi"/>
          <w:b/>
          <w:bCs/>
          <w:sz w:val="32"/>
          <w:szCs w:val="32"/>
        </w:rPr>
        <w:t xml:space="preserve">Replacement of identification codes allocated to payment service providers and clearing </w:t>
      </w:r>
      <w:r w:rsidR="00B81DA2" w:rsidRPr="004A4114">
        <w:rPr>
          <w:rFonts w:asciiTheme="majorBidi" w:hAnsiTheme="majorBidi" w:cstheme="majorBidi"/>
          <w:b/>
          <w:bCs/>
          <w:sz w:val="32"/>
          <w:szCs w:val="32"/>
        </w:rPr>
        <w:t xml:space="preserve">of </w:t>
      </w:r>
      <w:r w:rsidRPr="004A4114">
        <w:rPr>
          <w:rFonts w:asciiTheme="majorBidi" w:hAnsiTheme="majorBidi" w:cstheme="majorBidi"/>
          <w:b/>
          <w:bCs/>
          <w:sz w:val="32"/>
          <w:szCs w:val="32"/>
        </w:rPr>
        <w:t>identification codes that are not in use</w:t>
      </w:r>
    </w:p>
    <w:p w14:paraId="70B2B7A6" w14:textId="77777777" w:rsidR="00AC2FC3" w:rsidRPr="007527B3" w:rsidRDefault="00AC2FC3" w:rsidP="007527B3">
      <w:pPr>
        <w:bidi w:val="0"/>
        <w:jc w:val="both"/>
        <w:rPr>
          <w:rFonts w:asciiTheme="majorBidi" w:hAnsiTheme="majorBidi" w:cstheme="majorBidi"/>
        </w:rPr>
      </w:pPr>
      <w:bookmarkStart w:id="0" w:name="_GoBack"/>
    </w:p>
    <w:p w14:paraId="133C5FB5" w14:textId="0CF86286" w:rsidR="00AC2FC3" w:rsidRPr="007527B3" w:rsidRDefault="00AC2FC3" w:rsidP="00B81DA2">
      <w:pPr>
        <w:bidi w:val="0"/>
        <w:jc w:val="both"/>
        <w:rPr>
          <w:rFonts w:asciiTheme="majorBidi" w:hAnsiTheme="majorBidi" w:cstheme="majorBidi"/>
        </w:rPr>
      </w:pPr>
      <w:r w:rsidRPr="007527B3">
        <w:rPr>
          <w:rFonts w:asciiTheme="majorBidi" w:hAnsiTheme="majorBidi" w:cstheme="majorBidi"/>
        </w:rPr>
        <w:t xml:space="preserve">In May 2020, the Bank of Israel allocated identification codes to </w:t>
      </w:r>
      <w:r w:rsidR="00B81DA2">
        <w:rPr>
          <w:rFonts w:asciiTheme="majorBidi" w:hAnsiTheme="majorBidi" w:cstheme="majorBidi"/>
        </w:rPr>
        <w:t xml:space="preserve">credit </w:t>
      </w:r>
      <w:r w:rsidR="00B81DA2" w:rsidRPr="007527B3">
        <w:rPr>
          <w:rFonts w:asciiTheme="majorBidi" w:hAnsiTheme="majorBidi" w:cstheme="majorBidi"/>
        </w:rPr>
        <w:t>card</w:t>
      </w:r>
      <w:r w:rsidRPr="007527B3">
        <w:rPr>
          <w:rFonts w:asciiTheme="majorBidi" w:hAnsiTheme="majorBidi" w:cstheme="majorBidi"/>
        </w:rPr>
        <w:t xml:space="preserve"> companies—Isracard, Cal, and Max It Finance—and in August 2021 identification codes were allocated to Cardcom and Tranzilla, which </w:t>
      </w:r>
      <w:r w:rsidR="00545656" w:rsidRPr="007527B3">
        <w:rPr>
          <w:rFonts w:asciiTheme="majorBidi" w:hAnsiTheme="majorBidi" w:cstheme="majorBidi"/>
        </w:rPr>
        <w:t xml:space="preserve">had </w:t>
      </w:r>
      <w:r w:rsidRPr="007527B3">
        <w:rPr>
          <w:rFonts w:asciiTheme="majorBidi" w:hAnsiTheme="majorBidi" w:cstheme="majorBidi"/>
        </w:rPr>
        <w:t>requested to conduct activities in the controlled payment systems in Israel.</w:t>
      </w:r>
    </w:p>
    <w:p w14:paraId="0E3054BC" w14:textId="77777777" w:rsidR="00AC2FC3" w:rsidRPr="007527B3" w:rsidRDefault="00AC2FC3" w:rsidP="007527B3">
      <w:pPr>
        <w:bidi w:val="0"/>
        <w:jc w:val="both"/>
        <w:rPr>
          <w:rFonts w:asciiTheme="majorBidi" w:hAnsiTheme="majorBidi" w:cstheme="majorBidi"/>
        </w:rPr>
      </w:pPr>
    </w:p>
    <w:p w14:paraId="6F2F69B0" w14:textId="77777777" w:rsidR="00AC2FC3" w:rsidRPr="007527B3" w:rsidRDefault="00AC2FC3" w:rsidP="007527B3">
      <w:pPr>
        <w:bidi w:val="0"/>
        <w:jc w:val="both"/>
        <w:rPr>
          <w:rFonts w:asciiTheme="majorBidi" w:hAnsiTheme="majorBidi" w:cstheme="majorBidi"/>
        </w:rPr>
      </w:pPr>
      <w:r w:rsidRPr="007527B3">
        <w:rPr>
          <w:rFonts w:asciiTheme="majorBidi" w:hAnsiTheme="majorBidi" w:cstheme="majorBidi"/>
        </w:rPr>
        <w:t xml:space="preserve">For the </w:t>
      </w:r>
      <w:r w:rsidR="00B81DA2">
        <w:rPr>
          <w:rStyle w:val="ui-provider"/>
        </w:rPr>
        <w:t>purpose of</w:t>
      </w:r>
      <w:r w:rsidR="00B81DA2">
        <w:rPr>
          <w:rFonts w:asciiTheme="majorBidi" w:hAnsiTheme="majorBidi" w:cstheme="majorBidi"/>
        </w:rPr>
        <w:t xml:space="preserve"> </w:t>
      </w:r>
      <w:r w:rsidRPr="007527B3">
        <w:rPr>
          <w:rFonts w:asciiTheme="majorBidi" w:hAnsiTheme="majorBidi" w:cstheme="majorBidi"/>
        </w:rPr>
        <w:t>uniform identification of a participant in every payment system in Israel, a process is being carried out</w:t>
      </w:r>
      <w:r w:rsidR="00545656" w:rsidRPr="007527B3">
        <w:rPr>
          <w:rFonts w:asciiTheme="majorBidi" w:hAnsiTheme="majorBidi" w:cstheme="majorBidi"/>
        </w:rPr>
        <w:t xml:space="preserve">, in which </w:t>
      </w:r>
      <w:r w:rsidRPr="007527B3">
        <w:rPr>
          <w:rFonts w:asciiTheme="majorBidi" w:hAnsiTheme="majorBidi" w:cstheme="majorBidi"/>
        </w:rPr>
        <w:t>the</w:t>
      </w:r>
      <w:r w:rsidR="00545656" w:rsidRPr="007527B3">
        <w:rPr>
          <w:rFonts w:asciiTheme="majorBidi" w:hAnsiTheme="majorBidi" w:cstheme="majorBidi"/>
        </w:rPr>
        <w:t xml:space="preserve"> </w:t>
      </w:r>
      <w:r w:rsidRPr="007527B3">
        <w:rPr>
          <w:rFonts w:asciiTheme="majorBidi" w:hAnsiTheme="majorBidi" w:cstheme="majorBidi"/>
        </w:rPr>
        <w:t>identification codes allocated to those payment service providers</w:t>
      </w:r>
      <w:r w:rsidR="00545656" w:rsidRPr="007527B3">
        <w:rPr>
          <w:rFonts w:asciiTheme="majorBidi" w:hAnsiTheme="majorBidi" w:cstheme="majorBidi"/>
        </w:rPr>
        <w:t xml:space="preserve"> are being updated and reallocated</w:t>
      </w:r>
      <w:r w:rsidRPr="007527B3">
        <w:rPr>
          <w:rFonts w:asciiTheme="majorBidi" w:hAnsiTheme="majorBidi" w:cstheme="majorBidi"/>
        </w:rPr>
        <w:t xml:space="preserve">. At the end of the </w:t>
      </w:r>
      <w:r w:rsidR="00D44163" w:rsidRPr="007527B3">
        <w:rPr>
          <w:rFonts w:asciiTheme="majorBidi" w:hAnsiTheme="majorBidi" w:cstheme="majorBidi"/>
        </w:rPr>
        <w:t>process</w:t>
      </w:r>
      <w:r w:rsidR="00104F7B" w:rsidRPr="007527B3">
        <w:rPr>
          <w:rFonts w:asciiTheme="majorBidi" w:hAnsiTheme="majorBidi" w:cstheme="majorBidi"/>
        </w:rPr>
        <w:t xml:space="preserve">, </w:t>
      </w:r>
      <w:r w:rsidR="00D44163" w:rsidRPr="007527B3">
        <w:rPr>
          <w:rFonts w:asciiTheme="majorBidi" w:hAnsiTheme="majorBidi" w:cstheme="majorBidi"/>
        </w:rPr>
        <w:t>all payment systems will identify the participants in their systems in accordance with the list of identification codes published by the Bank of Israel.</w:t>
      </w:r>
      <w:r w:rsidR="00F15D72" w:rsidRPr="007527B3">
        <w:rPr>
          <w:rFonts w:asciiTheme="majorBidi" w:hAnsiTheme="majorBidi" w:cstheme="majorBidi"/>
        </w:rPr>
        <w:t xml:space="preserve"> </w:t>
      </w:r>
    </w:p>
    <w:p w14:paraId="08F68A63" w14:textId="77777777" w:rsidR="00F15D72" w:rsidRPr="007527B3" w:rsidRDefault="00F15D72" w:rsidP="007527B3">
      <w:pPr>
        <w:bidi w:val="0"/>
        <w:jc w:val="both"/>
        <w:rPr>
          <w:rFonts w:asciiTheme="majorBidi" w:hAnsiTheme="majorBidi" w:cstheme="majorBidi"/>
        </w:rPr>
      </w:pPr>
    </w:p>
    <w:p w14:paraId="7527BEC5" w14:textId="77777777" w:rsidR="00F15D72" w:rsidRPr="007527B3" w:rsidRDefault="00F15D72" w:rsidP="007527B3">
      <w:pPr>
        <w:bidi w:val="0"/>
        <w:jc w:val="both"/>
        <w:rPr>
          <w:rFonts w:asciiTheme="majorBidi" w:hAnsiTheme="majorBidi" w:cstheme="majorBidi"/>
        </w:rPr>
      </w:pPr>
      <w:r w:rsidRPr="007527B3">
        <w:rPr>
          <w:rFonts w:asciiTheme="majorBidi" w:hAnsiTheme="majorBidi" w:cstheme="majorBidi"/>
        </w:rPr>
        <w:t xml:space="preserve">Below is Table 1, which concentrates the expected changes in the identification code allocation. </w:t>
      </w:r>
    </w:p>
    <w:p w14:paraId="10CE7E5C" w14:textId="77777777" w:rsidR="00F15D72" w:rsidRPr="007527B3" w:rsidRDefault="00F15D72" w:rsidP="007527B3">
      <w:pPr>
        <w:bidi w:val="0"/>
        <w:jc w:val="both"/>
        <w:rPr>
          <w:rFonts w:asciiTheme="majorBidi" w:hAnsiTheme="majorBidi" w:cstheme="majorBidi"/>
        </w:rPr>
      </w:pPr>
    </w:p>
    <w:tbl>
      <w:tblPr>
        <w:tblStyle w:val="a5"/>
        <w:tblW w:w="8815" w:type="dxa"/>
        <w:tblLook w:val="04A0" w:firstRow="1" w:lastRow="0" w:firstColumn="1" w:lastColumn="0" w:noHBand="0" w:noVBand="1"/>
      </w:tblPr>
      <w:tblGrid>
        <w:gridCol w:w="4945"/>
        <w:gridCol w:w="1980"/>
        <w:gridCol w:w="1890"/>
      </w:tblGrid>
      <w:tr w:rsidR="00F15D72" w:rsidRPr="007527B3" w14:paraId="286ACA28" w14:textId="77777777" w:rsidTr="001B5A5F">
        <w:tc>
          <w:tcPr>
            <w:tcW w:w="4945" w:type="dxa"/>
          </w:tcPr>
          <w:p w14:paraId="5CD24D63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527B3">
              <w:rPr>
                <w:rFonts w:asciiTheme="majorBidi" w:hAnsiTheme="majorBidi" w:cstheme="majorBidi"/>
                <w:b/>
                <w:bCs/>
              </w:rPr>
              <w:t>Entity name</w:t>
            </w:r>
          </w:p>
        </w:tc>
        <w:tc>
          <w:tcPr>
            <w:tcW w:w="3870" w:type="dxa"/>
            <w:gridSpan w:val="2"/>
          </w:tcPr>
          <w:p w14:paraId="0AEFB120" w14:textId="77777777" w:rsidR="00F15D72" w:rsidRPr="007527B3" w:rsidRDefault="00F15D72" w:rsidP="007527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7B3">
              <w:rPr>
                <w:rFonts w:asciiTheme="majorBidi" w:hAnsiTheme="majorBidi" w:cstheme="majorBidi"/>
                <w:b/>
                <w:bCs/>
              </w:rPr>
              <w:t>Identification code</w:t>
            </w:r>
          </w:p>
        </w:tc>
      </w:tr>
      <w:tr w:rsidR="00F15D72" w:rsidRPr="007527B3" w14:paraId="6B8D8654" w14:textId="77777777" w:rsidTr="001B5A5F">
        <w:tc>
          <w:tcPr>
            <w:tcW w:w="4945" w:type="dxa"/>
          </w:tcPr>
          <w:p w14:paraId="23DA167B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009D3E23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Current code</w:t>
            </w:r>
          </w:p>
        </w:tc>
        <w:tc>
          <w:tcPr>
            <w:tcW w:w="1890" w:type="dxa"/>
          </w:tcPr>
          <w:p w14:paraId="2B6562D6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New code*</w:t>
            </w:r>
          </w:p>
        </w:tc>
      </w:tr>
      <w:tr w:rsidR="00F15D72" w:rsidRPr="007527B3" w14:paraId="086B061B" w14:textId="77777777" w:rsidTr="001B5A5F">
        <w:tc>
          <w:tcPr>
            <w:tcW w:w="4945" w:type="dxa"/>
          </w:tcPr>
          <w:p w14:paraId="2F674103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Max It Finance Ltd.</w:t>
            </w:r>
          </w:p>
        </w:tc>
        <w:tc>
          <w:tcPr>
            <w:tcW w:w="1980" w:type="dxa"/>
          </w:tcPr>
          <w:p w14:paraId="2735CEF5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90" w:type="dxa"/>
          </w:tcPr>
          <w:p w14:paraId="56514FB0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6</w:t>
            </w:r>
          </w:p>
        </w:tc>
      </w:tr>
      <w:tr w:rsidR="00F15D72" w:rsidRPr="007527B3" w14:paraId="69A008E2" w14:textId="77777777" w:rsidTr="001B5A5F">
        <w:tc>
          <w:tcPr>
            <w:tcW w:w="4945" w:type="dxa"/>
          </w:tcPr>
          <w:p w14:paraId="0CD5F442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Isracard Ltd.</w:t>
            </w:r>
          </w:p>
        </w:tc>
        <w:tc>
          <w:tcPr>
            <w:tcW w:w="1980" w:type="dxa"/>
          </w:tcPr>
          <w:p w14:paraId="07082F2B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90" w:type="dxa"/>
          </w:tcPr>
          <w:p w14:paraId="60063805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1</w:t>
            </w:r>
          </w:p>
        </w:tc>
      </w:tr>
      <w:tr w:rsidR="00F15D72" w:rsidRPr="007527B3" w14:paraId="05E7FD65" w14:textId="77777777" w:rsidTr="001B5A5F">
        <w:tc>
          <w:tcPr>
            <w:tcW w:w="4945" w:type="dxa"/>
          </w:tcPr>
          <w:p w14:paraId="3B81A39D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Cal (Cartisey Ashrai L</w:t>
            </w:r>
            <w:r w:rsidR="00104F7B" w:rsidRPr="007527B3">
              <w:rPr>
                <w:rFonts w:asciiTheme="majorBidi" w:hAnsiTheme="majorBidi" w:cstheme="majorBidi"/>
              </w:rPr>
              <w:t>e</w:t>
            </w:r>
            <w:r w:rsidRPr="007527B3">
              <w:rPr>
                <w:rFonts w:asciiTheme="majorBidi" w:hAnsiTheme="majorBidi" w:cstheme="majorBidi"/>
              </w:rPr>
              <w:t>Yisrael) Ltd.</w:t>
            </w:r>
          </w:p>
        </w:tc>
        <w:tc>
          <w:tcPr>
            <w:tcW w:w="1980" w:type="dxa"/>
          </w:tcPr>
          <w:p w14:paraId="776E8BE2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90" w:type="dxa"/>
          </w:tcPr>
          <w:p w14:paraId="66F952BD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2</w:t>
            </w:r>
          </w:p>
        </w:tc>
      </w:tr>
      <w:tr w:rsidR="00F15D72" w:rsidRPr="007527B3" w14:paraId="38AF7325" w14:textId="77777777" w:rsidTr="001B5A5F">
        <w:tc>
          <w:tcPr>
            <w:tcW w:w="4945" w:type="dxa"/>
          </w:tcPr>
          <w:p w14:paraId="2FF0D246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4A4114">
              <w:rPr>
                <w:rFonts w:asciiTheme="majorBidi" w:hAnsiTheme="majorBidi" w:cstheme="majorBidi"/>
              </w:rPr>
              <w:t>Cardcom Clearing Ltd.</w:t>
            </w:r>
          </w:p>
        </w:tc>
        <w:tc>
          <w:tcPr>
            <w:tcW w:w="1980" w:type="dxa"/>
          </w:tcPr>
          <w:p w14:paraId="44BFA551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890" w:type="dxa"/>
          </w:tcPr>
          <w:p w14:paraId="0735DEC2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7</w:t>
            </w:r>
          </w:p>
        </w:tc>
      </w:tr>
      <w:tr w:rsidR="00F15D72" w:rsidRPr="007527B3" w14:paraId="50CB6053" w14:textId="77777777" w:rsidTr="001B5A5F">
        <w:tc>
          <w:tcPr>
            <w:tcW w:w="4945" w:type="dxa"/>
          </w:tcPr>
          <w:p w14:paraId="3DE134E6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Tranzilla Ltd.</w:t>
            </w:r>
          </w:p>
        </w:tc>
        <w:tc>
          <w:tcPr>
            <w:tcW w:w="1980" w:type="dxa"/>
          </w:tcPr>
          <w:p w14:paraId="03B728F6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1890" w:type="dxa"/>
          </w:tcPr>
          <w:p w14:paraId="24AB0AD5" w14:textId="77777777" w:rsidR="00F15D72" w:rsidRPr="007527B3" w:rsidRDefault="00F15D72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5</w:t>
            </w:r>
          </w:p>
        </w:tc>
      </w:tr>
    </w:tbl>
    <w:p w14:paraId="00762F7E" w14:textId="77777777" w:rsidR="00CD1EF0" w:rsidRDefault="00F15D72" w:rsidP="00CD1EF0">
      <w:pPr>
        <w:bidi w:val="0"/>
      </w:pPr>
      <w:r w:rsidRPr="007527B3">
        <w:rPr>
          <w:rFonts w:asciiTheme="majorBidi" w:hAnsiTheme="majorBidi" w:cstheme="majorBidi"/>
        </w:rPr>
        <w:t xml:space="preserve">*Entities interested in commenting on the proposed change are welcome to </w:t>
      </w:r>
      <w:r w:rsidR="00F43E84" w:rsidRPr="007527B3">
        <w:rPr>
          <w:rFonts w:asciiTheme="majorBidi" w:hAnsiTheme="majorBidi" w:cstheme="majorBidi"/>
        </w:rPr>
        <w:t xml:space="preserve">make </w:t>
      </w:r>
      <w:r w:rsidRPr="007527B3">
        <w:rPr>
          <w:rFonts w:asciiTheme="majorBidi" w:hAnsiTheme="majorBidi" w:cstheme="majorBidi"/>
        </w:rPr>
        <w:t xml:space="preserve">contact, in writing, until September 8, 2024, at email </w:t>
      </w:r>
    </w:p>
    <w:p w14:paraId="253B2CEA" w14:textId="5EA53859" w:rsidR="00F15D72" w:rsidRPr="007527B3" w:rsidRDefault="00AA1F7F" w:rsidP="007135E9">
      <w:pPr>
        <w:bidi w:val="0"/>
        <w:rPr>
          <w:rFonts w:asciiTheme="majorBidi" w:hAnsiTheme="majorBidi" w:cstheme="majorBidi"/>
        </w:rPr>
      </w:pPr>
      <w:hyperlink r:id="rId9" w:history="1">
        <w:r w:rsidR="00CD1EF0">
          <w:rPr>
            <w:rStyle w:val="Hyperlink"/>
            <w:rFonts w:hint="cs"/>
          </w:rPr>
          <w:t>Payments-oversight@boi.org.il</w:t>
        </w:r>
      </w:hyperlink>
      <w:r w:rsidR="00F15D72" w:rsidRPr="007527B3">
        <w:rPr>
          <w:rFonts w:asciiTheme="majorBidi" w:hAnsiTheme="majorBidi" w:cstheme="majorBidi"/>
        </w:rPr>
        <w:t>.</w:t>
      </w:r>
      <w:r w:rsidR="00CD1EF0">
        <w:rPr>
          <w:rFonts w:asciiTheme="majorBidi" w:hAnsiTheme="majorBidi" w:cstheme="majorBidi"/>
        </w:rPr>
        <w:t xml:space="preserve"> </w:t>
      </w:r>
      <w:r w:rsidR="00F15D72" w:rsidRPr="007527B3">
        <w:rPr>
          <w:rFonts w:asciiTheme="majorBidi" w:hAnsiTheme="majorBidi" w:cstheme="majorBidi"/>
        </w:rPr>
        <w:t xml:space="preserve">After that point, these codes will be assigned. To the extent there will be a change in </w:t>
      </w:r>
      <w:r w:rsidR="00515F66" w:rsidRPr="007527B3">
        <w:rPr>
          <w:rFonts w:asciiTheme="majorBidi" w:hAnsiTheme="majorBidi" w:cstheme="majorBidi"/>
        </w:rPr>
        <w:t xml:space="preserve">one </w:t>
      </w:r>
      <w:r w:rsidR="00F15D72" w:rsidRPr="007527B3">
        <w:rPr>
          <w:rFonts w:asciiTheme="majorBidi" w:hAnsiTheme="majorBidi" w:cstheme="majorBidi"/>
        </w:rPr>
        <w:t xml:space="preserve">of these codes, the Bank of Israel </w:t>
      </w:r>
      <w:r w:rsidR="00BC6AA0" w:rsidRPr="007527B3">
        <w:rPr>
          <w:rFonts w:asciiTheme="majorBidi" w:hAnsiTheme="majorBidi" w:cstheme="majorBidi"/>
        </w:rPr>
        <w:t xml:space="preserve">will announce it in an update to this notice. </w:t>
      </w:r>
    </w:p>
    <w:p w14:paraId="6A36E1E6" w14:textId="77777777" w:rsidR="00BC6AA0" w:rsidRPr="007527B3" w:rsidRDefault="00BC6AA0" w:rsidP="007527B3">
      <w:pPr>
        <w:bidi w:val="0"/>
        <w:jc w:val="both"/>
        <w:rPr>
          <w:rFonts w:asciiTheme="majorBidi" w:hAnsiTheme="majorBidi" w:cstheme="majorBidi"/>
        </w:rPr>
      </w:pPr>
    </w:p>
    <w:p w14:paraId="56852D0A" w14:textId="77777777" w:rsidR="00BC6AA0" w:rsidRPr="007527B3" w:rsidRDefault="00BC6AA0" w:rsidP="007527B3">
      <w:pPr>
        <w:bidi w:val="0"/>
        <w:jc w:val="both"/>
        <w:rPr>
          <w:rFonts w:asciiTheme="majorBidi" w:hAnsiTheme="majorBidi" w:cstheme="majorBidi"/>
          <w:b/>
          <w:bCs/>
        </w:rPr>
      </w:pPr>
      <w:r w:rsidRPr="007527B3">
        <w:rPr>
          <w:rFonts w:asciiTheme="majorBidi" w:hAnsiTheme="majorBidi" w:cstheme="majorBidi"/>
          <w:b/>
          <w:bCs/>
        </w:rPr>
        <w:t xml:space="preserve">In addition, the Bank of Israel is carrying out a </w:t>
      </w:r>
      <w:r w:rsidRPr="004A4114">
        <w:rPr>
          <w:rFonts w:asciiTheme="majorBidi" w:hAnsiTheme="majorBidi" w:cstheme="majorBidi"/>
          <w:b/>
          <w:bCs/>
        </w:rPr>
        <w:t>process of clearing out codes</w:t>
      </w:r>
      <w:r w:rsidRPr="007527B3">
        <w:rPr>
          <w:rFonts w:asciiTheme="majorBidi" w:hAnsiTheme="majorBidi" w:cstheme="majorBidi"/>
          <w:b/>
          <w:bCs/>
        </w:rPr>
        <w:t xml:space="preserve"> that are not in use.</w:t>
      </w:r>
    </w:p>
    <w:p w14:paraId="4E1DB578" w14:textId="77777777" w:rsidR="00BC6AA0" w:rsidRPr="007527B3" w:rsidRDefault="00BC6AA0" w:rsidP="007527B3">
      <w:pPr>
        <w:bidi w:val="0"/>
        <w:jc w:val="both"/>
        <w:rPr>
          <w:rFonts w:asciiTheme="majorBidi" w:hAnsiTheme="majorBidi" w:cstheme="majorBidi"/>
        </w:rPr>
      </w:pPr>
    </w:p>
    <w:p w14:paraId="64C79874" w14:textId="77777777" w:rsidR="00BC6AA0" w:rsidRPr="007527B3" w:rsidRDefault="00BC6AA0" w:rsidP="007527B3">
      <w:pPr>
        <w:bidi w:val="0"/>
        <w:jc w:val="both"/>
        <w:rPr>
          <w:rFonts w:asciiTheme="majorBidi" w:hAnsiTheme="majorBidi" w:cstheme="majorBidi"/>
        </w:rPr>
      </w:pPr>
      <w:r w:rsidRPr="007527B3">
        <w:rPr>
          <w:rFonts w:asciiTheme="majorBidi" w:hAnsiTheme="majorBidi" w:cstheme="majorBidi"/>
        </w:rPr>
        <w:t>As was done in the past, in accordance with principles of clearing out and allocating identification codes, an identification code that has not been used</w:t>
      </w:r>
      <w:r w:rsidRPr="007527B3">
        <w:rPr>
          <w:rFonts w:asciiTheme="majorBidi" w:hAnsiTheme="majorBidi" w:cstheme="majorBidi"/>
          <w:b/>
          <w:bCs/>
        </w:rPr>
        <w:t xml:space="preserve"> </w:t>
      </w:r>
      <w:r w:rsidR="004138D0" w:rsidRPr="007527B3">
        <w:rPr>
          <w:rFonts w:asciiTheme="majorBidi" w:hAnsiTheme="majorBidi" w:cstheme="majorBidi"/>
          <w:b/>
          <w:bCs/>
        </w:rPr>
        <w:t>in</w:t>
      </w:r>
      <w:r w:rsidR="004138D0" w:rsidRPr="007527B3">
        <w:rPr>
          <w:rFonts w:asciiTheme="majorBidi" w:hAnsiTheme="majorBidi" w:cstheme="majorBidi"/>
        </w:rPr>
        <w:t xml:space="preserve"> </w:t>
      </w:r>
      <w:r w:rsidRPr="007527B3">
        <w:rPr>
          <w:rFonts w:asciiTheme="majorBidi" w:hAnsiTheme="majorBidi" w:cstheme="majorBidi"/>
          <w:b/>
          <w:bCs/>
        </w:rPr>
        <w:t xml:space="preserve">the </w:t>
      </w:r>
      <w:r w:rsidR="004138D0" w:rsidRPr="007527B3">
        <w:rPr>
          <w:rFonts w:asciiTheme="majorBidi" w:hAnsiTheme="majorBidi" w:cstheme="majorBidi"/>
          <w:b/>
          <w:bCs/>
        </w:rPr>
        <w:t xml:space="preserve">past </w:t>
      </w:r>
      <w:r w:rsidRPr="007527B3">
        <w:rPr>
          <w:rFonts w:asciiTheme="majorBidi" w:hAnsiTheme="majorBidi" w:cstheme="majorBidi"/>
          <w:b/>
          <w:bCs/>
        </w:rPr>
        <w:t>7 years</w:t>
      </w:r>
      <w:r w:rsidRPr="007527B3">
        <w:rPr>
          <w:rFonts w:asciiTheme="majorBidi" w:hAnsiTheme="majorBidi" w:cstheme="majorBidi"/>
        </w:rPr>
        <w:t xml:space="preserve"> in the controlled payment systems in Israel, may be cleared out.</w:t>
      </w:r>
    </w:p>
    <w:p w14:paraId="58308E81" w14:textId="77777777" w:rsidR="000D6DC7" w:rsidRPr="007527B3" w:rsidRDefault="000D6DC7" w:rsidP="007527B3">
      <w:pPr>
        <w:bidi w:val="0"/>
        <w:jc w:val="both"/>
        <w:rPr>
          <w:rFonts w:asciiTheme="majorBidi" w:hAnsiTheme="majorBidi" w:cstheme="majorBidi"/>
        </w:rPr>
      </w:pPr>
    </w:p>
    <w:p w14:paraId="59D7C813" w14:textId="77777777" w:rsidR="000D6DC7" w:rsidRPr="007527B3" w:rsidRDefault="000D6DC7" w:rsidP="007527B3">
      <w:pPr>
        <w:bidi w:val="0"/>
        <w:jc w:val="both"/>
        <w:rPr>
          <w:rFonts w:asciiTheme="majorBidi" w:hAnsiTheme="majorBidi" w:cstheme="majorBidi"/>
        </w:rPr>
      </w:pPr>
      <w:r w:rsidRPr="007527B3">
        <w:rPr>
          <w:rFonts w:asciiTheme="majorBidi" w:hAnsiTheme="majorBidi" w:cstheme="majorBidi"/>
          <w:b/>
          <w:bCs/>
        </w:rPr>
        <w:t>It is clarified</w:t>
      </w:r>
      <w:r w:rsidRPr="007527B3">
        <w:rPr>
          <w:rFonts w:asciiTheme="majorBidi" w:hAnsiTheme="majorBidi" w:cstheme="majorBidi"/>
        </w:rPr>
        <w:t xml:space="preserve"> that such use is the execution of a payment instruction</w:t>
      </w:r>
      <w:r w:rsidR="006E584B" w:rsidRPr="007527B3">
        <w:rPr>
          <w:rFonts w:asciiTheme="majorBidi" w:hAnsiTheme="majorBidi" w:cstheme="majorBidi"/>
        </w:rPr>
        <w:t>,</w:t>
      </w:r>
      <w:r w:rsidRPr="007527B3">
        <w:rPr>
          <w:rFonts w:asciiTheme="majorBidi" w:hAnsiTheme="majorBidi" w:cstheme="majorBidi"/>
        </w:rPr>
        <w:t xml:space="preserve"> in which </w:t>
      </w:r>
      <w:r w:rsidR="006E584B" w:rsidRPr="007527B3">
        <w:rPr>
          <w:rFonts w:asciiTheme="majorBidi" w:hAnsiTheme="majorBidi" w:cstheme="majorBidi"/>
        </w:rPr>
        <w:t xml:space="preserve">one of the sides was a </w:t>
      </w:r>
      <w:r w:rsidRPr="007527B3">
        <w:rPr>
          <w:rFonts w:asciiTheme="majorBidi" w:hAnsiTheme="majorBidi" w:cstheme="majorBidi"/>
        </w:rPr>
        <w:t>participa</w:t>
      </w:r>
      <w:r w:rsidR="006E584B" w:rsidRPr="007527B3">
        <w:rPr>
          <w:rFonts w:asciiTheme="majorBidi" w:hAnsiTheme="majorBidi" w:cstheme="majorBidi"/>
        </w:rPr>
        <w:t>n</w:t>
      </w:r>
      <w:r w:rsidRPr="007527B3">
        <w:rPr>
          <w:rFonts w:asciiTheme="majorBidi" w:hAnsiTheme="majorBidi" w:cstheme="majorBidi"/>
        </w:rPr>
        <w:t>t</w:t>
      </w:r>
      <w:r w:rsidR="006E584B" w:rsidRPr="007527B3">
        <w:rPr>
          <w:rFonts w:asciiTheme="majorBidi" w:hAnsiTheme="majorBidi" w:cstheme="majorBidi"/>
        </w:rPr>
        <w:t xml:space="preserve"> that had been </w:t>
      </w:r>
      <w:r w:rsidRPr="007527B3">
        <w:rPr>
          <w:rFonts w:asciiTheme="majorBidi" w:hAnsiTheme="majorBidi" w:cstheme="majorBidi"/>
        </w:rPr>
        <w:t>assigned</w:t>
      </w:r>
      <w:r w:rsidR="006E584B" w:rsidRPr="007527B3">
        <w:rPr>
          <w:rFonts w:asciiTheme="majorBidi" w:hAnsiTheme="majorBidi" w:cstheme="majorBidi"/>
        </w:rPr>
        <w:t xml:space="preserve"> an identification code</w:t>
      </w:r>
      <w:r w:rsidRPr="007527B3">
        <w:rPr>
          <w:rFonts w:asciiTheme="majorBidi" w:hAnsiTheme="majorBidi" w:cstheme="majorBidi"/>
        </w:rPr>
        <w:t xml:space="preserve">. </w:t>
      </w:r>
      <w:r w:rsidR="006E584B" w:rsidRPr="007527B3">
        <w:rPr>
          <w:rFonts w:asciiTheme="majorBidi" w:hAnsiTheme="majorBidi" w:cstheme="majorBidi"/>
        </w:rPr>
        <w:t>I</w:t>
      </w:r>
      <w:r w:rsidRPr="007527B3">
        <w:rPr>
          <w:rFonts w:asciiTheme="majorBidi" w:hAnsiTheme="majorBidi" w:cstheme="majorBidi"/>
        </w:rPr>
        <w:t xml:space="preserve">n line with </w:t>
      </w:r>
      <w:r w:rsidRPr="007527B3">
        <w:rPr>
          <w:rFonts w:asciiTheme="majorBidi" w:hAnsiTheme="majorBidi" w:cstheme="majorBidi"/>
        </w:rPr>
        <w:lastRenderedPageBreak/>
        <w:t>the policy, a list was compiled of codes that are in use and those that are designated for being cleared out—see Table 2</w:t>
      </w:r>
      <w:r w:rsidR="006E584B" w:rsidRPr="007527B3">
        <w:rPr>
          <w:rFonts w:asciiTheme="majorBidi" w:hAnsiTheme="majorBidi" w:cstheme="majorBidi"/>
        </w:rPr>
        <w:t xml:space="preserve"> for </w:t>
      </w:r>
      <w:r w:rsidRPr="007527B3">
        <w:rPr>
          <w:rFonts w:asciiTheme="majorBidi" w:hAnsiTheme="majorBidi" w:cstheme="majorBidi"/>
        </w:rPr>
        <w:t>the list of identification codes.</w:t>
      </w:r>
    </w:p>
    <w:p w14:paraId="4623593E" w14:textId="77777777" w:rsidR="00F15D72" w:rsidRPr="007527B3" w:rsidRDefault="00F15D72" w:rsidP="007527B3">
      <w:pPr>
        <w:bidi w:val="0"/>
        <w:jc w:val="both"/>
        <w:rPr>
          <w:rFonts w:asciiTheme="majorBidi" w:hAnsiTheme="majorBidi" w:cstheme="majorBidi"/>
        </w:rPr>
      </w:pPr>
    </w:p>
    <w:p w14:paraId="55237F48" w14:textId="3DB0AC8D" w:rsidR="00AC2FC3" w:rsidRPr="007527B3" w:rsidRDefault="002B1B25" w:rsidP="007135E9">
      <w:pPr>
        <w:bidi w:val="0"/>
        <w:jc w:val="both"/>
        <w:rPr>
          <w:rFonts w:asciiTheme="majorBidi" w:hAnsiTheme="majorBidi" w:cstheme="majorBidi"/>
        </w:rPr>
      </w:pPr>
      <w:r w:rsidRPr="007527B3">
        <w:rPr>
          <w:rFonts w:asciiTheme="majorBidi" w:hAnsiTheme="majorBidi" w:cstheme="majorBidi"/>
        </w:rPr>
        <w:t>The Bank of Israel will allow entities interested in commenting on the list of identif</w:t>
      </w:r>
      <w:r w:rsidR="006E584B" w:rsidRPr="007527B3">
        <w:rPr>
          <w:rFonts w:asciiTheme="majorBidi" w:hAnsiTheme="majorBidi" w:cstheme="majorBidi"/>
        </w:rPr>
        <w:t>ic</w:t>
      </w:r>
      <w:r w:rsidRPr="007527B3">
        <w:rPr>
          <w:rFonts w:asciiTheme="majorBidi" w:hAnsiTheme="majorBidi" w:cstheme="majorBidi"/>
        </w:rPr>
        <w:t>a</w:t>
      </w:r>
      <w:r w:rsidR="006E584B" w:rsidRPr="007527B3">
        <w:rPr>
          <w:rFonts w:asciiTheme="majorBidi" w:hAnsiTheme="majorBidi" w:cstheme="majorBidi"/>
        </w:rPr>
        <w:t>t</w:t>
      </w:r>
      <w:r w:rsidRPr="007527B3">
        <w:rPr>
          <w:rFonts w:asciiTheme="majorBidi" w:hAnsiTheme="majorBidi" w:cstheme="majorBidi"/>
        </w:rPr>
        <w:t xml:space="preserve">ion codes designated to be cleared out, </w:t>
      </w:r>
      <w:r w:rsidR="00381020" w:rsidRPr="007527B3">
        <w:rPr>
          <w:rFonts w:asciiTheme="majorBidi" w:hAnsiTheme="majorBidi" w:cstheme="majorBidi"/>
        </w:rPr>
        <w:t xml:space="preserve">as detailed </w:t>
      </w:r>
      <w:r w:rsidR="00381020" w:rsidRPr="004A4114">
        <w:rPr>
          <w:rFonts w:asciiTheme="majorBidi" w:hAnsiTheme="majorBidi" w:cstheme="majorBidi"/>
        </w:rPr>
        <w:t xml:space="preserve">in </w:t>
      </w:r>
      <w:r w:rsidR="003A2D90">
        <w:rPr>
          <w:rFonts w:asciiTheme="majorBidi" w:hAnsiTheme="majorBidi" w:cstheme="majorBidi"/>
        </w:rPr>
        <w:t xml:space="preserve">Table 2 </w:t>
      </w:r>
      <w:r w:rsidR="00381020" w:rsidRPr="004A4114">
        <w:rPr>
          <w:rFonts w:asciiTheme="majorBidi" w:hAnsiTheme="majorBidi" w:cstheme="majorBidi"/>
        </w:rPr>
        <w:t xml:space="preserve">below, </w:t>
      </w:r>
      <w:r w:rsidRPr="004A4114">
        <w:rPr>
          <w:rFonts w:asciiTheme="majorBidi" w:hAnsiTheme="majorBidi" w:cstheme="majorBidi"/>
        </w:rPr>
        <w:t>to</w:t>
      </w:r>
      <w:r w:rsidRPr="007527B3">
        <w:rPr>
          <w:rFonts w:asciiTheme="majorBidi" w:hAnsiTheme="majorBidi" w:cstheme="majorBidi"/>
        </w:rPr>
        <w:t xml:space="preserve"> do</w:t>
      </w:r>
      <w:r w:rsidR="00381020" w:rsidRPr="007527B3">
        <w:rPr>
          <w:rFonts w:asciiTheme="majorBidi" w:hAnsiTheme="majorBidi" w:cstheme="majorBidi"/>
        </w:rPr>
        <w:t xml:space="preserve"> </w:t>
      </w:r>
      <w:r w:rsidRPr="007527B3">
        <w:rPr>
          <w:rFonts w:asciiTheme="majorBidi" w:hAnsiTheme="majorBidi" w:cstheme="majorBidi"/>
        </w:rPr>
        <w:t xml:space="preserve">so in writing, until September 8, 2024, at </w:t>
      </w:r>
      <w:r w:rsidRPr="004A4114">
        <w:rPr>
          <w:rFonts w:asciiTheme="majorBidi" w:hAnsiTheme="majorBidi" w:cstheme="majorBidi"/>
        </w:rPr>
        <w:t xml:space="preserve">email </w:t>
      </w:r>
      <w:hyperlink r:id="rId10" w:history="1">
        <w:r w:rsidR="007135E9">
          <w:rPr>
            <w:rStyle w:val="Hyperlink"/>
            <w:rFonts w:hint="cs"/>
          </w:rPr>
          <w:t>Payments-oversight@boi.org.il</w:t>
        </w:r>
      </w:hyperlink>
      <w:r w:rsidRPr="004A4114">
        <w:rPr>
          <w:rFonts w:asciiTheme="majorBidi" w:hAnsiTheme="majorBidi" w:cstheme="majorBidi"/>
        </w:rPr>
        <w:t>.</w:t>
      </w:r>
    </w:p>
    <w:p w14:paraId="4DD6CC3D" w14:textId="77777777" w:rsidR="00AC2FC3" w:rsidRPr="007527B3" w:rsidRDefault="00AC2FC3" w:rsidP="007527B3">
      <w:pPr>
        <w:bidi w:val="0"/>
        <w:jc w:val="both"/>
        <w:rPr>
          <w:rFonts w:asciiTheme="majorBidi" w:hAnsiTheme="majorBidi" w:cstheme="majorBidi"/>
        </w:rPr>
      </w:pPr>
    </w:p>
    <w:p w14:paraId="44662D41" w14:textId="77777777" w:rsidR="002B1B25" w:rsidRPr="007527B3" w:rsidRDefault="002B1B25" w:rsidP="007527B3">
      <w:pPr>
        <w:bidi w:val="0"/>
        <w:jc w:val="both"/>
        <w:rPr>
          <w:rFonts w:asciiTheme="majorBidi" w:hAnsiTheme="majorBidi" w:cstheme="majorBidi"/>
          <w:b/>
          <w:bCs/>
        </w:rPr>
      </w:pPr>
      <w:r w:rsidRPr="007527B3">
        <w:rPr>
          <w:rFonts w:asciiTheme="majorBidi" w:hAnsiTheme="majorBidi" w:cstheme="majorBidi"/>
          <w:b/>
          <w:bCs/>
        </w:rPr>
        <w:t xml:space="preserve">Table 2: </w:t>
      </w:r>
      <w:r w:rsidR="007527B3" w:rsidRPr="007527B3">
        <w:rPr>
          <w:rFonts w:asciiTheme="majorBidi" w:hAnsiTheme="majorBidi" w:cstheme="majorBidi"/>
          <w:b/>
          <w:bCs/>
        </w:rPr>
        <w:t>I</w:t>
      </w:r>
      <w:r w:rsidRPr="007527B3">
        <w:rPr>
          <w:rFonts w:asciiTheme="majorBidi" w:hAnsiTheme="majorBidi" w:cstheme="majorBidi"/>
          <w:b/>
          <w:bCs/>
        </w:rPr>
        <w:t xml:space="preserve">dentification codes designated to </w:t>
      </w:r>
      <w:r w:rsidR="007527B3">
        <w:rPr>
          <w:rFonts w:asciiTheme="majorBidi" w:hAnsiTheme="majorBidi" w:cstheme="majorBidi"/>
          <w:b/>
          <w:bCs/>
        </w:rPr>
        <w:t>be cleared out</w:t>
      </w:r>
    </w:p>
    <w:p w14:paraId="1EE30270" w14:textId="77777777" w:rsidR="002B1B25" w:rsidRPr="007527B3" w:rsidRDefault="002B1B25" w:rsidP="007527B3">
      <w:pPr>
        <w:bidi w:val="0"/>
        <w:jc w:val="both"/>
        <w:rPr>
          <w:rFonts w:asciiTheme="majorBidi" w:hAnsiTheme="majorBidi" w:cstheme="majorBidi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0"/>
      </w:tblGrid>
      <w:tr w:rsidR="002B1B25" w:rsidRPr="007527B3" w14:paraId="2E1841B6" w14:textId="77777777" w:rsidTr="007527B3">
        <w:tc>
          <w:tcPr>
            <w:tcW w:w="2250" w:type="dxa"/>
          </w:tcPr>
          <w:p w14:paraId="05E144C7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527B3">
              <w:rPr>
                <w:rFonts w:asciiTheme="majorBidi" w:hAnsiTheme="majorBidi" w:cstheme="majorBidi"/>
                <w:b/>
                <w:bCs/>
              </w:rPr>
              <w:t>Identification code</w:t>
            </w:r>
          </w:p>
        </w:tc>
      </w:tr>
      <w:tr w:rsidR="002B1B25" w:rsidRPr="007527B3" w14:paraId="05A331F7" w14:textId="77777777" w:rsidTr="007527B3">
        <w:tc>
          <w:tcPr>
            <w:tcW w:w="2250" w:type="dxa"/>
          </w:tcPr>
          <w:p w14:paraId="739DBE87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2</w:t>
            </w:r>
          </w:p>
        </w:tc>
      </w:tr>
      <w:tr w:rsidR="002B1B25" w:rsidRPr="007527B3" w14:paraId="5315C883" w14:textId="77777777" w:rsidTr="007527B3">
        <w:tc>
          <w:tcPr>
            <w:tcW w:w="2250" w:type="dxa"/>
          </w:tcPr>
          <w:p w14:paraId="60C07A04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8</w:t>
            </w:r>
          </w:p>
        </w:tc>
      </w:tr>
      <w:tr w:rsidR="002B1B25" w:rsidRPr="007527B3" w14:paraId="545D9D0F" w14:textId="77777777" w:rsidTr="007527B3">
        <w:tc>
          <w:tcPr>
            <w:tcW w:w="2250" w:type="dxa"/>
          </w:tcPr>
          <w:p w14:paraId="05BA3A5C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24</w:t>
            </w:r>
          </w:p>
        </w:tc>
      </w:tr>
      <w:tr w:rsidR="002B1B25" w:rsidRPr="007527B3" w14:paraId="2B5FBACC" w14:textId="77777777" w:rsidTr="007527B3">
        <w:tc>
          <w:tcPr>
            <w:tcW w:w="2250" w:type="dxa"/>
          </w:tcPr>
          <w:p w14:paraId="265F26C9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26</w:t>
            </w:r>
          </w:p>
        </w:tc>
      </w:tr>
      <w:tr w:rsidR="002B1B25" w:rsidRPr="007527B3" w14:paraId="69B38336" w14:textId="77777777" w:rsidTr="007527B3">
        <w:tc>
          <w:tcPr>
            <w:tcW w:w="2250" w:type="dxa"/>
          </w:tcPr>
          <w:p w14:paraId="128DEC6B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28</w:t>
            </w:r>
          </w:p>
        </w:tc>
      </w:tr>
      <w:tr w:rsidR="002B1B25" w:rsidRPr="007527B3" w14:paraId="50E0B9E6" w14:textId="77777777" w:rsidTr="007527B3">
        <w:tc>
          <w:tcPr>
            <w:tcW w:w="2250" w:type="dxa"/>
          </w:tcPr>
          <w:p w14:paraId="26BD8D41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32</w:t>
            </w:r>
          </w:p>
        </w:tc>
      </w:tr>
      <w:tr w:rsidR="002B1B25" w:rsidRPr="007527B3" w14:paraId="71FF5ADC" w14:textId="77777777" w:rsidTr="007527B3">
        <w:tc>
          <w:tcPr>
            <w:tcW w:w="2250" w:type="dxa"/>
          </w:tcPr>
          <w:p w14:paraId="58488ABD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33</w:t>
            </w:r>
          </w:p>
        </w:tc>
      </w:tr>
      <w:tr w:rsidR="002B1B25" w:rsidRPr="007527B3" w14:paraId="791FEF68" w14:textId="77777777" w:rsidTr="007527B3">
        <w:tc>
          <w:tcPr>
            <w:tcW w:w="2250" w:type="dxa"/>
          </w:tcPr>
          <w:p w14:paraId="6C4DA0D5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34</w:t>
            </w:r>
          </w:p>
        </w:tc>
      </w:tr>
      <w:tr w:rsidR="002B1B25" w:rsidRPr="007527B3" w14:paraId="2E4CFEEB" w14:textId="77777777" w:rsidTr="007527B3">
        <w:tc>
          <w:tcPr>
            <w:tcW w:w="2250" w:type="dxa"/>
          </w:tcPr>
          <w:p w14:paraId="59305580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48</w:t>
            </w:r>
          </w:p>
        </w:tc>
      </w:tr>
      <w:tr w:rsidR="002B1B25" w:rsidRPr="007527B3" w14:paraId="529D1DB1" w14:textId="77777777" w:rsidTr="007527B3">
        <w:tc>
          <w:tcPr>
            <w:tcW w:w="2250" w:type="dxa"/>
          </w:tcPr>
          <w:p w14:paraId="5ADC5B08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49</w:t>
            </w:r>
          </w:p>
        </w:tc>
      </w:tr>
      <w:tr w:rsidR="002B1B25" w:rsidRPr="007527B3" w14:paraId="525319FF" w14:textId="77777777" w:rsidTr="007527B3">
        <w:tc>
          <w:tcPr>
            <w:tcW w:w="2250" w:type="dxa"/>
          </w:tcPr>
          <w:p w14:paraId="7088FCB2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74</w:t>
            </w:r>
          </w:p>
        </w:tc>
      </w:tr>
      <w:tr w:rsidR="002B1B25" w:rsidRPr="007527B3" w14:paraId="347A8E19" w14:textId="77777777" w:rsidTr="007527B3">
        <w:tc>
          <w:tcPr>
            <w:tcW w:w="2250" w:type="dxa"/>
          </w:tcPr>
          <w:p w14:paraId="591923AD" w14:textId="77777777" w:rsidR="002B1B25" w:rsidRPr="007527B3" w:rsidRDefault="002B1B25" w:rsidP="007527B3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7527B3">
              <w:rPr>
                <w:rFonts w:asciiTheme="majorBidi" w:hAnsiTheme="majorBidi" w:cstheme="majorBidi"/>
              </w:rPr>
              <w:t>83</w:t>
            </w:r>
          </w:p>
        </w:tc>
      </w:tr>
    </w:tbl>
    <w:p w14:paraId="5CAA1E49" w14:textId="77777777" w:rsidR="002B1B25" w:rsidRPr="007527B3" w:rsidRDefault="007527B3" w:rsidP="007527B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textWrapping" w:clear="all"/>
      </w:r>
      <w:bookmarkEnd w:id="0"/>
    </w:p>
    <w:sectPr w:rsidR="002B1B25" w:rsidRPr="007527B3" w:rsidSect="00D114C9">
      <w:footerReference w:type="default" r:id="rId11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602D" w14:textId="77777777" w:rsidR="00933EF4" w:rsidRDefault="00933EF4" w:rsidP="00E64B36">
      <w:r>
        <w:separator/>
      </w:r>
    </w:p>
  </w:endnote>
  <w:endnote w:type="continuationSeparator" w:id="0">
    <w:p w14:paraId="25E64B2A" w14:textId="77777777" w:rsidR="00933EF4" w:rsidRDefault="00933EF4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2708" w14:textId="59C2017C" w:rsidR="00B96022" w:rsidRPr="00986270" w:rsidRDefault="00986270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B96022" w:rsidRPr="00CD0A35">
      <w:rPr>
        <w:b/>
        <w:bCs/>
        <w:sz w:val="18"/>
        <w:szCs w:val="18"/>
      </w:rPr>
      <w:fldChar w:fldCharType="separate"/>
    </w:r>
    <w:r w:rsidR="00AA1F7F">
      <w:rPr>
        <w:b/>
        <w:bCs/>
        <w:noProof/>
        <w:sz w:val="18"/>
        <w:szCs w:val="18"/>
      </w:rPr>
      <w:t>2</w:t>
    </w:r>
    <w:r w:rsidR="00B96022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B96022" w:rsidRPr="00CD0A35">
      <w:rPr>
        <w:b/>
        <w:bCs/>
        <w:sz w:val="18"/>
        <w:szCs w:val="18"/>
      </w:rPr>
      <w:fldChar w:fldCharType="separate"/>
    </w:r>
    <w:r w:rsidR="00AA1F7F">
      <w:rPr>
        <w:b/>
        <w:bCs/>
        <w:noProof/>
        <w:sz w:val="18"/>
        <w:szCs w:val="18"/>
      </w:rPr>
      <w:t>2</w:t>
    </w:r>
    <w:r w:rsidR="00B96022" w:rsidRPr="00CD0A3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933F1" w14:textId="77777777" w:rsidR="00933EF4" w:rsidRDefault="00933EF4" w:rsidP="00E64B36">
      <w:r>
        <w:separator/>
      </w:r>
    </w:p>
  </w:footnote>
  <w:footnote w:type="continuationSeparator" w:id="0">
    <w:p w14:paraId="460F7517" w14:textId="77777777" w:rsidR="00933EF4" w:rsidRDefault="00933EF4" w:rsidP="00E6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6319A"/>
    <w:multiLevelType w:val="hybridMultilevel"/>
    <w:tmpl w:val="5914AA0A"/>
    <w:lvl w:ilvl="0" w:tplc="F7A0358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3373"/>
    <w:rsid w:val="00007FFE"/>
    <w:rsid w:val="0001385E"/>
    <w:rsid w:val="0001413F"/>
    <w:rsid w:val="00022DA8"/>
    <w:rsid w:val="00033569"/>
    <w:rsid w:val="00051247"/>
    <w:rsid w:val="000526A0"/>
    <w:rsid w:val="0005726E"/>
    <w:rsid w:val="00065D9C"/>
    <w:rsid w:val="000A520E"/>
    <w:rsid w:val="000A7388"/>
    <w:rsid w:val="000C710C"/>
    <w:rsid w:val="000D4E65"/>
    <w:rsid w:val="000D6DC7"/>
    <w:rsid w:val="000F48F6"/>
    <w:rsid w:val="000F4BF2"/>
    <w:rsid w:val="001001A2"/>
    <w:rsid w:val="00101B55"/>
    <w:rsid w:val="00104F7B"/>
    <w:rsid w:val="00130245"/>
    <w:rsid w:val="001428C4"/>
    <w:rsid w:val="00143F3A"/>
    <w:rsid w:val="00151D84"/>
    <w:rsid w:val="00160B25"/>
    <w:rsid w:val="00162F5E"/>
    <w:rsid w:val="00165CB6"/>
    <w:rsid w:val="00175CDA"/>
    <w:rsid w:val="001815E1"/>
    <w:rsid w:val="0018271F"/>
    <w:rsid w:val="00182CF0"/>
    <w:rsid w:val="001963C6"/>
    <w:rsid w:val="001A4816"/>
    <w:rsid w:val="001B4E73"/>
    <w:rsid w:val="001B5A5F"/>
    <w:rsid w:val="001C1BC1"/>
    <w:rsid w:val="001C388F"/>
    <w:rsid w:val="001C71E8"/>
    <w:rsid w:val="001D381C"/>
    <w:rsid w:val="001F57DE"/>
    <w:rsid w:val="00202E77"/>
    <w:rsid w:val="002117DC"/>
    <w:rsid w:val="0021327F"/>
    <w:rsid w:val="002235F5"/>
    <w:rsid w:val="002271A2"/>
    <w:rsid w:val="00237CE5"/>
    <w:rsid w:val="00247387"/>
    <w:rsid w:val="00252C62"/>
    <w:rsid w:val="00273AE1"/>
    <w:rsid w:val="00281C70"/>
    <w:rsid w:val="00283FB7"/>
    <w:rsid w:val="0029640A"/>
    <w:rsid w:val="00297100"/>
    <w:rsid w:val="002A0D2A"/>
    <w:rsid w:val="002B1B25"/>
    <w:rsid w:val="002B48CC"/>
    <w:rsid w:val="002C6A25"/>
    <w:rsid w:val="002F4149"/>
    <w:rsid w:val="002F7EEF"/>
    <w:rsid w:val="0030279B"/>
    <w:rsid w:val="0031224E"/>
    <w:rsid w:val="003129D6"/>
    <w:rsid w:val="003136EE"/>
    <w:rsid w:val="00321832"/>
    <w:rsid w:val="00322C28"/>
    <w:rsid w:val="003276ED"/>
    <w:rsid w:val="003365E0"/>
    <w:rsid w:val="00344E60"/>
    <w:rsid w:val="00360B5C"/>
    <w:rsid w:val="00364AF8"/>
    <w:rsid w:val="00364C08"/>
    <w:rsid w:val="00371527"/>
    <w:rsid w:val="003727EE"/>
    <w:rsid w:val="003772AF"/>
    <w:rsid w:val="00381020"/>
    <w:rsid w:val="00385CB3"/>
    <w:rsid w:val="00387840"/>
    <w:rsid w:val="0039059D"/>
    <w:rsid w:val="00390CA5"/>
    <w:rsid w:val="003A1AC9"/>
    <w:rsid w:val="003A2D90"/>
    <w:rsid w:val="003A335C"/>
    <w:rsid w:val="003A3813"/>
    <w:rsid w:val="003B4DD7"/>
    <w:rsid w:val="003B715F"/>
    <w:rsid w:val="003B7DC3"/>
    <w:rsid w:val="003C7815"/>
    <w:rsid w:val="003D6F31"/>
    <w:rsid w:val="003D7860"/>
    <w:rsid w:val="003D7BF1"/>
    <w:rsid w:val="003E3F4C"/>
    <w:rsid w:val="003F745D"/>
    <w:rsid w:val="00401395"/>
    <w:rsid w:val="004033B8"/>
    <w:rsid w:val="00403D99"/>
    <w:rsid w:val="00411BA4"/>
    <w:rsid w:val="00412846"/>
    <w:rsid w:val="00413339"/>
    <w:rsid w:val="004138D0"/>
    <w:rsid w:val="004147FC"/>
    <w:rsid w:val="00420447"/>
    <w:rsid w:val="0042309E"/>
    <w:rsid w:val="00430365"/>
    <w:rsid w:val="004309C6"/>
    <w:rsid w:val="00443044"/>
    <w:rsid w:val="00445B15"/>
    <w:rsid w:val="00447E5A"/>
    <w:rsid w:val="0046455D"/>
    <w:rsid w:val="0046672E"/>
    <w:rsid w:val="00474107"/>
    <w:rsid w:val="00482E08"/>
    <w:rsid w:val="00492391"/>
    <w:rsid w:val="004A20A5"/>
    <w:rsid w:val="004A4114"/>
    <w:rsid w:val="004D02F4"/>
    <w:rsid w:val="004D32A7"/>
    <w:rsid w:val="004D5D6F"/>
    <w:rsid w:val="004E25DD"/>
    <w:rsid w:val="004E4AEC"/>
    <w:rsid w:val="004F4341"/>
    <w:rsid w:val="0050183E"/>
    <w:rsid w:val="00513B3C"/>
    <w:rsid w:val="00515F66"/>
    <w:rsid w:val="005165DB"/>
    <w:rsid w:val="005221FC"/>
    <w:rsid w:val="005406F8"/>
    <w:rsid w:val="00540B03"/>
    <w:rsid w:val="00545656"/>
    <w:rsid w:val="005462D0"/>
    <w:rsid w:val="0055455A"/>
    <w:rsid w:val="00555C8A"/>
    <w:rsid w:val="005576E1"/>
    <w:rsid w:val="00566FAC"/>
    <w:rsid w:val="00567733"/>
    <w:rsid w:val="005713A8"/>
    <w:rsid w:val="00583DAD"/>
    <w:rsid w:val="0059277F"/>
    <w:rsid w:val="00592A99"/>
    <w:rsid w:val="00596FB4"/>
    <w:rsid w:val="00597EED"/>
    <w:rsid w:val="005A2991"/>
    <w:rsid w:val="005D0AF8"/>
    <w:rsid w:val="005F3A83"/>
    <w:rsid w:val="005F3E47"/>
    <w:rsid w:val="0060215A"/>
    <w:rsid w:val="0061692C"/>
    <w:rsid w:val="006216F9"/>
    <w:rsid w:val="00621BB5"/>
    <w:rsid w:val="0062658F"/>
    <w:rsid w:val="00640EEA"/>
    <w:rsid w:val="0064482B"/>
    <w:rsid w:val="00652D53"/>
    <w:rsid w:val="00662FB1"/>
    <w:rsid w:val="0067516F"/>
    <w:rsid w:val="006832D0"/>
    <w:rsid w:val="006A36CC"/>
    <w:rsid w:val="006A66C5"/>
    <w:rsid w:val="006B029C"/>
    <w:rsid w:val="006B4683"/>
    <w:rsid w:val="006B5BA9"/>
    <w:rsid w:val="006B679C"/>
    <w:rsid w:val="006C714C"/>
    <w:rsid w:val="006D3582"/>
    <w:rsid w:val="006D7651"/>
    <w:rsid w:val="006E1B6A"/>
    <w:rsid w:val="006E584B"/>
    <w:rsid w:val="0070010B"/>
    <w:rsid w:val="0070029F"/>
    <w:rsid w:val="00701734"/>
    <w:rsid w:val="00706009"/>
    <w:rsid w:val="007135E9"/>
    <w:rsid w:val="00721560"/>
    <w:rsid w:val="00726036"/>
    <w:rsid w:val="0074341E"/>
    <w:rsid w:val="00751F08"/>
    <w:rsid w:val="007527B3"/>
    <w:rsid w:val="00760371"/>
    <w:rsid w:val="007666A8"/>
    <w:rsid w:val="00776535"/>
    <w:rsid w:val="007806C5"/>
    <w:rsid w:val="00786563"/>
    <w:rsid w:val="00787142"/>
    <w:rsid w:val="007926C7"/>
    <w:rsid w:val="00793399"/>
    <w:rsid w:val="007A2030"/>
    <w:rsid w:val="007A589B"/>
    <w:rsid w:val="007A64CC"/>
    <w:rsid w:val="007B2769"/>
    <w:rsid w:val="007C6400"/>
    <w:rsid w:val="007D57EE"/>
    <w:rsid w:val="007E0C1F"/>
    <w:rsid w:val="007E1CB3"/>
    <w:rsid w:val="007F7993"/>
    <w:rsid w:val="0081026B"/>
    <w:rsid w:val="00830099"/>
    <w:rsid w:val="008403F1"/>
    <w:rsid w:val="00842057"/>
    <w:rsid w:val="00842BAF"/>
    <w:rsid w:val="0086005B"/>
    <w:rsid w:val="008631FE"/>
    <w:rsid w:val="00864C55"/>
    <w:rsid w:val="0086541B"/>
    <w:rsid w:val="0086637C"/>
    <w:rsid w:val="00884167"/>
    <w:rsid w:val="008914B1"/>
    <w:rsid w:val="00892A46"/>
    <w:rsid w:val="008A7212"/>
    <w:rsid w:val="008B2431"/>
    <w:rsid w:val="008B257A"/>
    <w:rsid w:val="008C082F"/>
    <w:rsid w:val="008C366C"/>
    <w:rsid w:val="008D390B"/>
    <w:rsid w:val="008D6FB6"/>
    <w:rsid w:val="008E38F1"/>
    <w:rsid w:val="008E4D8E"/>
    <w:rsid w:val="008F17A3"/>
    <w:rsid w:val="008F1FCF"/>
    <w:rsid w:val="00900453"/>
    <w:rsid w:val="00904100"/>
    <w:rsid w:val="0090462E"/>
    <w:rsid w:val="00905463"/>
    <w:rsid w:val="0091307F"/>
    <w:rsid w:val="00933EF4"/>
    <w:rsid w:val="0093574D"/>
    <w:rsid w:val="0096177B"/>
    <w:rsid w:val="00961BD6"/>
    <w:rsid w:val="0097278E"/>
    <w:rsid w:val="009744A0"/>
    <w:rsid w:val="00976781"/>
    <w:rsid w:val="00986270"/>
    <w:rsid w:val="009B166B"/>
    <w:rsid w:val="009B66C8"/>
    <w:rsid w:val="009C21B3"/>
    <w:rsid w:val="009C2C42"/>
    <w:rsid w:val="009E3D4E"/>
    <w:rsid w:val="009E6A28"/>
    <w:rsid w:val="009F010F"/>
    <w:rsid w:val="009F3FB7"/>
    <w:rsid w:val="00A117D2"/>
    <w:rsid w:val="00A17420"/>
    <w:rsid w:val="00A239A7"/>
    <w:rsid w:val="00A3549C"/>
    <w:rsid w:val="00A374AC"/>
    <w:rsid w:val="00A37869"/>
    <w:rsid w:val="00A44A88"/>
    <w:rsid w:val="00A72122"/>
    <w:rsid w:val="00A74752"/>
    <w:rsid w:val="00A749E1"/>
    <w:rsid w:val="00A81B6C"/>
    <w:rsid w:val="00A94775"/>
    <w:rsid w:val="00A962CF"/>
    <w:rsid w:val="00AA1F7F"/>
    <w:rsid w:val="00AB75B4"/>
    <w:rsid w:val="00AC2FC3"/>
    <w:rsid w:val="00AC74EC"/>
    <w:rsid w:val="00AD7CC8"/>
    <w:rsid w:val="00AE6E25"/>
    <w:rsid w:val="00AF6B3A"/>
    <w:rsid w:val="00B054AD"/>
    <w:rsid w:val="00B108AE"/>
    <w:rsid w:val="00B13C9D"/>
    <w:rsid w:val="00B2426C"/>
    <w:rsid w:val="00B40E49"/>
    <w:rsid w:val="00B533D5"/>
    <w:rsid w:val="00B54F09"/>
    <w:rsid w:val="00B71972"/>
    <w:rsid w:val="00B81DA2"/>
    <w:rsid w:val="00B84789"/>
    <w:rsid w:val="00B85769"/>
    <w:rsid w:val="00B87F00"/>
    <w:rsid w:val="00B9176B"/>
    <w:rsid w:val="00B96022"/>
    <w:rsid w:val="00BA6DBF"/>
    <w:rsid w:val="00BC113A"/>
    <w:rsid w:val="00BC6AA0"/>
    <w:rsid w:val="00BC71FF"/>
    <w:rsid w:val="00BD0FFD"/>
    <w:rsid w:val="00BE27B4"/>
    <w:rsid w:val="00BE4CAF"/>
    <w:rsid w:val="00BE52BF"/>
    <w:rsid w:val="00C00BB8"/>
    <w:rsid w:val="00C02233"/>
    <w:rsid w:val="00C05BED"/>
    <w:rsid w:val="00C06B06"/>
    <w:rsid w:val="00C106C2"/>
    <w:rsid w:val="00C15121"/>
    <w:rsid w:val="00C171FF"/>
    <w:rsid w:val="00C21009"/>
    <w:rsid w:val="00C21363"/>
    <w:rsid w:val="00C2294B"/>
    <w:rsid w:val="00C27619"/>
    <w:rsid w:val="00C37129"/>
    <w:rsid w:val="00C47A56"/>
    <w:rsid w:val="00C52224"/>
    <w:rsid w:val="00C52FC2"/>
    <w:rsid w:val="00C5755A"/>
    <w:rsid w:val="00C67CE0"/>
    <w:rsid w:val="00C74F11"/>
    <w:rsid w:val="00C7643D"/>
    <w:rsid w:val="00C76E10"/>
    <w:rsid w:val="00CB5D78"/>
    <w:rsid w:val="00CC58F8"/>
    <w:rsid w:val="00CD0A35"/>
    <w:rsid w:val="00CD1EF0"/>
    <w:rsid w:val="00CD5F91"/>
    <w:rsid w:val="00CD6927"/>
    <w:rsid w:val="00CE0B40"/>
    <w:rsid w:val="00D040A2"/>
    <w:rsid w:val="00D114C9"/>
    <w:rsid w:val="00D13C47"/>
    <w:rsid w:val="00D21685"/>
    <w:rsid w:val="00D318A3"/>
    <w:rsid w:val="00D326DC"/>
    <w:rsid w:val="00D353EC"/>
    <w:rsid w:val="00D354E8"/>
    <w:rsid w:val="00D44122"/>
    <w:rsid w:val="00D44163"/>
    <w:rsid w:val="00D554DA"/>
    <w:rsid w:val="00D60BFC"/>
    <w:rsid w:val="00D60FF3"/>
    <w:rsid w:val="00D655F5"/>
    <w:rsid w:val="00D67C46"/>
    <w:rsid w:val="00D70591"/>
    <w:rsid w:val="00D75CFB"/>
    <w:rsid w:val="00D77847"/>
    <w:rsid w:val="00D907A2"/>
    <w:rsid w:val="00DA1108"/>
    <w:rsid w:val="00DA6116"/>
    <w:rsid w:val="00DD195D"/>
    <w:rsid w:val="00DD4976"/>
    <w:rsid w:val="00DE01A0"/>
    <w:rsid w:val="00DE0699"/>
    <w:rsid w:val="00DF4CC2"/>
    <w:rsid w:val="00DF6966"/>
    <w:rsid w:val="00E04222"/>
    <w:rsid w:val="00E0503C"/>
    <w:rsid w:val="00E1281F"/>
    <w:rsid w:val="00E16FFB"/>
    <w:rsid w:val="00E2493A"/>
    <w:rsid w:val="00E369B9"/>
    <w:rsid w:val="00E4365F"/>
    <w:rsid w:val="00E50F50"/>
    <w:rsid w:val="00E51E99"/>
    <w:rsid w:val="00E64B36"/>
    <w:rsid w:val="00E660F1"/>
    <w:rsid w:val="00E7204F"/>
    <w:rsid w:val="00E74DBF"/>
    <w:rsid w:val="00E8008F"/>
    <w:rsid w:val="00E8413B"/>
    <w:rsid w:val="00E85DB1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F1554"/>
    <w:rsid w:val="00EF1AC2"/>
    <w:rsid w:val="00F033FC"/>
    <w:rsid w:val="00F15D72"/>
    <w:rsid w:val="00F15E93"/>
    <w:rsid w:val="00F43E84"/>
    <w:rsid w:val="00F45181"/>
    <w:rsid w:val="00F45972"/>
    <w:rsid w:val="00F53236"/>
    <w:rsid w:val="00F56086"/>
    <w:rsid w:val="00F56917"/>
    <w:rsid w:val="00F576F6"/>
    <w:rsid w:val="00F806F6"/>
    <w:rsid w:val="00FA13BA"/>
    <w:rsid w:val="00FA4548"/>
    <w:rsid w:val="00FC2A6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1"/>
    <o:shapelayout v:ext="edit">
      <o:idmap v:ext="edit" data="1"/>
    </o:shapelayout>
  </w:shapeDefaults>
  <w:decimalSymbol w:val="."/>
  <w:listSeparator w:val=","/>
  <w14:docId w14:val="66563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S">
    <w:name w:val="PS"/>
    <w:basedOn w:val="a"/>
    <w:rsid w:val="00A3549C"/>
    <w:pPr>
      <w:bidi w:val="0"/>
      <w:ind w:firstLine="432"/>
    </w:pPr>
    <w:rPr>
      <w:szCs w:val="20"/>
      <w:lang w:bidi="ar-SA"/>
    </w:rPr>
  </w:style>
  <w:style w:type="character" w:styleId="ae">
    <w:name w:val="annotation reference"/>
    <w:basedOn w:val="a0"/>
    <w:semiHidden/>
    <w:unhideWhenUsed/>
    <w:rsid w:val="00B81DA2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B81DA2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B81DA2"/>
  </w:style>
  <w:style w:type="paragraph" w:styleId="af1">
    <w:name w:val="annotation subject"/>
    <w:basedOn w:val="af"/>
    <w:next w:val="af"/>
    <w:link w:val="af2"/>
    <w:semiHidden/>
    <w:unhideWhenUsed/>
    <w:rsid w:val="00B81DA2"/>
    <w:rPr>
      <w:b/>
      <w:bCs/>
    </w:rPr>
  </w:style>
  <w:style w:type="character" w:customStyle="1" w:styleId="af2">
    <w:name w:val="נושא הערה תו"/>
    <w:basedOn w:val="af0"/>
    <w:link w:val="af1"/>
    <w:semiHidden/>
    <w:rsid w:val="00B81DA2"/>
    <w:rPr>
      <w:b/>
      <w:bCs/>
    </w:rPr>
  </w:style>
  <w:style w:type="character" w:customStyle="1" w:styleId="ui-provider">
    <w:name w:val="ui-provider"/>
    <w:basedOn w:val="a0"/>
    <w:rsid w:val="00B8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yments-oversight@boi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yments-oversight@boi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BED3-6AE4-43EC-B3E8-878BD388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2308</Characters>
  <Application>Microsoft Office Word</Application>
  <DocSecurity>4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2738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2024-09-03T04:55:00Z</dcterms:created>
  <dcterms:modified xsi:type="dcterms:W3CDTF">2024-09-03T04:55:00Z</dcterms:modified>
</cp:coreProperties>
</file>