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Pr="00CC3572" w:rsidRDefault="00376976" w:rsidP="00CC3572">
      <w:pPr>
        <w:pStyle w:val="regpar"/>
        <w:tabs>
          <w:tab w:val="left" w:pos="2520"/>
        </w:tabs>
        <w:spacing w:line="300" w:lineRule="atLeast"/>
        <w:ind w:firstLine="0"/>
        <w:jc w:val="center"/>
        <w:rPr>
          <w:rFonts w:asciiTheme="majorBidi" w:hAnsiTheme="majorBidi" w:cstheme="majorBidi"/>
          <w:bCs/>
        </w:rPr>
      </w:pPr>
      <w:r w:rsidRPr="00CC3572">
        <w:rPr>
          <w:rFonts w:asciiTheme="majorBidi" w:hAnsiTheme="majorBidi" w:cstheme="majorBidi"/>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9336D8" w:rsidRDefault="00650B9A" w:rsidP="00CC3572">
      <w:pPr>
        <w:pStyle w:val="regpar"/>
        <w:tabs>
          <w:tab w:val="left" w:pos="2520"/>
        </w:tabs>
        <w:spacing w:line="300" w:lineRule="atLeast"/>
        <w:ind w:firstLine="0"/>
        <w:jc w:val="center"/>
        <w:rPr>
          <w:rFonts w:asciiTheme="majorBidi" w:hAnsiTheme="majorBidi" w:cstheme="majorBidi"/>
          <w:b/>
          <w:sz w:val="28"/>
          <w:szCs w:val="28"/>
        </w:rPr>
      </w:pPr>
      <w:r w:rsidRPr="009336D8">
        <w:rPr>
          <w:rFonts w:asciiTheme="majorBidi" w:hAnsiTheme="majorBidi" w:cstheme="majorBidi"/>
          <w:b/>
          <w:sz w:val="28"/>
          <w:szCs w:val="28"/>
        </w:rPr>
        <w:t>BANK OF ISRAEL</w:t>
      </w:r>
    </w:p>
    <w:p w14:paraId="7BDED074" w14:textId="1F140308" w:rsidR="00650B9A" w:rsidRPr="00CC3572" w:rsidRDefault="00650B9A" w:rsidP="00CC3572">
      <w:pPr>
        <w:pStyle w:val="regpar"/>
        <w:tabs>
          <w:tab w:val="left" w:pos="2520"/>
        </w:tabs>
        <w:spacing w:line="300" w:lineRule="atLeast"/>
        <w:ind w:firstLine="0"/>
        <w:jc w:val="center"/>
        <w:rPr>
          <w:rFonts w:asciiTheme="majorBidi" w:hAnsiTheme="majorBidi" w:cstheme="majorBidi"/>
          <w:bCs/>
        </w:rPr>
      </w:pPr>
      <w:r w:rsidRPr="00CC3572">
        <w:rPr>
          <w:rFonts w:asciiTheme="majorBidi" w:hAnsiTheme="majorBidi" w:cstheme="majorBidi"/>
          <w:bCs/>
        </w:rPr>
        <w:t xml:space="preserve">Office of the </w:t>
      </w:r>
      <w:r w:rsidR="0009048D" w:rsidRPr="00CC3572">
        <w:rPr>
          <w:rFonts w:asciiTheme="majorBidi" w:hAnsiTheme="majorBidi" w:cstheme="majorBidi"/>
          <w:bCs/>
        </w:rPr>
        <w:t>Spokesperson and Economic Information</w:t>
      </w:r>
    </w:p>
    <w:p w14:paraId="5DC516B5" w14:textId="6D04FE8F" w:rsidR="0009048D" w:rsidRPr="00CC3572" w:rsidRDefault="0009048D" w:rsidP="00CC3572">
      <w:pPr>
        <w:pStyle w:val="regpar"/>
        <w:spacing w:line="300" w:lineRule="atLeast"/>
        <w:ind w:firstLine="0"/>
        <w:rPr>
          <w:rFonts w:asciiTheme="majorBidi" w:hAnsiTheme="majorBidi" w:cstheme="majorBidi"/>
          <w:bCs/>
        </w:rPr>
      </w:pPr>
    </w:p>
    <w:p w14:paraId="73A6A7DC" w14:textId="3569AD15" w:rsidR="0009048D" w:rsidRPr="00CC3572" w:rsidRDefault="0009048D" w:rsidP="00AF679A">
      <w:pPr>
        <w:pStyle w:val="regpar"/>
        <w:spacing w:line="300" w:lineRule="atLeast"/>
        <w:rPr>
          <w:rFonts w:asciiTheme="majorBidi" w:hAnsiTheme="majorBidi" w:cstheme="majorBidi"/>
          <w:bCs/>
        </w:rPr>
      </w:pPr>
      <w:r w:rsidRPr="00CC3572">
        <w:rPr>
          <w:rFonts w:asciiTheme="majorBidi" w:hAnsiTheme="majorBidi" w:cstheme="majorBidi"/>
          <w:bCs/>
        </w:rPr>
        <w:t>Press release</w:t>
      </w:r>
    </w:p>
    <w:p w14:paraId="2DEFF62A" w14:textId="77777777" w:rsidR="00DD0AB5" w:rsidRPr="00CC3572" w:rsidRDefault="00DD0AB5" w:rsidP="00CC3572">
      <w:pPr>
        <w:pStyle w:val="regpar"/>
        <w:spacing w:line="300" w:lineRule="atLeast"/>
        <w:ind w:firstLine="0"/>
        <w:rPr>
          <w:rFonts w:asciiTheme="majorBidi" w:hAnsiTheme="majorBidi" w:cstheme="majorBidi"/>
          <w:bCs/>
        </w:rPr>
      </w:pPr>
    </w:p>
    <w:p w14:paraId="0CD9A423" w14:textId="1113F4F8" w:rsidR="007617BD" w:rsidRPr="00CC3572" w:rsidRDefault="005C3BB7" w:rsidP="00CC3572">
      <w:pPr>
        <w:pStyle w:val="regpar"/>
        <w:rPr>
          <w:rFonts w:asciiTheme="majorBidi" w:hAnsiTheme="majorBidi" w:cstheme="majorBidi"/>
          <w:bCs/>
        </w:rPr>
      </w:pPr>
      <w:r w:rsidRPr="00CC3572">
        <w:rPr>
          <w:rFonts w:asciiTheme="majorBidi" w:hAnsiTheme="majorBidi" w:cstheme="majorBidi"/>
          <w:bCs/>
        </w:rPr>
        <w:t xml:space="preserve">February </w:t>
      </w:r>
      <w:r w:rsidR="005D1317" w:rsidRPr="00CC3572">
        <w:rPr>
          <w:rFonts w:asciiTheme="majorBidi" w:hAnsiTheme="majorBidi" w:cstheme="majorBidi"/>
          <w:bCs/>
        </w:rPr>
        <w:t>6</w:t>
      </w:r>
      <w:r w:rsidR="00AF679A">
        <w:rPr>
          <w:rFonts w:asciiTheme="majorBidi" w:hAnsiTheme="majorBidi" w:cstheme="majorBidi"/>
          <w:bCs/>
        </w:rPr>
        <w:t>, 2023</w:t>
      </w:r>
    </w:p>
    <w:p w14:paraId="22D7AE78" w14:textId="474D030A" w:rsidR="00F23C43" w:rsidRPr="00CC3572" w:rsidRDefault="00F23C43" w:rsidP="00CC3572">
      <w:pPr>
        <w:pStyle w:val="regpar"/>
        <w:ind w:firstLine="0"/>
        <w:rPr>
          <w:rFonts w:asciiTheme="majorBidi" w:hAnsiTheme="majorBidi" w:cstheme="majorBidi"/>
          <w:bCs/>
          <w:caps/>
        </w:rPr>
      </w:pPr>
    </w:p>
    <w:p w14:paraId="707A817A" w14:textId="77777777" w:rsidR="00F23C43" w:rsidRPr="00CC3572" w:rsidRDefault="00F23C43" w:rsidP="00CC3572">
      <w:pPr>
        <w:pStyle w:val="regpar"/>
        <w:rPr>
          <w:rFonts w:asciiTheme="majorBidi" w:hAnsiTheme="majorBidi" w:cstheme="majorBidi"/>
          <w:bCs/>
        </w:rPr>
      </w:pPr>
    </w:p>
    <w:p w14:paraId="305EB27E" w14:textId="05C169F8" w:rsidR="005D1317" w:rsidRPr="00AF679A" w:rsidRDefault="005C3BB7" w:rsidP="00CC3572">
      <w:pPr>
        <w:pStyle w:val="regpar"/>
        <w:ind w:firstLine="0"/>
        <w:jc w:val="center"/>
        <w:rPr>
          <w:rFonts w:asciiTheme="majorBidi" w:hAnsiTheme="majorBidi" w:cstheme="majorBidi"/>
          <w:b/>
          <w:sz w:val="32"/>
          <w:szCs w:val="32"/>
        </w:rPr>
      </w:pPr>
      <w:r w:rsidRPr="00AF679A">
        <w:rPr>
          <w:rFonts w:asciiTheme="majorBidi" w:hAnsiTheme="majorBidi" w:cstheme="majorBidi"/>
          <w:b/>
          <w:sz w:val="32"/>
          <w:szCs w:val="32"/>
        </w:rPr>
        <w:t xml:space="preserve">The </w:t>
      </w:r>
      <w:r w:rsidR="005D1317" w:rsidRPr="00AF679A">
        <w:rPr>
          <w:rFonts w:asciiTheme="majorBidi" w:hAnsiTheme="majorBidi" w:cstheme="majorBidi"/>
          <w:b/>
          <w:sz w:val="32"/>
          <w:szCs w:val="32"/>
        </w:rPr>
        <w:t xml:space="preserve">Banking Supervision Department </w:t>
      </w:r>
      <w:r w:rsidR="00747A7C">
        <w:rPr>
          <w:rFonts w:asciiTheme="majorBidi" w:hAnsiTheme="majorBidi" w:cstheme="majorBidi"/>
          <w:b/>
          <w:sz w:val="32"/>
          <w:szCs w:val="32"/>
        </w:rPr>
        <w:t xml:space="preserve">has </w:t>
      </w:r>
      <w:r w:rsidR="005D1317" w:rsidRPr="00AF679A">
        <w:rPr>
          <w:rFonts w:asciiTheme="majorBidi" w:hAnsiTheme="majorBidi" w:cstheme="majorBidi"/>
          <w:b/>
          <w:sz w:val="32"/>
          <w:szCs w:val="32"/>
        </w:rPr>
        <w:t>imposed financial sanctions on Israel Discount Bank, Bank Hapoalim, and Mizrahi-Tefahot Bank for improper conduct in the process of collecting debts from customers</w:t>
      </w:r>
    </w:p>
    <w:p w14:paraId="3AD00088" w14:textId="2CFD5FBF" w:rsidR="00A2557F" w:rsidRPr="00CC3572" w:rsidRDefault="00A2557F" w:rsidP="00CC3572">
      <w:pPr>
        <w:pStyle w:val="regpar"/>
        <w:ind w:firstLine="0"/>
        <w:rPr>
          <w:rFonts w:asciiTheme="majorBidi" w:hAnsiTheme="majorBidi" w:cstheme="majorBidi"/>
          <w:bCs/>
        </w:rPr>
      </w:pPr>
    </w:p>
    <w:p w14:paraId="0F01967C" w14:textId="62509E28" w:rsidR="00940505" w:rsidRPr="00CC3572" w:rsidRDefault="00CD4B7E" w:rsidP="001F62E8">
      <w:pPr>
        <w:pStyle w:val="regpar"/>
        <w:ind w:firstLine="0"/>
        <w:rPr>
          <w:rFonts w:asciiTheme="majorBidi" w:hAnsiTheme="majorBidi" w:cstheme="majorBidi"/>
          <w:bCs/>
        </w:rPr>
      </w:pPr>
      <w:r w:rsidRPr="00CC3572">
        <w:rPr>
          <w:rFonts w:asciiTheme="majorBidi" w:hAnsiTheme="majorBidi" w:cstheme="majorBidi"/>
          <w:bCs/>
        </w:rPr>
        <w:t>The Banking Supervision Department has found that Israel Discount Bank, Bank Hapoalim, and Mizrahi-Tefahot Bank did not comply with a Proper Conduct of Banking Business Directive</w:t>
      </w:r>
      <w:r w:rsidR="00230068" w:rsidRPr="0065758B">
        <w:rPr>
          <w:rStyle w:val="a6"/>
          <w:rFonts w:asciiTheme="majorBidi" w:hAnsiTheme="majorBidi" w:cstheme="majorBidi"/>
          <w:bCs/>
          <w:sz w:val="24"/>
          <w:szCs w:val="24"/>
          <w:vertAlign w:val="superscript"/>
        </w:rPr>
        <w:footnoteReference w:id="1"/>
      </w:r>
      <w:r w:rsidRPr="00CC3572">
        <w:rPr>
          <w:rFonts w:asciiTheme="majorBidi" w:hAnsiTheme="majorBidi" w:cstheme="majorBidi"/>
          <w:bCs/>
        </w:rPr>
        <w:t xml:space="preserve"> regarding collecting debts from customers, and has imposed a financial sanction on them of NIS 1,200,000, NIS 850,000, and NIS 700,000, respectively, in respect of </w:t>
      </w:r>
      <w:r w:rsidR="009D1139">
        <w:rPr>
          <w:rFonts w:asciiTheme="majorBidi" w:hAnsiTheme="majorBidi" w:cstheme="majorBidi"/>
          <w:bCs/>
        </w:rPr>
        <w:t xml:space="preserve">violating </w:t>
      </w:r>
      <w:r w:rsidRPr="00CC3572">
        <w:rPr>
          <w:rFonts w:asciiTheme="majorBidi" w:hAnsiTheme="majorBidi" w:cstheme="majorBidi"/>
          <w:bCs/>
        </w:rPr>
        <w:t xml:space="preserve">the </w:t>
      </w:r>
      <w:r w:rsidR="001F62E8">
        <w:rPr>
          <w:rFonts w:asciiTheme="majorBidi" w:hAnsiTheme="majorBidi" w:cstheme="majorBidi"/>
          <w:bCs/>
        </w:rPr>
        <w:t xml:space="preserve">obligation to report </w:t>
      </w:r>
      <w:r w:rsidRPr="00CC3572">
        <w:rPr>
          <w:rFonts w:asciiTheme="majorBidi" w:hAnsiTheme="majorBidi" w:cstheme="majorBidi"/>
          <w:bCs/>
        </w:rPr>
        <w:t>to the Execution Office.</w:t>
      </w:r>
    </w:p>
    <w:p w14:paraId="6383A7E7" w14:textId="22FF1A82" w:rsidR="00CD4B7E" w:rsidRPr="00CC3572" w:rsidRDefault="00CD4B7E" w:rsidP="00CC3572">
      <w:pPr>
        <w:pStyle w:val="regpar"/>
        <w:ind w:firstLine="0"/>
        <w:rPr>
          <w:rFonts w:asciiTheme="majorBidi" w:hAnsiTheme="majorBidi" w:cstheme="majorBidi"/>
          <w:bCs/>
        </w:rPr>
      </w:pPr>
    </w:p>
    <w:p w14:paraId="2FA8B708" w14:textId="47F1495A" w:rsidR="00CD4B7E" w:rsidRPr="00CC3572" w:rsidRDefault="00CD4B7E" w:rsidP="00AD286E">
      <w:pPr>
        <w:pStyle w:val="regpar"/>
        <w:ind w:firstLine="0"/>
        <w:rPr>
          <w:rFonts w:asciiTheme="majorBidi" w:hAnsiTheme="majorBidi" w:cstheme="majorBidi"/>
          <w:bCs/>
        </w:rPr>
      </w:pPr>
      <w:r w:rsidRPr="00CC3572">
        <w:rPr>
          <w:rFonts w:asciiTheme="majorBidi" w:hAnsiTheme="majorBidi" w:cstheme="majorBidi"/>
          <w:bCs/>
        </w:rPr>
        <w:t>On each of the banks—Israel Discount Bank, Bank Hapoalim, and Mizrahi-Tefahot Bank—</w:t>
      </w:r>
      <w:r w:rsidR="004C6F5B" w:rsidRPr="00CC3572">
        <w:rPr>
          <w:rFonts w:asciiTheme="majorBidi" w:hAnsiTheme="majorBidi" w:cstheme="majorBidi"/>
          <w:bCs/>
        </w:rPr>
        <w:t xml:space="preserve">a financial sanction was imposed in respect of not reporting to the Execution Office </w:t>
      </w:r>
      <w:r w:rsidR="00AD286E">
        <w:rPr>
          <w:rFonts w:asciiTheme="majorBidi" w:hAnsiTheme="majorBidi" w:cstheme="majorBidi"/>
          <w:bCs/>
        </w:rPr>
        <w:t xml:space="preserve">about monies </w:t>
      </w:r>
      <w:r w:rsidR="004C6F5B" w:rsidRPr="00CC3572">
        <w:rPr>
          <w:rFonts w:asciiTheme="majorBidi" w:hAnsiTheme="majorBidi" w:cstheme="majorBidi"/>
          <w:bCs/>
        </w:rPr>
        <w:t xml:space="preserve">received that </w:t>
      </w:r>
      <w:r w:rsidR="00AD286E" w:rsidRPr="009336D8">
        <w:rPr>
          <w:rFonts w:asciiTheme="majorBidi" w:hAnsiTheme="majorBidi" w:cstheme="majorBidi"/>
          <w:bCs/>
        </w:rPr>
        <w:t xml:space="preserve">were  paid against the </w:t>
      </w:r>
      <w:r w:rsidR="004C6F5B" w:rsidRPr="009336D8">
        <w:rPr>
          <w:rFonts w:asciiTheme="majorBidi" w:hAnsiTheme="majorBidi" w:cstheme="majorBidi"/>
          <w:bCs/>
        </w:rPr>
        <w:t>debt. An</w:t>
      </w:r>
      <w:r w:rsidR="004C6F5B" w:rsidRPr="00CC3572">
        <w:rPr>
          <w:rFonts w:asciiTheme="majorBidi" w:hAnsiTheme="majorBidi" w:cstheme="majorBidi"/>
          <w:bCs/>
        </w:rPr>
        <w:t xml:space="preserve"> additional financial sanction was imposed on </w:t>
      </w:r>
      <w:r w:rsidR="007D6EE1" w:rsidRPr="00CC3572">
        <w:rPr>
          <w:rFonts w:asciiTheme="majorBidi" w:hAnsiTheme="majorBidi" w:cstheme="majorBidi"/>
          <w:bCs/>
        </w:rPr>
        <w:t>Israel Discount Bank in respect of not reporting to the Execution Office within a reasonable amount of time</w:t>
      </w:r>
      <w:r w:rsidR="00492D5D">
        <w:rPr>
          <w:rFonts w:asciiTheme="majorBidi" w:hAnsiTheme="majorBidi" w:cstheme="majorBidi"/>
          <w:bCs/>
        </w:rPr>
        <w:t>,</w:t>
      </w:r>
      <w:r w:rsidR="007D6EE1" w:rsidRPr="00CC3572">
        <w:rPr>
          <w:rFonts w:asciiTheme="majorBidi" w:hAnsiTheme="majorBidi" w:cstheme="majorBidi"/>
          <w:bCs/>
        </w:rPr>
        <w:t xml:space="preserve"> about debt restructuring agreements that were reached between the bank and the customer.</w:t>
      </w:r>
    </w:p>
    <w:p w14:paraId="7498BFB3" w14:textId="2FFC298E" w:rsidR="00CD4B7E" w:rsidRPr="00CC3572" w:rsidRDefault="00CD4B7E" w:rsidP="00CC3572">
      <w:pPr>
        <w:pStyle w:val="regpar"/>
        <w:ind w:firstLine="0"/>
        <w:rPr>
          <w:rFonts w:asciiTheme="majorBidi" w:hAnsiTheme="majorBidi" w:cstheme="majorBidi"/>
          <w:bCs/>
        </w:rPr>
      </w:pPr>
    </w:p>
    <w:p w14:paraId="77D2F4BD" w14:textId="662CCBEC" w:rsidR="005513E0" w:rsidRPr="00CC3572" w:rsidRDefault="005513E0" w:rsidP="00E1176A">
      <w:pPr>
        <w:pStyle w:val="regpar"/>
        <w:ind w:firstLine="0"/>
        <w:rPr>
          <w:rFonts w:asciiTheme="majorBidi" w:hAnsiTheme="majorBidi" w:cstheme="majorBidi"/>
          <w:bCs/>
        </w:rPr>
      </w:pPr>
      <w:r w:rsidRPr="00CC3572">
        <w:rPr>
          <w:rFonts w:asciiTheme="majorBidi" w:hAnsiTheme="majorBidi" w:cstheme="majorBidi"/>
          <w:bCs/>
        </w:rPr>
        <w:t xml:space="preserve">When customers endure economic difficulties, and are not able to comply with the payment of their debt to the bank, </w:t>
      </w:r>
      <w:r w:rsidR="00131CDF" w:rsidRPr="00CC3572">
        <w:rPr>
          <w:rFonts w:asciiTheme="majorBidi" w:hAnsiTheme="majorBidi" w:cstheme="majorBidi"/>
          <w:bCs/>
        </w:rPr>
        <w:t xml:space="preserve">the bank at times will adopt legal proceedings to collect the debt. These involve, among other things, opening a debt account at the Execution Office. Within the framework </w:t>
      </w:r>
      <w:r w:rsidR="003051F7" w:rsidRPr="00CC3572">
        <w:rPr>
          <w:rFonts w:asciiTheme="majorBidi" w:hAnsiTheme="majorBidi" w:cstheme="majorBidi"/>
          <w:bCs/>
        </w:rPr>
        <w:t xml:space="preserve">of this procedure, many customers reach payment agreements with the bank or send money to the bank in order to reduce the debt. </w:t>
      </w:r>
      <w:r w:rsidR="00E1176A">
        <w:rPr>
          <w:rFonts w:asciiTheme="majorBidi" w:hAnsiTheme="majorBidi" w:cstheme="majorBidi"/>
          <w:bCs/>
        </w:rPr>
        <w:t xml:space="preserve">All money received, that was paid </w:t>
      </w:r>
      <w:r w:rsidR="003051F7" w:rsidRPr="00CC3572">
        <w:rPr>
          <w:rFonts w:asciiTheme="majorBidi" w:hAnsiTheme="majorBidi" w:cstheme="majorBidi"/>
          <w:bCs/>
        </w:rPr>
        <w:t>by the customer to the bank or to the bank’</w:t>
      </w:r>
      <w:r w:rsidR="00E1176A">
        <w:rPr>
          <w:rFonts w:asciiTheme="majorBidi" w:hAnsiTheme="majorBidi" w:cstheme="majorBidi"/>
          <w:bCs/>
        </w:rPr>
        <w:t xml:space="preserve">s proxies </w:t>
      </w:r>
      <w:r w:rsidR="003051F7" w:rsidRPr="00CC3572">
        <w:rPr>
          <w:rFonts w:asciiTheme="majorBidi" w:hAnsiTheme="majorBidi" w:cstheme="majorBidi"/>
          <w:bCs/>
        </w:rPr>
        <w:t>reduces the debt on the bank’</w:t>
      </w:r>
      <w:r w:rsidR="00E1176A">
        <w:rPr>
          <w:rFonts w:asciiTheme="majorBidi" w:hAnsiTheme="majorBidi" w:cstheme="majorBidi"/>
          <w:bCs/>
        </w:rPr>
        <w:t>s book</w:t>
      </w:r>
      <w:r w:rsidR="003051F7" w:rsidRPr="00CC3572">
        <w:rPr>
          <w:rFonts w:asciiTheme="majorBidi" w:hAnsiTheme="majorBidi" w:cstheme="majorBidi"/>
          <w:bCs/>
        </w:rPr>
        <w:t xml:space="preserve">s, with the bank required, </w:t>
      </w:r>
      <w:r w:rsidR="00E1176A">
        <w:rPr>
          <w:rFonts w:asciiTheme="majorBidi" w:hAnsiTheme="majorBidi" w:cstheme="majorBidi"/>
          <w:bCs/>
        </w:rPr>
        <w:t>in parallel</w:t>
      </w:r>
      <w:r w:rsidR="003051F7" w:rsidRPr="00CC3572">
        <w:rPr>
          <w:rFonts w:asciiTheme="majorBidi" w:hAnsiTheme="majorBidi" w:cstheme="majorBidi"/>
          <w:bCs/>
        </w:rPr>
        <w:t>, to report to the Execution Office about the receipt of the payment, in order to reduce the debt balance in the Execution Office’s file as well.</w:t>
      </w:r>
    </w:p>
    <w:p w14:paraId="2F3E9E3E" w14:textId="562CCF52" w:rsidR="003051F7" w:rsidRPr="00CC3572" w:rsidRDefault="003051F7" w:rsidP="00CC3572">
      <w:pPr>
        <w:pStyle w:val="regpar"/>
        <w:ind w:firstLine="0"/>
        <w:rPr>
          <w:rFonts w:asciiTheme="majorBidi" w:hAnsiTheme="majorBidi" w:cstheme="majorBidi"/>
          <w:bCs/>
        </w:rPr>
      </w:pPr>
    </w:p>
    <w:p w14:paraId="79AC7368" w14:textId="4653E51F" w:rsidR="005513E0" w:rsidRPr="00CC3572" w:rsidRDefault="007E17BD" w:rsidP="009336D8">
      <w:pPr>
        <w:pStyle w:val="regpar"/>
        <w:ind w:firstLine="0"/>
        <w:rPr>
          <w:rFonts w:asciiTheme="majorBidi" w:hAnsiTheme="majorBidi" w:cstheme="majorBidi"/>
          <w:bCs/>
        </w:rPr>
      </w:pPr>
      <w:r w:rsidRPr="00CC3572">
        <w:rPr>
          <w:rFonts w:asciiTheme="majorBidi" w:hAnsiTheme="majorBidi" w:cstheme="majorBidi"/>
          <w:bCs/>
        </w:rPr>
        <w:t>In a designated directive</w:t>
      </w:r>
      <w:r w:rsidR="008B594C" w:rsidRPr="00CC3572">
        <w:rPr>
          <w:rFonts w:asciiTheme="majorBidi" w:hAnsiTheme="majorBidi" w:cstheme="majorBidi"/>
          <w:bCs/>
        </w:rPr>
        <w:t xml:space="preserve"> that deals with </w:t>
      </w:r>
      <w:r w:rsidR="00FF7793" w:rsidRPr="00CC3572">
        <w:rPr>
          <w:rFonts w:asciiTheme="majorBidi" w:hAnsiTheme="majorBidi" w:cstheme="majorBidi"/>
          <w:bCs/>
        </w:rPr>
        <w:t>the issue of collecting debts from customers, and that is at the core of relations between a bank and a customer, obligations were set regarding reporting to the Execution Office</w:t>
      </w:r>
      <w:r w:rsidR="00F632C2" w:rsidRPr="00CC3572">
        <w:rPr>
          <w:rFonts w:asciiTheme="majorBidi" w:hAnsiTheme="majorBidi" w:cstheme="majorBidi"/>
          <w:bCs/>
        </w:rPr>
        <w:t xml:space="preserve"> on payments received against the debt that </w:t>
      </w:r>
      <w:r w:rsidR="00A5580C" w:rsidRPr="009336D8">
        <w:rPr>
          <w:rFonts w:asciiTheme="majorBidi" w:hAnsiTheme="majorBidi" w:cstheme="majorBidi"/>
          <w:bCs/>
        </w:rPr>
        <w:t xml:space="preserve">are </w:t>
      </w:r>
      <w:r w:rsidR="00F632C2" w:rsidRPr="009336D8">
        <w:rPr>
          <w:rFonts w:asciiTheme="majorBidi" w:hAnsiTheme="majorBidi" w:cstheme="majorBidi"/>
          <w:bCs/>
        </w:rPr>
        <w:t xml:space="preserve">not </w:t>
      </w:r>
      <w:r w:rsidR="00A5580C" w:rsidRPr="009336D8">
        <w:rPr>
          <w:rFonts w:asciiTheme="majorBidi" w:hAnsiTheme="majorBidi" w:cstheme="majorBidi"/>
          <w:bCs/>
        </w:rPr>
        <w:t xml:space="preserve">made </w:t>
      </w:r>
      <w:r w:rsidR="00F632C2" w:rsidRPr="009336D8">
        <w:rPr>
          <w:rFonts w:asciiTheme="majorBidi" w:hAnsiTheme="majorBidi" w:cstheme="majorBidi"/>
          <w:bCs/>
        </w:rPr>
        <w:t>via</w:t>
      </w:r>
      <w:r w:rsidR="00F632C2" w:rsidRPr="00CC3572">
        <w:rPr>
          <w:rFonts w:asciiTheme="majorBidi" w:hAnsiTheme="majorBidi" w:cstheme="majorBidi"/>
          <w:bCs/>
        </w:rPr>
        <w:t xml:space="preserve"> the Execution Office</w:t>
      </w:r>
      <w:r w:rsidR="00A5580C">
        <w:rPr>
          <w:rFonts w:asciiTheme="majorBidi" w:hAnsiTheme="majorBidi" w:cstheme="majorBidi"/>
          <w:bCs/>
        </w:rPr>
        <w:t>,</w:t>
      </w:r>
      <w:r w:rsidR="00F632C2" w:rsidRPr="00CC3572">
        <w:rPr>
          <w:rFonts w:asciiTheme="majorBidi" w:hAnsiTheme="majorBidi" w:cstheme="majorBidi"/>
          <w:bCs/>
        </w:rPr>
        <w:t xml:space="preserve"> as well as reporting obligations </w:t>
      </w:r>
      <w:r w:rsidR="0087352B" w:rsidRPr="00CC3572">
        <w:rPr>
          <w:rFonts w:asciiTheme="majorBidi" w:hAnsiTheme="majorBidi" w:cstheme="majorBidi"/>
          <w:bCs/>
        </w:rPr>
        <w:t>regarding debt restructuring arrangements that were reached with customers. The obligation to report within 7 days of receipt of the payment</w:t>
      </w:r>
      <w:r w:rsidR="00A5580C">
        <w:rPr>
          <w:rFonts w:asciiTheme="majorBidi" w:hAnsiTheme="majorBidi" w:cstheme="majorBidi"/>
          <w:bCs/>
        </w:rPr>
        <w:t xml:space="preserve"> </w:t>
      </w:r>
      <w:r w:rsidR="0087352B" w:rsidRPr="00CC3572">
        <w:rPr>
          <w:rFonts w:asciiTheme="majorBidi" w:hAnsiTheme="majorBidi" w:cstheme="majorBidi"/>
          <w:bCs/>
        </w:rPr>
        <w:t xml:space="preserve">derives from the great importance in reducing the debt on time, so that the borrower and guarantor will have the option of tracking the precise amount </w:t>
      </w:r>
      <w:r w:rsidR="00A5580C">
        <w:rPr>
          <w:rFonts w:asciiTheme="majorBidi" w:hAnsiTheme="majorBidi" w:cstheme="majorBidi"/>
          <w:bCs/>
        </w:rPr>
        <w:t xml:space="preserve">of debt </w:t>
      </w:r>
      <w:r w:rsidR="0087352B" w:rsidRPr="00CC3572">
        <w:rPr>
          <w:rFonts w:asciiTheme="majorBidi" w:hAnsiTheme="majorBidi" w:cstheme="majorBidi"/>
          <w:bCs/>
        </w:rPr>
        <w:t>in real time.</w:t>
      </w:r>
      <w:r w:rsidR="0028699B" w:rsidRPr="00CC3572">
        <w:rPr>
          <w:rFonts w:asciiTheme="majorBidi" w:hAnsiTheme="majorBidi" w:cstheme="majorBidi"/>
          <w:bCs/>
        </w:rPr>
        <w:t xml:space="preserve"> Failure to report to the Execution Office on time by the bank constitutes a substantial deficiency, as it </w:t>
      </w:r>
      <w:r w:rsidR="0028699B" w:rsidRPr="00CC3572">
        <w:rPr>
          <w:rFonts w:asciiTheme="majorBidi" w:hAnsiTheme="majorBidi" w:cstheme="majorBidi"/>
          <w:bCs/>
        </w:rPr>
        <w:lastRenderedPageBreak/>
        <w:t>can lead</w:t>
      </w:r>
      <w:r w:rsidR="00A5580C">
        <w:rPr>
          <w:rFonts w:asciiTheme="majorBidi" w:hAnsiTheme="majorBidi" w:cstheme="majorBidi"/>
          <w:bCs/>
        </w:rPr>
        <w:t xml:space="preserve"> </w:t>
      </w:r>
      <w:r w:rsidR="0028699B" w:rsidRPr="00CC3572">
        <w:rPr>
          <w:rFonts w:asciiTheme="majorBidi" w:hAnsiTheme="majorBidi" w:cstheme="majorBidi"/>
          <w:bCs/>
        </w:rPr>
        <w:t xml:space="preserve">to a false </w:t>
      </w:r>
      <w:r w:rsidR="0028699B" w:rsidRPr="009336D8">
        <w:rPr>
          <w:rFonts w:asciiTheme="majorBidi" w:hAnsiTheme="majorBidi" w:cstheme="majorBidi"/>
          <w:bCs/>
        </w:rPr>
        <w:t>presentation of the de</w:t>
      </w:r>
      <w:r w:rsidR="00A5580C" w:rsidRPr="009336D8">
        <w:rPr>
          <w:rFonts w:asciiTheme="majorBidi" w:hAnsiTheme="majorBidi" w:cstheme="majorBidi"/>
          <w:bCs/>
        </w:rPr>
        <w:t>b</w:t>
      </w:r>
      <w:r w:rsidR="0028699B" w:rsidRPr="009336D8">
        <w:rPr>
          <w:rFonts w:asciiTheme="majorBidi" w:hAnsiTheme="majorBidi" w:cstheme="majorBidi"/>
          <w:bCs/>
        </w:rPr>
        <w:t>t, and</w:t>
      </w:r>
      <w:r w:rsidR="0028699B" w:rsidRPr="00CC3572">
        <w:rPr>
          <w:rFonts w:asciiTheme="majorBidi" w:hAnsiTheme="majorBidi" w:cstheme="majorBidi"/>
          <w:bCs/>
        </w:rPr>
        <w:t xml:space="preserve"> this can impact on the debtor’s decisions</w:t>
      </w:r>
      <w:r w:rsidR="00A5580C">
        <w:rPr>
          <w:rFonts w:asciiTheme="majorBidi" w:hAnsiTheme="majorBidi" w:cstheme="majorBidi"/>
          <w:bCs/>
        </w:rPr>
        <w:t xml:space="preserve">, for example </w:t>
      </w:r>
      <w:r w:rsidR="0028699B" w:rsidRPr="00CC3572">
        <w:rPr>
          <w:rFonts w:asciiTheme="majorBidi" w:hAnsiTheme="majorBidi" w:cstheme="majorBidi"/>
          <w:bCs/>
        </w:rPr>
        <w:t xml:space="preserve">when </w:t>
      </w:r>
      <w:r w:rsidR="00A5580C">
        <w:rPr>
          <w:rFonts w:asciiTheme="majorBidi" w:hAnsiTheme="majorBidi" w:cstheme="majorBidi"/>
          <w:bCs/>
        </w:rPr>
        <w:t xml:space="preserve">reaching a debt </w:t>
      </w:r>
      <w:r w:rsidR="0028699B" w:rsidRPr="00CC3572">
        <w:rPr>
          <w:rFonts w:asciiTheme="majorBidi" w:hAnsiTheme="majorBidi" w:cstheme="majorBidi"/>
          <w:bCs/>
        </w:rPr>
        <w:t>restructur</w:t>
      </w:r>
      <w:r w:rsidR="00A5580C">
        <w:rPr>
          <w:rFonts w:asciiTheme="majorBidi" w:hAnsiTheme="majorBidi" w:cstheme="majorBidi"/>
          <w:bCs/>
        </w:rPr>
        <w:t xml:space="preserve">ing </w:t>
      </w:r>
      <w:r w:rsidR="0028699B" w:rsidRPr="00CC3572">
        <w:rPr>
          <w:rFonts w:asciiTheme="majorBidi" w:hAnsiTheme="majorBidi" w:cstheme="majorBidi"/>
          <w:bCs/>
        </w:rPr>
        <w:t>vis-à-vis the bank.</w:t>
      </w:r>
      <w:r w:rsidR="00961939" w:rsidRPr="00CC3572">
        <w:rPr>
          <w:rFonts w:asciiTheme="majorBidi" w:hAnsiTheme="majorBidi" w:cstheme="majorBidi"/>
          <w:bCs/>
        </w:rPr>
        <w:t xml:space="preserve"> Such conduct is even liable to impose additional debts on the customer. The obligation to report to the Execution Office on a debt restructuring within a reasonable amount of time, is also intended to prevent the imposing of sanctions against the customer during the arrangement.</w:t>
      </w:r>
    </w:p>
    <w:p w14:paraId="109D0EDE" w14:textId="343E2282" w:rsidR="0087352B" w:rsidRPr="00CC3572" w:rsidRDefault="0087352B" w:rsidP="00CC3572">
      <w:pPr>
        <w:pStyle w:val="regpar"/>
        <w:ind w:firstLine="0"/>
        <w:rPr>
          <w:rFonts w:asciiTheme="majorBidi" w:hAnsiTheme="majorBidi" w:cstheme="majorBidi"/>
          <w:bCs/>
        </w:rPr>
      </w:pPr>
    </w:p>
    <w:p w14:paraId="4EBE9C09" w14:textId="466B0774" w:rsidR="00027FDB" w:rsidRPr="00CC3572" w:rsidRDefault="00027FDB" w:rsidP="003F3C86">
      <w:pPr>
        <w:pStyle w:val="regpar"/>
        <w:ind w:firstLine="0"/>
        <w:rPr>
          <w:rFonts w:asciiTheme="majorBidi" w:hAnsiTheme="majorBidi" w:cstheme="majorBidi"/>
          <w:bCs/>
        </w:rPr>
      </w:pPr>
      <w:r w:rsidRPr="00CC3572">
        <w:rPr>
          <w:rFonts w:asciiTheme="majorBidi" w:hAnsiTheme="majorBidi" w:cstheme="majorBidi"/>
          <w:bCs/>
        </w:rPr>
        <w:t xml:space="preserve">The various banks noted that the receipts were recorded on the bank’s books and were taken into account in processes of closing out the debt, and therefore, claim the banks, no financial harm was caused to the customers. The Banking Supervision Department required that the banks rectify the deficiencies </w:t>
      </w:r>
      <w:r w:rsidR="00B653D0" w:rsidRPr="00CC3572">
        <w:rPr>
          <w:rFonts w:asciiTheme="majorBidi" w:hAnsiTheme="majorBidi" w:cstheme="majorBidi"/>
          <w:bCs/>
        </w:rPr>
        <w:t xml:space="preserve">that were </w:t>
      </w:r>
      <w:r w:rsidR="003F3C86">
        <w:rPr>
          <w:rFonts w:asciiTheme="majorBidi" w:hAnsiTheme="majorBidi" w:cstheme="majorBidi"/>
          <w:bCs/>
        </w:rPr>
        <w:t xml:space="preserve">identified, </w:t>
      </w:r>
      <w:r w:rsidR="00B653D0" w:rsidRPr="00CC3572">
        <w:rPr>
          <w:rFonts w:asciiTheme="majorBidi" w:hAnsiTheme="majorBidi" w:cstheme="majorBidi"/>
          <w:bCs/>
        </w:rPr>
        <w:t>and to prevent the repeat of cases such as this</w:t>
      </w:r>
      <w:r w:rsidR="003F3C86">
        <w:rPr>
          <w:rFonts w:asciiTheme="majorBidi" w:hAnsiTheme="majorBidi" w:cstheme="majorBidi"/>
          <w:bCs/>
        </w:rPr>
        <w:t>,</w:t>
      </w:r>
      <w:r w:rsidR="00B653D0" w:rsidRPr="00CC3572">
        <w:rPr>
          <w:rFonts w:asciiTheme="majorBidi" w:hAnsiTheme="majorBidi" w:cstheme="majorBidi"/>
          <w:bCs/>
        </w:rPr>
        <w:t xml:space="preserve"> and continue</w:t>
      </w:r>
      <w:r w:rsidR="003F3C86">
        <w:rPr>
          <w:rFonts w:asciiTheme="majorBidi" w:hAnsiTheme="majorBidi" w:cstheme="majorBidi"/>
          <w:bCs/>
        </w:rPr>
        <w:t>s to</w:t>
      </w:r>
      <w:r w:rsidR="00B653D0" w:rsidRPr="00CC3572">
        <w:rPr>
          <w:rFonts w:asciiTheme="majorBidi" w:hAnsiTheme="majorBidi" w:cstheme="majorBidi"/>
          <w:bCs/>
        </w:rPr>
        <w:t xml:space="preserve"> examin</w:t>
      </w:r>
      <w:r w:rsidR="003F3C86">
        <w:rPr>
          <w:rFonts w:asciiTheme="majorBidi" w:hAnsiTheme="majorBidi" w:cstheme="majorBidi"/>
          <w:bCs/>
        </w:rPr>
        <w:t xml:space="preserve">e </w:t>
      </w:r>
      <w:r w:rsidR="00B653D0" w:rsidRPr="00CC3572">
        <w:rPr>
          <w:rFonts w:asciiTheme="majorBidi" w:hAnsiTheme="majorBidi" w:cstheme="majorBidi"/>
          <w:bCs/>
        </w:rPr>
        <w:t xml:space="preserve">the </w:t>
      </w:r>
      <w:r w:rsidR="00A27849" w:rsidRPr="00CC3572">
        <w:rPr>
          <w:rFonts w:asciiTheme="majorBidi" w:hAnsiTheme="majorBidi" w:cstheme="majorBidi"/>
          <w:bCs/>
        </w:rPr>
        <w:t>issue.</w:t>
      </w:r>
    </w:p>
    <w:p w14:paraId="32A9A78D" w14:textId="318D9188" w:rsidR="00AA740D" w:rsidRPr="00CC3572" w:rsidRDefault="00AA740D" w:rsidP="00CC3572">
      <w:pPr>
        <w:pStyle w:val="regpar"/>
        <w:ind w:firstLine="0"/>
        <w:rPr>
          <w:rFonts w:asciiTheme="majorBidi" w:hAnsiTheme="majorBidi" w:cstheme="majorBidi"/>
          <w:bCs/>
        </w:rPr>
      </w:pPr>
    </w:p>
    <w:p w14:paraId="07873C2C" w14:textId="1B158F08" w:rsidR="00FB5DA8" w:rsidRPr="003F4AA2" w:rsidRDefault="00AA740D" w:rsidP="00B0353D">
      <w:pPr>
        <w:pStyle w:val="regpar"/>
        <w:ind w:firstLine="0"/>
        <w:rPr>
          <w:rFonts w:asciiTheme="majorBidi" w:hAnsiTheme="majorBidi" w:cstheme="majorBidi"/>
          <w:b/>
        </w:rPr>
      </w:pPr>
      <w:r w:rsidRPr="003F4AA2">
        <w:rPr>
          <w:rFonts w:asciiTheme="majorBidi" w:hAnsiTheme="majorBidi" w:cstheme="majorBidi"/>
          <w:b/>
        </w:rPr>
        <w:t xml:space="preserve">Supervisor of Banks Mr. Yair Avidan said, </w:t>
      </w:r>
      <w:r w:rsidR="00280038" w:rsidRPr="003F4AA2">
        <w:rPr>
          <w:rFonts w:asciiTheme="majorBidi" w:hAnsiTheme="majorBidi" w:cstheme="majorBidi"/>
          <w:b/>
        </w:rPr>
        <w:t xml:space="preserve">“The Banking Supervision Department sees importance in enhancing consumer enforcement and will </w:t>
      </w:r>
      <w:r w:rsidR="004E7651" w:rsidRPr="003F4AA2">
        <w:rPr>
          <w:rFonts w:asciiTheme="majorBidi" w:hAnsiTheme="majorBidi" w:cstheme="majorBidi"/>
          <w:b/>
        </w:rPr>
        <w:t>continue to act to carry out controls with information received from the public. It also carries out, and will carry out, initiated controls using its authorizations to rectify deficiencies and enforce them. We see in this case improper conduct that could lead to a significant adverse impact on customers where there is a structural gap in forces, between the bank and the customer.</w:t>
      </w:r>
      <w:r w:rsidR="00062682" w:rsidRPr="003F4AA2">
        <w:rPr>
          <w:rFonts w:asciiTheme="majorBidi" w:hAnsiTheme="majorBidi" w:cstheme="majorBidi"/>
          <w:b/>
        </w:rPr>
        <w:t xml:space="preserve"> Therefore, even though the reports are carried out </w:t>
      </w:r>
      <w:r w:rsidR="00FB5DA8" w:rsidRPr="003F4AA2">
        <w:rPr>
          <w:rFonts w:asciiTheme="majorBidi" w:hAnsiTheme="majorBidi" w:cstheme="majorBidi"/>
          <w:b/>
        </w:rPr>
        <w:t xml:space="preserve">by the banks’ proxies, enhanced responsibility is placed on the </w:t>
      </w:r>
      <w:r w:rsidR="00B0353D" w:rsidRPr="003F4AA2">
        <w:rPr>
          <w:rFonts w:asciiTheme="majorBidi" w:hAnsiTheme="majorBidi" w:cstheme="majorBidi"/>
          <w:b/>
        </w:rPr>
        <w:t xml:space="preserve">fulfillment </w:t>
      </w:r>
      <w:r w:rsidR="00FB5DA8" w:rsidRPr="003F4AA2">
        <w:rPr>
          <w:rFonts w:asciiTheme="majorBidi" w:hAnsiTheme="majorBidi" w:cstheme="majorBidi"/>
          <w:b/>
        </w:rPr>
        <w:t>of the directives protecting the customers.”</w:t>
      </w:r>
    </w:p>
    <w:p w14:paraId="5051499E" w14:textId="5982171A" w:rsidR="00FB5DA8" w:rsidRPr="00CC3572" w:rsidRDefault="00FB5DA8" w:rsidP="00CC3572">
      <w:pPr>
        <w:pStyle w:val="regpar"/>
        <w:ind w:firstLine="0"/>
        <w:rPr>
          <w:rFonts w:asciiTheme="majorBidi" w:hAnsiTheme="majorBidi" w:cstheme="majorBidi"/>
          <w:bCs/>
        </w:rPr>
      </w:pPr>
    </w:p>
    <w:p w14:paraId="6EBD1F14" w14:textId="6A3A3B10" w:rsidR="00FB5DA8" w:rsidRPr="00CC3572" w:rsidRDefault="00FB5DA8" w:rsidP="0095466B">
      <w:pPr>
        <w:pStyle w:val="regpar"/>
        <w:ind w:firstLine="0"/>
        <w:rPr>
          <w:rFonts w:asciiTheme="majorBidi" w:hAnsiTheme="majorBidi" w:cstheme="majorBidi"/>
          <w:bCs/>
        </w:rPr>
      </w:pPr>
      <w:r w:rsidRPr="00CC3572">
        <w:rPr>
          <w:rFonts w:asciiTheme="majorBidi" w:hAnsiTheme="majorBidi" w:cstheme="majorBidi"/>
          <w:bCs/>
        </w:rPr>
        <w:t xml:space="preserve">The deficiencies in the conduct of Mizrahi-Tefahot </w:t>
      </w:r>
      <w:r w:rsidR="004A344A">
        <w:rPr>
          <w:rFonts w:asciiTheme="majorBidi" w:hAnsiTheme="majorBidi" w:cstheme="majorBidi"/>
          <w:bCs/>
        </w:rPr>
        <w:t xml:space="preserve">and Discount </w:t>
      </w:r>
      <w:r w:rsidRPr="00CC3572">
        <w:rPr>
          <w:rFonts w:asciiTheme="majorBidi" w:hAnsiTheme="majorBidi" w:cstheme="majorBidi"/>
          <w:bCs/>
        </w:rPr>
        <w:t>banks arose in an initiated control carried out on the implementation of the Directive, and the deficiencies at Bank Hapoalim were identified through the public</w:t>
      </w:r>
      <w:r w:rsidR="00CD578A" w:rsidRPr="00CC3572">
        <w:rPr>
          <w:rFonts w:asciiTheme="majorBidi" w:hAnsiTheme="majorBidi" w:cstheme="majorBidi"/>
          <w:bCs/>
        </w:rPr>
        <w:t>’</w:t>
      </w:r>
      <w:r w:rsidRPr="00CC3572">
        <w:rPr>
          <w:rFonts w:asciiTheme="majorBidi" w:hAnsiTheme="majorBidi" w:cstheme="majorBidi"/>
          <w:bCs/>
        </w:rPr>
        <w:t>s</w:t>
      </w:r>
      <w:r w:rsidR="00CD578A" w:rsidRPr="00CC3572">
        <w:rPr>
          <w:rFonts w:asciiTheme="majorBidi" w:hAnsiTheme="majorBidi" w:cstheme="majorBidi"/>
          <w:bCs/>
        </w:rPr>
        <w:t xml:space="preserve"> </w:t>
      </w:r>
      <w:r w:rsidR="00781D5D">
        <w:rPr>
          <w:rFonts w:asciiTheme="majorBidi" w:hAnsiTheme="majorBidi" w:cstheme="majorBidi"/>
          <w:bCs/>
        </w:rPr>
        <w:t>complaints</w:t>
      </w:r>
      <w:r w:rsidR="0095466B">
        <w:rPr>
          <w:rFonts w:asciiTheme="majorBidi" w:hAnsiTheme="majorBidi" w:cstheme="majorBidi"/>
          <w:bCs/>
        </w:rPr>
        <w:t xml:space="preserve"> received at the Banking Supervision Department.</w:t>
      </w:r>
    </w:p>
    <w:p w14:paraId="129FCDF4" w14:textId="17ACC61C" w:rsidR="00CD578A" w:rsidRPr="00CC3572" w:rsidRDefault="00CD578A" w:rsidP="00CC3572">
      <w:pPr>
        <w:pStyle w:val="regpar"/>
        <w:ind w:firstLine="0"/>
        <w:rPr>
          <w:rFonts w:asciiTheme="majorBidi" w:hAnsiTheme="majorBidi" w:cstheme="majorBidi"/>
          <w:bCs/>
        </w:rPr>
      </w:pPr>
    </w:p>
    <w:p w14:paraId="5A38EA0D" w14:textId="5A09FF6F" w:rsidR="00CD578A" w:rsidRDefault="00CD578A" w:rsidP="00AC6890">
      <w:pPr>
        <w:pStyle w:val="regpar"/>
        <w:ind w:firstLine="0"/>
        <w:rPr>
          <w:rFonts w:asciiTheme="majorBidi" w:hAnsiTheme="majorBidi" w:cstheme="majorBidi"/>
          <w:bCs/>
        </w:rPr>
      </w:pPr>
      <w:r w:rsidRPr="00CC3572">
        <w:rPr>
          <w:rFonts w:asciiTheme="majorBidi" w:hAnsiTheme="majorBidi" w:cstheme="majorBidi"/>
          <w:bCs/>
        </w:rPr>
        <w:t xml:space="preserve">To see decisions and a detailed list of the </w:t>
      </w:r>
      <w:r w:rsidR="00AC6890">
        <w:rPr>
          <w:rFonts w:asciiTheme="majorBidi" w:hAnsiTheme="majorBidi" w:cstheme="majorBidi"/>
          <w:bCs/>
        </w:rPr>
        <w:t xml:space="preserve">violations </w:t>
      </w:r>
      <w:r w:rsidRPr="00CC3572">
        <w:rPr>
          <w:rFonts w:asciiTheme="majorBidi" w:hAnsiTheme="majorBidi" w:cstheme="majorBidi"/>
          <w:bCs/>
        </w:rPr>
        <w:t xml:space="preserve">identified, the considerations behind the decision, and the reasons for </w:t>
      </w:r>
      <w:r w:rsidRPr="009336D8">
        <w:rPr>
          <w:rFonts w:asciiTheme="majorBidi" w:hAnsiTheme="majorBidi" w:cstheme="majorBidi"/>
          <w:bCs/>
        </w:rPr>
        <w:t xml:space="preserve">imposing the sanction </w:t>
      </w:r>
      <w:r w:rsidR="00AC6890" w:rsidRPr="009336D8">
        <w:rPr>
          <w:rFonts w:asciiTheme="majorBidi" w:hAnsiTheme="majorBidi" w:cstheme="majorBidi"/>
          <w:bCs/>
        </w:rPr>
        <w:t>as it develops</w:t>
      </w:r>
      <w:r w:rsidRPr="009336D8">
        <w:rPr>
          <w:rFonts w:asciiTheme="majorBidi" w:hAnsiTheme="majorBidi" w:cstheme="majorBidi"/>
          <w:bCs/>
        </w:rPr>
        <w:t>, see</w:t>
      </w:r>
      <w:r w:rsidR="009612BE" w:rsidRPr="009336D8">
        <w:rPr>
          <w:rFonts w:asciiTheme="majorBidi" w:hAnsiTheme="majorBidi" w:cstheme="majorBidi"/>
          <w:bCs/>
        </w:rPr>
        <w:t xml:space="preserve"> (in Hebrew)</w:t>
      </w:r>
      <w:r w:rsidRPr="009336D8">
        <w:rPr>
          <w:rFonts w:asciiTheme="majorBidi" w:hAnsiTheme="majorBidi" w:cstheme="majorBidi"/>
          <w:bCs/>
        </w:rPr>
        <w:t>:</w:t>
      </w:r>
    </w:p>
    <w:p w14:paraId="7A9250CE" w14:textId="77777777" w:rsidR="009612BE" w:rsidRPr="00267528" w:rsidRDefault="009612BE" w:rsidP="009612BE">
      <w:pPr>
        <w:ind w:right="70"/>
        <w:rPr>
          <w:rFonts w:ascii="David" w:hAnsi="David"/>
          <w:rtl/>
          <w:lang w:eastAsia="he-IL"/>
        </w:rPr>
      </w:pPr>
    </w:p>
    <w:p w14:paraId="5A32D650" w14:textId="2848EDC7" w:rsidR="009612BE" w:rsidRDefault="00D153B8" w:rsidP="009612BE">
      <w:pPr>
        <w:pStyle w:val="Heading20"/>
        <w:keepNext/>
        <w:keepLines/>
        <w:numPr>
          <w:ilvl w:val="0"/>
          <w:numId w:val="15"/>
        </w:numPr>
        <w:spacing w:line="360" w:lineRule="auto"/>
        <w:ind w:left="367" w:right="70"/>
        <w:jc w:val="both"/>
        <w:rPr>
          <w:rFonts w:eastAsia="Times New Roman"/>
          <w:b w:val="0"/>
          <w:bCs w:val="0"/>
          <w:sz w:val="24"/>
          <w:szCs w:val="24"/>
          <w:u w:val="none"/>
          <w:lang w:eastAsia="he-IL"/>
        </w:rPr>
      </w:pPr>
      <w:hyperlink r:id="rId12" w:history="1">
        <w:r w:rsidR="009612BE" w:rsidRPr="00267528">
          <w:rPr>
            <w:rStyle w:val="Hyperlink"/>
            <w:rFonts w:eastAsia="Times New Roman"/>
            <w:b w:val="0"/>
            <w:bCs w:val="0"/>
            <w:sz w:val="24"/>
            <w:szCs w:val="24"/>
            <w:rtl/>
            <w:lang w:eastAsia="he-IL"/>
          </w:rPr>
          <w:t xml:space="preserve">החלטה בדבר הטלת עיצום כספי </w:t>
        </w:r>
        <w:r w:rsidR="009612BE" w:rsidRPr="00267528">
          <w:rPr>
            <w:rStyle w:val="Hyperlink"/>
            <w:rFonts w:eastAsia="Times New Roman" w:hint="cs"/>
            <w:b w:val="0"/>
            <w:bCs w:val="0"/>
            <w:sz w:val="24"/>
            <w:szCs w:val="24"/>
            <w:rtl/>
            <w:lang w:eastAsia="he-IL"/>
          </w:rPr>
          <w:t>בגין</w:t>
        </w:r>
        <w:r w:rsidR="009612BE" w:rsidRPr="00267528">
          <w:rPr>
            <w:rStyle w:val="Hyperlink"/>
            <w:rFonts w:eastAsia="Times New Roman"/>
            <w:b w:val="0"/>
            <w:bCs w:val="0"/>
            <w:sz w:val="24"/>
            <w:szCs w:val="24"/>
            <w:rtl/>
            <w:lang w:eastAsia="he-IL"/>
          </w:rPr>
          <w:t xml:space="preserve"> הפרת הוראת ניהול בנקאי תקין</w:t>
        </w:r>
        <w:r w:rsidR="009612BE" w:rsidRPr="00267528">
          <w:rPr>
            <w:rStyle w:val="Hyperlink"/>
            <w:rFonts w:eastAsia="Times New Roman" w:hint="cs"/>
            <w:b w:val="0"/>
            <w:bCs w:val="0"/>
            <w:sz w:val="24"/>
            <w:szCs w:val="24"/>
            <w:rtl/>
            <w:lang w:eastAsia="he-IL"/>
          </w:rPr>
          <w:t xml:space="preserve"> מס'</w:t>
        </w:r>
        <w:r w:rsidR="009612BE" w:rsidRPr="00267528">
          <w:rPr>
            <w:rStyle w:val="Hyperlink"/>
            <w:rFonts w:eastAsia="Times New Roman"/>
            <w:b w:val="0"/>
            <w:bCs w:val="0"/>
            <w:sz w:val="24"/>
            <w:szCs w:val="24"/>
            <w:rtl/>
            <w:lang w:eastAsia="he-IL"/>
          </w:rPr>
          <w:t xml:space="preserve"> 450</w:t>
        </w:r>
        <w:r w:rsidR="009612BE" w:rsidRPr="00267528">
          <w:rPr>
            <w:rStyle w:val="Hyperlink"/>
            <w:rFonts w:eastAsia="Times New Roman" w:hint="cs"/>
            <w:b w:val="0"/>
            <w:bCs w:val="0"/>
            <w:sz w:val="24"/>
            <w:szCs w:val="24"/>
            <w:rtl/>
            <w:lang w:eastAsia="he-IL"/>
          </w:rPr>
          <w:t xml:space="preserve"> שהוטלה על בנק דיסקונט לישראל בע"מ.</w:t>
        </w:r>
      </w:hyperlink>
    </w:p>
    <w:p w14:paraId="10D6B39A" w14:textId="1000A428" w:rsidR="00D673A0" w:rsidRPr="00267528" w:rsidRDefault="00D673A0" w:rsidP="00D673A0">
      <w:pPr>
        <w:pStyle w:val="Heading20"/>
        <w:keepNext/>
        <w:keepLines/>
        <w:spacing w:line="360" w:lineRule="auto"/>
        <w:ind w:left="367" w:right="70"/>
        <w:jc w:val="both"/>
        <w:rPr>
          <w:rFonts w:eastAsia="Times New Roman"/>
          <w:b w:val="0"/>
          <w:bCs w:val="0"/>
          <w:sz w:val="24"/>
          <w:szCs w:val="24"/>
          <w:u w:val="none"/>
          <w:lang w:eastAsia="he-IL"/>
        </w:rPr>
      </w:pPr>
      <w:r>
        <w:rPr>
          <w:rStyle w:val="Hyperlink"/>
          <w:rFonts w:eastAsia="Times New Roman"/>
          <w:b w:val="0"/>
          <w:bCs w:val="0"/>
          <w:sz w:val="24"/>
          <w:szCs w:val="24"/>
          <w:lang w:eastAsia="he-IL"/>
        </w:rPr>
        <w:object w:dxaOrig="1534" w:dyaOrig="994" w14:anchorId="17B4D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Exch.Document.DC" ShapeID="_x0000_i1025" DrawAspect="Icon" ObjectID="_1737274366" r:id="rId14"/>
        </w:object>
      </w:r>
    </w:p>
    <w:p w14:paraId="6B548F0E" w14:textId="03A655D2" w:rsidR="009612BE" w:rsidRDefault="00D153B8" w:rsidP="009612BE">
      <w:pPr>
        <w:pStyle w:val="Heading20"/>
        <w:keepNext/>
        <w:keepLines/>
        <w:numPr>
          <w:ilvl w:val="0"/>
          <w:numId w:val="15"/>
        </w:numPr>
        <w:spacing w:line="360" w:lineRule="auto"/>
        <w:ind w:left="367" w:right="70"/>
        <w:jc w:val="both"/>
        <w:rPr>
          <w:rFonts w:eastAsia="Times New Roman"/>
          <w:b w:val="0"/>
          <w:bCs w:val="0"/>
          <w:sz w:val="24"/>
          <w:szCs w:val="24"/>
          <w:u w:val="none"/>
          <w:lang w:eastAsia="he-IL"/>
        </w:rPr>
      </w:pPr>
      <w:hyperlink r:id="rId15" w:history="1">
        <w:r w:rsidR="009612BE" w:rsidRPr="00267528">
          <w:rPr>
            <w:rStyle w:val="Hyperlink"/>
            <w:rFonts w:eastAsia="Times New Roman" w:hint="cs"/>
            <w:b w:val="0"/>
            <w:bCs w:val="0"/>
            <w:sz w:val="24"/>
            <w:szCs w:val="24"/>
            <w:rtl/>
            <w:lang w:eastAsia="he-IL"/>
          </w:rPr>
          <w:t>החלטה</w:t>
        </w:r>
        <w:r w:rsidR="009612BE" w:rsidRPr="00267528">
          <w:rPr>
            <w:rStyle w:val="Hyperlink"/>
            <w:rFonts w:eastAsia="Times New Roman"/>
            <w:b w:val="0"/>
            <w:bCs w:val="0"/>
            <w:sz w:val="24"/>
            <w:szCs w:val="24"/>
            <w:rtl/>
            <w:lang w:eastAsia="he-IL"/>
          </w:rPr>
          <w:t xml:space="preserve"> בדבר הטלת עיצום כספי בגין הפרת הוראת ניהול בנקאי תקין מס' 450</w:t>
        </w:r>
        <w:r w:rsidR="009612BE" w:rsidRPr="00267528">
          <w:rPr>
            <w:rStyle w:val="Hyperlink"/>
            <w:rFonts w:eastAsia="Times New Roman" w:hint="cs"/>
            <w:b w:val="0"/>
            <w:bCs w:val="0"/>
            <w:sz w:val="24"/>
            <w:szCs w:val="24"/>
            <w:rtl/>
            <w:lang w:eastAsia="he-IL"/>
          </w:rPr>
          <w:t xml:space="preserve"> שהוטלה על בנק הפועלים בע"מ.</w:t>
        </w:r>
      </w:hyperlink>
    </w:p>
    <w:p w14:paraId="1F37111D" w14:textId="339F3BF7" w:rsidR="00D673A0" w:rsidRPr="00267528" w:rsidRDefault="00D673A0" w:rsidP="00D673A0">
      <w:pPr>
        <w:pStyle w:val="Heading20"/>
        <w:keepNext/>
        <w:keepLines/>
        <w:spacing w:line="360" w:lineRule="auto"/>
        <w:ind w:left="367" w:right="70"/>
        <w:jc w:val="both"/>
        <w:rPr>
          <w:rFonts w:eastAsia="Times New Roman"/>
          <w:b w:val="0"/>
          <w:bCs w:val="0"/>
          <w:sz w:val="24"/>
          <w:szCs w:val="24"/>
          <w:u w:val="none"/>
          <w:lang w:eastAsia="he-IL"/>
        </w:rPr>
      </w:pPr>
      <w:r>
        <w:rPr>
          <w:rFonts w:eastAsia="Times New Roman"/>
          <w:b w:val="0"/>
          <w:bCs w:val="0"/>
          <w:sz w:val="24"/>
          <w:szCs w:val="24"/>
          <w:u w:val="none"/>
          <w:lang w:eastAsia="he-IL"/>
        </w:rPr>
        <w:object w:dxaOrig="1534" w:dyaOrig="994" w14:anchorId="2DF1E306">
          <v:shape id="_x0000_i1027" type="#_x0000_t75" style="width:76.5pt;height:49.5pt" o:ole="">
            <v:imagedata r:id="rId16" o:title=""/>
          </v:shape>
          <o:OLEObject Type="Embed" ProgID="AcroExch.Document.DC" ShapeID="_x0000_i1027" DrawAspect="Icon" ObjectID="_1737274367" r:id="rId17"/>
        </w:object>
      </w:r>
    </w:p>
    <w:p w14:paraId="3F31F50A" w14:textId="6B71F84F" w:rsidR="009612BE" w:rsidRDefault="00D153B8" w:rsidP="00CD5DAB">
      <w:pPr>
        <w:pStyle w:val="Heading20"/>
        <w:keepNext/>
        <w:keepLines/>
        <w:numPr>
          <w:ilvl w:val="0"/>
          <w:numId w:val="15"/>
        </w:numPr>
        <w:spacing w:line="360" w:lineRule="auto"/>
        <w:ind w:left="367" w:right="70"/>
        <w:jc w:val="both"/>
        <w:rPr>
          <w:rStyle w:val="Hyperlink"/>
          <w:rFonts w:eastAsia="Times New Roman"/>
          <w:bCs w:val="0"/>
          <w:lang w:eastAsia="he-IL"/>
        </w:rPr>
      </w:pPr>
      <w:hyperlink r:id="rId18" w:history="1">
        <w:r w:rsidR="009612BE" w:rsidRPr="00267528">
          <w:rPr>
            <w:rStyle w:val="Hyperlink"/>
            <w:rFonts w:eastAsia="Times New Roman" w:hint="cs"/>
            <w:b w:val="0"/>
            <w:bCs w:val="0"/>
            <w:sz w:val="24"/>
            <w:szCs w:val="24"/>
            <w:rtl/>
            <w:lang w:eastAsia="he-IL"/>
          </w:rPr>
          <w:t>החלטה</w:t>
        </w:r>
        <w:r w:rsidR="009612BE" w:rsidRPr="00267528">
          <w:rPr>
            <w:rStyle w:val="Hyperlink"/>
            <w:rFonts w:eastAsia="Times New Roman"/>
            <w:b w:val="0"/>
            <w:bCs w:val="0"/>
            <w:sz w:val="24"/>
            <w:szCs w:val="24"/>
            <w:rtl/>
            <w:lang w:eastAsia="he-IL"/>
          </w:rPr>
          <w:t xml:space="preserve"> בדבר הטלת עיצום כספי בגין הפרת הוראת ניהול בנקאי תקין מס' 450</w:t>
        </w:r>
        <w:r w:rsidR="009612BE" w:rsidRPr="00267528">
          <w:rPr>
            <w:rStyle w:val="Hyperlink"/>
            <w:rFonts w:eastAsia="Times New Roman" w:hint="cs"/>
            <w:b w:val="0"/>
            <w:bCs w:val="0"/>
            <w:sz w:val="24"/>
            <w:szCs w:val="24"/>
            <w:rtl/>
            <w:lang w:eastAsia="he-IL"/>
          </w:rPr>
          <w:t xml:space="preserve"> שהוטלה על בנק מזרחי-טפחות בע"מ.</w:t>
        </w:r>
      </w:hyperlink>
    </w:p>
    <w:bookmarkStart w:id="0" w:name="_GoBack"/>
    <w:bookmarkEnd w:id="0"/>
    <w:p w14:paraId="0E4FEF81" w14:textId="4986DA3E" w:rsidR="00D673A0" w:rsidRPr="00CD5DAB" w:rsidRDefault="00D673A0" w:rsidP="00D673A0">
      <w:pPr>
        <w:pStyle w:val="Heading20"/>
        <w:keepNext/>
        <w:keepLines/>
        <w:spacing w:line="360" w:lineRule="auto"/>
        <w:ind w:left="367" w:right="70"/>
        <w:jc w:val="both"/>
        <w:rPr>
          <w:rStyle w:val="Hyperlink"/>
          <w:rFonts w:eastAsia="Times New Roman"/>
          <w:bCs w:val="0"/>
          <w:lang w:eastAsia="he-IL"/>
        </w:rPr>
      </w:pPr>
      <w:r w:rsidRPr="00D673A0">
        <w:rPr>
          <w:rFonts w:eastAsia="Times New Roman"/>
          <w:bCs w:val="0"/>
          <w:color w:val="0000FF"/>
          <w:lang w:eastAsia="he-IL"/>
        </w:rPr>
        <w:object w:dxaOrig="1534" w:dyaOrig="994" w14:anchorId="2BA3E4A2">
          <v:shape id="_x0000_i1028" type="#_x0000_t75" style="width:76.5pt;height:49.5pt" o:ole="">
            <v:imagedata r:id="rId19" o:title=""/>
          </v:shape>
          <o:OLEObject Type="Embed" ProgID="AcroExch.Document.DC" ShapeID="_x0000_i1028" DrawAspect="Icon" ObjectID="_1737274368" r:id="rId20"/>
        </w:object>
      </w:r>
    </w:p>
    <w:p w14:paraId="081FFFA2" w14:textId="4E9EAE7C" w:rsidR="00CD578A" w:rsidRPr="00CC3572" w:rsidRDefault="00CD578A" w:rsidP="00CC3572">
      <w:pPr>
        <w:pStyle w:val="regpar"/>
        <w:ind w:firstLine="0"/>
        <w:rPr>
          <w:rFonts w:asciiTheme="majorBidi" w:hAnsiTheme="majorBidi" w:cstheme="majorBidi"/>
          <w:bCs/>
        </w:rPr>
      </w:pPr>
    </w:p>
    <w:p w14:paraId="3898B393" w14:textId="77777777" w:rsidR="00CD578A" w:rsidRPr="00CC3572" w:rsidRDefault="00CD578A" w:rsidP="00CC3572">
      <w:pPr>
        <w:pStyle w:val="regpar"/>
        <w:ind w:firstLine="0"/>
        <w:rPr>
          <w:rFonts w:asciiTheme="majorBidi" w:hAnsiTheme="majorBidi" w:cstheme="majorBidi"/>
          <w:bCs/>
        </w:rPr>
      </w:pPr>
    </w:p>
    <w:p w14:paraId="34B64875" w14:textId="77777777" w:rsidR="0087352B" w:rsidRPr="00CC3572" w:rsidRDefault="0087352B" w:rsidP="00CC3572">
      <w:pPr>
        <w:pStyle w:val="regpar"/>
        <w:ind w:firstLine="0"/>
        <w:rPr>
          <w:rFonts w:asciiTheme="majorBidi" w:hAnsiTheme="majorBidi" w:cstheme="majorBidi"/>
          <w:bCs/>
        </w:rPr>
      </w:pPr>
    </w:p>
    <w:p w14:paraId="67950B9F" w14:textId="5BEBC327" w:rsidR="005C3BB7" w:rsidRPr="00CC3572" w:rsidRDefault="005C3BB7" w:rsidP="00CC3572">
      <w:pPr>
        <w:pStyle w:val="regpar"/>
        <w:ind w:firstLine="0"/>
        <w:rPr>
          <w:rFonts w:asciiTheme="majorBidi" w:hAnsiTheme="majorBidi" w:cstheme="majorBidi"/>
          <w:bCs/>
        </w:rPr>
      </w:pPr>
    </w:p>
    <w:p w14:paraId="5B948AA4" w14:textId="6C979389" w:rsidR="005C3BB7" w:rsidRPr="00CC3572" w:rsidRDefault="005C3BB7" w:rsidP="00CC3572">
      <w:pPr>
        <w:pStyle w:val="regpar"/>
        <w:ind w:firstLine="0"/>
        <w:rPr>
          <w:rFonts w:asciiTheme="majorBidi" w:hAnsiTheme="majorBidi" w:cstheme="majorBidi"/>
          <w:bCs/>
        </w:rPr>
      </w:pPr>
    </w:p>
    <w:sectPr w:rsidR="005C3BB7" w:rsidRPr="00CC3572" w:rsidSect="004F5A85">
      <w:headerReference w:type="default" r:id="rId21"/>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7CC43" w14:textId="77777777" w:rsidR="00D153B8" w:rsidRDefault="00D153B8">
      <w:pPr>
        <w:spacing w:line="240" w:lineRule="auto"/>
      </w:pPr>
      <w:r>
        <w:separator/>
      </w:r>
    </w:p>
  </w:endnote>
  <w:endnote w:type="continuationSeparator" w:id="0">
    <w:p w14:paraId="22B22C8E" w14:textId="77777777" w:rsidR="00D153B8" w:rsidRDefault="00D15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9101" w14:textId="77777777" w:rsidR="00D153B8" w:rsidRDefault="00D153B8">
      <w:pPr>
        <w:spacing w:line="160" w:lineRule="exact"/>
      </w:pPr>
    </w:p>
  </w:footnote>
  <w:footnote w:type="continuationSeparator" w:id="0">
    <w:p w14:paraId="58A224CE" w14:textId="77777777" w:rsidR="00D153B8" w:rsidRDefault="00D153B8">
      <w:pPr>
        <w:pStyle w:val="rule"/>
      </w:pPr>
      <w:r>
        <w:t>–––––––––––––––––––––––––––</w:t>
      </w:r>
    </w:p>
    <w:p w14:paraId="5F6ADF7B" w14:textId="77777777" w:rsidR="00D153B8" w:rsidRDefault="00D153B8">
      <w:pPr>
        <w:pStyle w:val="noteseparator"/>
      </w:pPr>
    </w:p>
  </w:footnote>
  <w:footnote w:id="1">
    <w:p w14:paraId="198448F5" w14:textId="45F1240C" w:rsidR="00230068" w:rsidRDefault="00230068" w:rsidP="00957AFC">
      <w:pPr>
        <w:pStyle w:val="a7"/>
      </w:pPr>
      <w:r>
        <w:rPr>
          <w:rStyle w:val="a6"/>
        </w:rPr>
        <w:footnoteRef/>
      </w:r>
      <w:r>
        <w:t xml:space="preserve"> Proper Conduct of Banking Business Directive no. 450, on “Debt Collection</w:t>
      </w:r>
      <w:r w:rsidR="001414E9">
        <w:t xml:space="preserve"> Proceedings</w:t>
      </w:r>
      <w:r>
        <w:t>”</w:t>
      </w:r>
      <w:r w:rsidR="00027FD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109E2937"/>
    <w:multiLevelType w:val="hybridMultilevel"/>
    <w:tmpl w:val="D2B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323C4"/>
    <w:multiLevelType w:val="hybridMultilevel"/>
    <w:tmpl w:val="9066427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07851"/>
    <w:multiLevelType w:val="multilevel"/>
    <w:tmpl w:val="8F9AB302"/>
    <w:lvl w:ilvl="0">
      <w:start w:val="1"/>
      <w:numFmt w:val="decimal"/>
      <w:pStyle w:val="1"/>
      <w:lvlText w:val="%1."/>
      <w:lvlJc w:val="left"/>
      <w:pPr>
        <w:tabs>
          <w:tab w:val="num" w:pos="562"/>
        </w:tabs>
        <w:ind w:left="562" w:hanging="562"/>
      </w:pPr>
      <w:rPr>
        <w:rFonts w:cs="Times New Roman" w:hint="default"/>
      </w:rPr>
    </w:lvl>
    <w:lvl w:ilvl="1">
      <w:start w:val="1"/>
      <w:numFmt w:val="decimal"/>
      <w:pStyle w:val="2"/>
      <w:lvlText w:val="%1.%2."/>
      <w:lvlJc w:val="left"/>
      <w:pPr>
        <w:tabs>
          <w:tab w:val="num" w:pos="1138"/>
        </w:tabs>
        <w:ind w:left="1138" w:hanging="576"/>
      </w:pPr>
      <w:rPr>
        <w:rFonts w:cs="Times New Roman" w:hint="default"/>
      </w:rPr>
    </w:lvl>
    <w:lvl w:ilvl="2">
      <w:start w:val="1"/>
      <w:numFmt w:val="decimal"/>
      <w:pStyle w:val="3"/>
      <w:lvlText w:val="%1.%2.%3."/>
      <w:lvlJc w:val="left"/>
      <w:pPr>
        <w:tabs>
          <w:tab w:val="num" w:pos="1872"/>
        </w:tabs>
        <w:ind w:left="1872" w:hanging="734"/>
      </w:pPr>
      <w:rPr>
        <w:rFonts w:cs="Times New Roman" w:hint="default"/>
      </w:rPr>
    </w:lvl>
    <w:lvl w:ilvl="3">
      <w:start w:val="1"/>
      <w:numFmt w:val="decimal"/>
      <w:pStyle w:val="4"/>
      <w:lvlText w:val="%1.%2.%3.%4."/>
      <w:lvlJc w:val="left"/>
      <w:pPr>
        <w:tabs>
          <w:tab w:val="num" w:pos="2779"/>
        </w:tabs>
        <w:ind w:left="2779" w:hanging="907"/>
      </w:pPr>
      <w:rPr>
        <w:rFonts w:cs="Times New Roman" w:hint="default"/>
        <w:sz w:val="24"/>
        <w:szCs w:val="24"/>
      </w:rPr>
    </w:lvl>
    <w:lvl w:ilvl="4">
      <w:start w:val="1"/>
      <w:numFmt w:val="decimal"/>
      <w:lvlText w:val="%1.%2.%3.%4.%5."/>
      <w:lvlJc w:val="center"/>
      <w:pPr>
        <w:tabs>
          <w:tab w:val="num" w:pos="2799"/>
        </w:tabs>
        <w:ind w:left="2799" w:hanging="792"/>
      </w:pPr>
      <w:rPr>
        <w:rFonts w:cs="Times New Roman" w:hint="default"/>
      </w:rPr>
    </w:lvl>
    <w:lvl w:ilvl="5">
      <w:start w:val="1"/>
      <w:numFmt w:val="decimal"/>
      <w:lvlText w:val="%1.%2.%3.%4.%5.%6."/>
      <w:lvlJc w:val="center"/>
      <w:pPr>
        <w:tabs>
          <w:tab w:val="num" w:pos="3303"/>
        </w:tabs>
        <w:ind w:left="3303" w:hanging="936"/>
      </w:pPr>
      <w:rPr>
        <w:rFonts w:cs="Times New Roman" w:hint="default"/>
      </w:rPr>
    </w:lvl>
    <w:lvl w:ilvl="6">
      <w:start w:val="1"/>
      <w:numFmt w:val="decimal"/>
      <w:lvlText w:val="%1.%2.%3.%4.%5.%6.%7."/>
      <w:lvlJc w:val="center"/>
      <w:pPr>
        <w:tabs>
          <w:tab w:val="num" w:pos="3807"/>
        </w:tabs>
        <w:ind w:left="3807" w:hanging="1080"/>
      </w:pPr>
      <w:rPr>
        <w:rFonts w:cs="Times New Roman" w:hint="default"/>
      </w:rPr>
    </w:lvl>
    <w:lvl w:ilvl="7">
      <w:start w:val="1"/>
      <w:numFmt w:val="decimal"/>
      <w:lvlText w:val="%1.%2.%3.%4.%5.%6.%7.%8."/>
      <w:lvlJc w:val="center"/>
      <w:pPr>
        <w:tabs>
          <w:tab w:val="num" w:pos="4311"/>
        </w:tabs>
        <w:ind w:left="4311" w:hanging="1224"/>
      </w:pPr>
      <w:rPr>
        <w:rFonts w:cs="Times New Roman" w:hint="default"/>
      </w:rPr>
    </w:lvl>
    <w:lvl w:ilvl="8">
      <w:start w:val="1"/>
      <w:numFmt w:val="decimal"/>
      <w:lvlText w:val="%1.%2.%3.%4.%5.%6.%7.%8.%9."/>
      <w:lvlJc w:val="center"/>
      <w:pPr>
        <w:tabs>
          <w:tab w:val="num" w:pos="4887"/>
        </w:tabs>
        <w:ind w:left="4887" w:hanging="1440"/>
      </w:pPr>
      <w:rPr>
        <w:rFonts w:cs="Times New Roman" w:hint="default"/>
      </w:r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3"/>
  </w:num>
  <w:num w:numId="11">
    <w:abstractNumId w:val="8"/>
  </w:num>
  <w:num w:numId="12">
    <w:abstractNumId w:val="6"/>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27FDB"/>
    <w:rsid w:val="000305B1"/>
    <w:rsid w:val="0004575D"/>
    <w:rsid w:val="000466C2"/>
    <w:rsid w:val="000502D1"/>
    <w:rsid w:val="00052610"/>
    <w:rsid w:val="000614E5"/>
    <w:rsid w:val="00062682"/>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31CDF"/>
    <w:rsid w:val="001414E9"/>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4F26"/>
    <w:rsid w:val="001E6D0C"/>
    <w:rsid w:val="001F28E6"/>
    <w:rsid w:val="001F51F4"/>
    <w:rsid w:val="001F62E8"/>
    <w:rsid w:val="00203B3D"/>
    <w:rsid w:val="00210F11"/>
    <w:rsid w:val="00212EBE"/>
    <w:rsid w:val="00230068"/>
    <w:rsid w:val="00236391"/>
    <w:rsid w:val="00243044"/>
    <w:rsid w:val="00246FA7"/>
    <w:rsid w:val="00250C32"/>
    <w:rsid w:val="0025222B"/>
    <w:rsid w:val="00263AC9"/>
    <w:rsid w:val="00275B82"/>
    <w:rsid w:val="00276225"/>
    <w:rsid w:val="00280038"/>
    <w:rsid w:val="00283C91"/>
    <w:rsid w:val="0028699B"/>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051F7"/>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3F3C86"/>
    <w:rsid w:val="003F4AA2"/>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44C4C"/>
    <w:rsid w:val="00452814"/>
    <w:rsid w:val="00454C06"/>
    <w:rsid w:val="00457687"/>
    <w:rsid w:val="004576AA"/>
    <w:rsid w:val="004655E8"/>
    <w:rsid w:val="004735EC"/>
    <w:rsid w:val="00482B8E"/>
    <w:rsid w:val="004839AA"/>
    <w:rsid w:val="00484A86"/>
    <w:rsid w:val="00492029"/>
    <w:rsid w:val="00492D5D"/>
    <w:rsid w:val="004A0A80"/>
    <w:rsid w:val="004A179B"/>
    <w:rsid w:val="004A2970"/>
    <w:rsid w:val="004A344A"/>
    <w:rsid w:val="004C5B3B"/>
    <w:rsid w:val="004C6F5B"/>
    <w:rsid w:val="004C7155"/>
    <w:rsid w:val="004D0449"/>
    <w:rsid w:val="004D55DA"/>
    <w:rsid w:val="004E7032"/>
    <w:rsid w:val="004E7651"/>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13E0"/>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3BB7"/>
    <w:rsid w:val="005C5CA6"/>
    <w:rsid w:val="005C635F"/>
    <w:rsid w:val="005C76FF"/>
    <w:rsid w:val="005D1317"/>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5758B"/>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E6075"/>
    <w:rsid w:val="006F331D"/>
    <w:rsid w:val="007012E2"/>
    <w:rsid w:val="00701620"/>
    <w:rsid w:val="00706A01"/>
    <w:rsid w:val="0071317E"/>
    <w:rsid w:val="00730C23"/>
    <w:rsid w:val="00730F15"/>
    <w:rsid w:val="007342CE"/>
    <w:rsid w:val="00740582"/>
    <w:rsid w:val="007414E1"/>
    <w:rsid w:val="00741B11"/>
    <w:rsid w:val="0074580C"/>
    <w:rsid w:val="00745C71"/>
    <w:rsid w:val="00747A7C"/>
    <w:rsid w:val="00760F71"/>
    <w:rsid w:val="007617BD"/>
    <w:rsid w:val="00770D80"/>
    <w:rsid w:val="00772339"/>
    <w:rsid w:val="00781D5D"/>
    <w:rsid w:val="0078710E"/>
    <w:rsid w:val="00787F4C"/>
    <w:rsid w:val="007917B0"/>
    <w:rsid w:val="007A1A5F"/>
    <w:rsid w:val="007A34C9"/>
    <w:rsid w:val="007A6C5D"/>
    <w:rsid w:val="007A7425"/>
    <w:rsid w:val="007A7980"/>
    <w:rsid w:val="007B04FD"/>
    <w:rsid w:val="007B71B6"/>
    <w:rsid w:val="007C085F"/>
    <w:rsid w:val="007C1B58"/>
    <w:rsid w:val="007D41E1"/>
    <w:rsid w:val="007D6EE1"/>
    <w:rsid w:val="007E17BD"/>
    <w:rsid w:val="007E1A57"/>
    <w:rsid w:val="007E616F"/>
    <w:rsid w:val="007F0611"/>
    <w:rsid w:val="007F284E"/>
    <w:rsid w:val="007F2CA6"/>
    <w:rsid w:val="007F423C"/>
    <w:rsid w:val="007F71A7"/>
    <w:rsid w:val="0080149A"/>
    <w:rsid w:val="00801CA2"/>
    <w:rsid w:val="00802BFE"/>
    <w:rsid w:val="008052DA"/>
    <w:rsid w:val="00807431"/>
    <w:rsid w:val="00810763"/>
    <w:rsid w:val="008157BA"/>
    <w:rsid w:val="00817D8A"/>
    <w:rsid w:val="00824A75"/>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52B"/>
    <w:rsid w:val="00873E53"/>
    <w:rsid w:val="00877C88"/>
    <w:rsid w:val="0088365D"/>
    <w:rsid w:val="008907C3"/>
    <w:rsid w:val="008920C9"/>
    <w:rsid w:val="008924D8"/>
    <w:rsid w:val="00892705"/>
    <w:rsid w:val="008965FF"/>
    <w:rsid w:val="00897D7D"/>
    <w:rsid w:val="008A0D61"/>
    <w:rsid w:val="008A117A"/>
    <w:rsid w:val="008A4E71"/>
    <w:rsid w:val="008B2904"/>
    <w:rsid w:val="008B3910"/>
    <w:rsid w:val="008B564A"/>
    <w:rsid w:val="008B594C"/>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36D8"/>
    <w:rsid w:val="009345ED"/>
    <w:rsid w:val="00934ED3"/>
    <w:rsid w:val="00940505"/>
    <w:rsid w:val="00941183"/>
    <w:rsid w:val="00943EFE"/>
    <w:rsid w:val="00946CAD"/>
    <w:rsid w:val="0095466B"/>
    <w:rsid w:val="00957AFC"/>
    <w:rsid w:val="009612BE"/>
    <w:rsid w:val="00961939"/>
    <w:rsid w:val="00970925"/>
    <w:rsid w:val="00987141"/>
    <w:rsid w:val="00991A2A"/>
    <w:rsid w:val="009937AE"/>
    <w:rsid w:val="009A2328"/>
    <w:rsid w:val="009A374A"/>
    <w:rsid w:val="009B01E1"/>
    <w:rsid w:val="009B5ABC"/>
    <w:rsid w:val="009C2CE3"/>
    <w:rsid w:val="009D1139"/>
    <w:rsid w:val="009D5B6B"/>
    <w:rsid w:val="009D6B3B"/>
    <w:rsid w:val="009D71A3"/>
    <w:rsid w:val="009E5610"/>
    <w:rsid w:val="009F3027"/>
    <w:rsid w:val="009F5C01"/>
    <w:rsid w:val="00A06CAC"/>
    <w:rsid w:val="00A10C60"/>
    <w:rsid w:val="00A176D5"/>
    <w:rsid w:val="00A2557F"/>
    <w:rsid w:val="00A27711"/>
    <w:rsid w:val="00A27849"/>
    <w:rsid w:val="00A30E4A"/>
    <w:rsid w:val="00A339CF"/>
    <w:rsid w:val="00A362B4"/>
    <w:rsid w:val="00A41ECF"/>
    <w:rsid w:val="00A43D36"/>
    <w:rsid w:val="00A5580C"/>
    <w:rsid w:val="00A60E0E"/>
    <w:rsid w:val="00A61B62"/>
    <w:rsid w:val="00A72CBB"/>
    <w:rsid w:val="00A85159"/>
    <w:rsid w:val="00A87E8E"/>
    <w:rsid w:val="00A91D66"/>
    <w:rsid w:val="00AA4754"/>
    <w:rsid w:val="00AA4992"/>
    <w:rsid w:val="00AA71D5"/>
    <w:rsid w:val="00AA740D"/>
    <w:rsid w:val="00AB0EB8"/>
    <w:rsid w:val="00AB478D"/>
    <w:rsid w:val="00AC5B03"/>
    <w:rsid w:val="00AC5D5C"/>
    <w:rsid w:val="00AC6890"/>
    <w:rsid w:val="00AD286E"/>
    <w:rsid w:val="00AF05D2"/>
    <w:rsid w:val="00AF535D"/>
    <w:rsid w:val="00AF679A"/>
    <w:rsid w:val="00B02AD8"/>
    <w:rsid w:val="00B02B42"/>
    <w:rsid w:val="00B0353D"/>
    <w:rsid w:val="00B03A12"/>
    <w:rsid w:val="00B06509"/>
    <w:rsid w:val="00B06C58"/>
    <w:rsid w:val="00B10221"/>
    <w:rsid w:val="00B158CF"/>
    <w:rsid w:val="00B23E71"/>
    <w:rsid w:val="00B269CD"/>
    <w:rsid w:val="00B3068E"/>
    <w:rsid w:val="00B3103B"/>
    <w:rsid w:val="00B37BBE"/>
    <w:rsid w:val="00B42CDF"/>
    <w:rsid w:val="00B46F7B"/>
    <w:rsid w:val="00B476CC"/>
    <w:rsid w:val="00B52957"/>
    <w:rsid w:val="00B552D1"/>
    <w:rsid w:val="00B5736D"/>
    <w:rsid w:val="00B57F69"/>
    <w:rsid w:val="00B653D0"/>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3572"/>
    <w:rsid w:val="00CC493C"/>
    <w:rsid w:val="00CC598E"/>
    <w:rsid w:val="00CC59FC"/>
    <w:rsid w:val="00CC65CD"/>
    <w:rsid w:val="00CD4B7E"/>
    <w:rsid w:val="00CD51D2"/>
    <w:rsid w:val="00CD578A"/>
    <w:rsid w:val="00CD5DAB"/>
    <w:rsid w:val="00CE1CDD"/>
    <w:rsid w:val="00CE65D4"/>
    <w:rsid w:val="00CE7A79"/>
    <w:rsid w:val="00CF4492"/>
    <w:rsid w:val="00D038A8"/>
    <w:rsid w:val="00D0407A"/>
    <w:rsid w:val="00D043CC"/>
    <w:rsid w:val="00D14E29"/>
    <w:rsid w:val="00D153B8"/>
    <w:rsid w:val="00D25B51"/>
    <w:rsid w:val="00D33F84"/>
    <w:rsid w:val="00D3751C"/>
    <w:rsid w:val="00D424D1"/>
    <w:rsid w:val="00D44CFE"/>
    <w:rsid w:val="00D463F8"/>
    <w:rsid w:val="00D54F0D"/>
    <w:rsid w:val="00D56394"/>
    <w:rsid w:val="00D56CA9"/>
    <w:rsid w:val="00D56FEA"/>
    <w:rsid w:val="00D61443"/>
    <w:rsid w:val="00D621C1"/>
    <w:rsid w:val="00D673A0"/>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1176A"/>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E6DA5"/>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632C2"/>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B5DA8"/>
    <w:rsid w:val="00FC1161"/>
    <w:rsid w:val="00FC7294"/>
    <w:rsid w:val="00FE0A60"/>
    <w:rsid w:val="00FE4890"/>
    <w:rsid w:val="00FF5F85"/>
    <w:rsid w:val="00FF7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paragraph" w:styleId="1">
    <w:name w:val="heading 1"/>
    <w:basedOn w:val="a"/>
    <w:link w:val="10"/>
    <w:qFormat/>
    <w:rsid w:val="009612BE"/>
    <w:pPr>
      <w:numPr>
        <w:numId w:val="14"/>
      </w:numPr>
      <w:tabs>
        <w:tab w:val="left" w:pos="1814"/>
        <w:tab w:val="left" w:pos="2665"/>
      </w:tabs>
      <w:bidi/>
      <w:spacing w:line="360" w:lineRule="auto"/>
      <w:outlineLvl w:val="0"/>
    </w:pPr>
    <w:rPr>
      <w:rFonts w:ascii="Times New Roman" w:hAnsi="Times New Roman" w:cs="David"/>
      <w:kern w:val="28"/>
      <w:sz w:val="22"/>
    </w:rPr>
  </w:style>
  <w:style w:type="paragraph" w:styleId="2">
    <w:name w:val="heading 2"/>
    <w:basedOn w:val="1"/>
    <w:link w:val="20"/>
    <w:qFormat/>
    <w:rsid w:val="009612BE"/>
    <w:pPr>
      <w:numPr>
        <w:ilvl w:val="1"/>
      </w:numPr>
      <w:tabs>
        <w:tab w:val="clear" w:pos="1814"/>
        <w:tab w:val="clear" w:pos="2665"/>
      </w:tabs>
      <w:outlineLvl w:val="1"/>
    </w:pPr>
  </w:style>
  <w:style w:type="paragraph" w:styleId="3">
    <w:name w:val="heading 3"/>
    <w:basedOn w:val="2"/>
    <w:link w:val="30"/>
    <w:qFormat/>
    <w:rsid w:val="009612BE"/>
    <w:pPr>
      <w:numPr>
        <w:ilvl w:val="2"/>
      </w:numPr>
      <w:outlineLvl w:val="2"/>
    </w:pPr>
  </w:style>
  <w:style w:type="paragraph" w:styleId="4">
    <w:name w:val="heading 4"/>
    <w:basedOn w:val="3"/>
    <w:link w:val="40"/>
    <w:qFormat/>
    <w:rsid w:val="009612BE"/>
    <w:pPr>
      <w:numPr>
        <w:ilvl w:val="3"/>
      </w:num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uiPriority w:val="99"/>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character" w:customStyle="1" w:styleId="10">
    <w:name w:val="כותרת 1 תו"/>
    <w:basedOn w:val="a0"/>
    <w:link w:val="1"/>
    <w:rsid w:val="009612BE"/>
    <w:rPr>
      <w:rFonts w:ascii="Times New Roman" w:hAnsi="Times New Roman" w:cs="David"/>
      <w:kern w:val="28"/>
      <w:sz w:val="22"/>
      <w:szCs w:val="24"/>
    </w:rPr>
  </w:style>
  <w:style w:type="character" w:customStyle="1" w:styleId="20">
    <w:name w:val="כותרת 2 תו"/>
    <w:basedOn w:val="a0"/>
    <w:link w:val="2"/>
    <w:rsid w:val="009612BE"/>
    <w:rPr>
      <w:rFonts w:ascii="Times New Roman" w:hAnsi="Times New Roman" w:cs="David"/>
      <w:kern w:val="28"/>
      <w:sz w:val="22"/>
      <w:szCs w:val="24"/>
    </w:rPr>
  </w:style>
  <w:style w:type="character" w:customStyle="1" w:styleId="30">
    <w:name w:val="כותרת 3 תו"/>
    <w:basedOn w:val="a0"/>
    <w:link w:val="3"/>
    <w:rsid w:val="009612BE"/>
    <w:rPr>
      <w:rFonts w:ascii="Times New Roman" w:hAnsi="Times New Roman" w:cs="David"/>
      <w:kern w:val="28"/>
      <w:sz w:val="22"/>
      <w:szCs w:val="24"/>
    </w:rPr>
  </w:style>
  <w:style w:type="character" w:customStyle="1" w:styleId="40">
    <w:name w:val="כותרת 4 תו"/>
    <w:basedOn w:val="a0"/>
    <w:link w:val="4"/>
    <w:rsid w:val="009612BE"/>
    <w:rPr>
      <w:rFonts w:ascii="Times New Roman" w:hAnsi="Times New Roman" w:cs="David"/>
      <w:kern w:val="28"/>
      <w:sz w:val="22"/>
      <w:szCs w:val="24"/>
    </w:rPr>
  </w:style>
  <w:style w:type="character" w:customStyle="1" w:styleId="Heading2">
    <w:name w:val="Heading #2_"/>
    <w:link w:val="Heading20"/>
    <w:rsid w:val="009612BE"/>
    <w:rPr>
      <w:rFonts w:ascii="David" w:eastAsia="David" w:hAnsi="David" w:cs="David"/>
      <w:b/>
      <w:bCs/>
      <w:u w:val="single"/>
    </w:rPr>
  </w:style>
  <w:style w:type="paragraph" w:customStyle="1" w:styleId="Heading20">
    <w:name w:val="Heading #2"/>
    <w:basedOn w:val="a"/>
    <w:link w:val="Heading2"/>
    <w:rsid w:val="009612BE"/>
    <w:pPr>
      <w:widowControl w:val="0"/>
      <w:bidi/>
      <w:spacing w:after="200" w:line="322" w:lineRule="auto"/>
      <w:jc w:val="left"/>
      <w:outlineLvl w:val="1"/>
    </w:pPr>
    <w:rPr>
      <w:rFonts w:ascii="David" w:eastAsia="David" w:hAnsi="David" w:cs="David"/>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653417883">
      <w:bodyDiv w:val="1"/>
      <w:marLeft w:val="0"/>
      <w:marRight w:val="0"/>
      <w:marTop w:val="0"/>
      <w:marBottom w:val="0"/>
      <w:divBdr>
        <w:top w:val="none" w:sz="0" w:space="0" w:color="auto"/>
        <w:left w:val="none" w:sz="0" w:space="0" w:color="auto"/>
        <w:bottom w:val="none" w:sz="0" w:space="0" w:color="auto"/>
        <w:right w:val="none" w:sz="0" w:space="0" w:color="auto"/>
      </w:divBdr>
      <w:divsChild>
        <w:div w:id="798180724">
          <w:marLeft w:val="0"/>
          <w:marRight w:val="0"/>
          <w:marTop w:val="0"/>
          <w:marBottom w:val="0"/>
          <w:divBdr>
            <w:top w:val="none" w:sz="0" w:space="0" w:color="auto"/>
            <w:left w:val="none" w:sz="0" w:space="0" w:color="auto"/>
            <w:bottom w:val="none" w:sz="0" w:space="0" w:color="auto"/>
            <w:right w:val="none" w:sz="0" w:space="0" w:color="auto"/>
          </w:divBdr>
          <w:divsChild>
            <w:div w:id="14998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file:///C:\Users\u62b\AppData\Local\Microsoft\Windows\INetCache\Content.Outlook\IRLT8E9S\23LM4786.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u62b\AppData\Local\Microsoft\Windows\INetCache\Content.Outlook\AppData\Local\Microsoft\Windows\INetCache\Content.Outlook\YR9G2D4Z\23LM4789%20(002).pdf"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u62b\AppData\Local\Microsoft\Windows\INetCache\Content.Outlook\IRLT8E9S\23LM478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E7D44AF6-39FB-4BA9-A8D5-F126D521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4620</Characters>
  <Application>Microsoft Office Word</Application>
  <DocSecurity>0</DocSecurity>
  <Lines>38</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2023-02-07T09:26:00Z</dcterms:created>
  <dcterms:modified xsi:type="dcterms:W3CDTF">2023-02-07T09:26:00Z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