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92"/>
        <w:bidiVisual/>
        <w:tblW w:w="8520" w:type="dxa"/>
        <w:tblLayout w:type="fixed"/>
        <w:tblLook w:val="0000" w:firstRow="0" w:lastRow="0" w:firstColumn="0" w:lastColumn="0" w:noHBand="0" w:noVBand="0"/>
        <w:tblCaption w:val="כותרת עליונה"/>
        <w:tblDescription w:val="כותרת עליונה"/>
      </w:tblPr>
      <w:tblGrid>
        <w:gridCol w:w="2840"/>
        <w:gridCol w:w="2596"/>
        <w:gridCol w:w="3084"/>
      </w:tblGrid>
      <w:tr w:rsidR="00B645E8" w:rsidRPr="00B645E8" w:rsidTr="00C663D9">
        <w:trPr>
          <w:tblHeader/>
        </w:trPr>
        <w:tc>
          <w:tcPr>
            <w:tcW w:w="2840" w:type="dxa"/>
            <w:tcBorders>
              <w:top w:val="nil"/>
              <w:left w:val="nil"/>
              <w:bottom w:val="nil"/>
              <w:right w:val="nil"/>
            </w:tcBorders>
            <w:vAlign w:val="center"/>
          </w:tcPr>
          <w:p w:rsidR="00B645E8" w:rsidRPr="00B645E8" w:rsidRDefault="00B645E8" w:rsidP="00B645E8">
            <w:pPr>
              <w:tabs>
                <w:tab w:val="left" w:pos="567"/>
                <w:tab w:val="left" w:pos="1134"/>
                <w:tab w:val="left" w:pos="1814"/>
                <w:tab w:val="left" w:pos="2665"/>
              </w:tabs>
              <w:spacing w:after="0" w:line="360" w:lineRule="auto"/>
              <w:jc w:val="center"/>
              <w:rPr>
                <w:rFonts w:eastAsia="Times New Roman" w:cstheme="minorHAnsi"/>
                <w:b/>
                <w:bCs/>
                <w:sz w:val="28"/>
                <w:szCs w:val="28"/>
              </w:rPr>
            </w:pPr>
            <w:r w:rsidRPr="00B645E8">
              <w:rPr>
                <w:rFonts w:eastAsia="Times New Roman" w:cstheme="minorHAnsi"/>
                <w:b/>
                <w:bCs/>
                <w:sz w:val="28"/>
                <w:szCs w:val="28"/>
                <w:rtl/>
              </w:rPr>
              <w:t>בנק ישראל</w:t>
            </w:r>
          </w:p>
          <w:p w:rsidR="00B645E8" w:rsidRPr="00B645E8" w:rsidRDefault="00B645E8" w:rsidP="00B645E8">
            <w:pPr>
              <w:tabs>
                <w:tab w:val="left" w:pos="567"/>
                <w:tab w:val="left" w:pos="1134"/>
                <w:tab w:val="left" w:pos="1814"/>
                <w:tab w:val="left" w:pos="2665"/>
              </w:tabs>
              <w:spacing w:after="0" w:line="360" w:lineRule="auto"/>
              <w:ind w:right="-99"/>
              <w:jc w:val="center"/>
              <w:rPr>
                <w:rFonts w:eastAsia="Times New Roman" w:cstheme="minorHAnsi"/>
                <w:sz w:val="24"/>
                <w:szCs w:val="24"/>
              </w:rPr>
            </w:pPr>
            <w:r w:rsidRPr="00B645E8">
              <w:rPr>
                <w:rFonts w:eastAsia="Times New Roman" w:cstheme="minorHAnsi"/>
                <w:sz w:val="24"/>
                <w:szCs w:val="24"/>
                <w:rtl/>
              </w:rPr>
              <w:t>דוברות והסברה כלכלית</w:t>
            </w:r>
          </w:p>
        </w:tc>
        <w:tc>
          <w:tcPr>
            <w:tcW w:w="2596" w:type="dxa"/>
            <w:tcBorders>
              <w:top w:val="nil"/>
              <w:left w:val="nil"/>
              <w:bottom w:val="nil"/>
              <w:right w:val="nil"/>
            </w:tcBorders>
          </w:tcPr>
          <w:p w:rsidR="00B645E8" w:rsidRPr="00B645E8" w:rsidRDefault="00B645E8" w:rsidP="00B645E8">
            <w:pPr>
              <w:tabs>
                <w:tab w:val="left" w:pos="567"/>
                <w:tab w:val="left" w:pos="1134"/>
                <w:tab w:val="left" w:pos="1814"/>
                <w:tab w:val="left" w:pos="2665"/>
              </w:tabs>
              <w:spacing w:after="0" w:line="360" w:lineRule="auto"/>
              <w:jc w:val="center"/>
              <w:rPr>
                <w:rFonts w:eastAsia="Times New Roman" w:cstheme="minorHAnsi"/>
                <w:sz w:val="24"/>
                <w:szCs w:val="24"/>
              </w:rPr>
            </w:pPr>
            <w:r w:rsidRPr="00B645E8">
              <w:rPr>
                <w:rFonts w:eastAsia="Times New Roman" w:cstheme="minorHAnsi"/>
                <w:noProof/>
                <w:sz w:val="24"/>
                <w:szCs w:val="24"/>
              </w:rPr>
              <w:drawing>
                <wp:inline distT="0" distB="0" distL="0" distR="0" wp14:anchorId="400385F9" wp14:editId="6237869C">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084" w:type="dxa"/>
            <w:tcBorders>
              <w:top w:val="nil"/>
              <w:left w:val="nil"/>
              <w:bottom w:val="nil"/>
              <w:right w:val="nil"/>
            </w:tcBorders>
            <w:vAlign w:val="center"/>
          </w:tcPr>
          <w:p w:rsidR="00B645E8" w:rsidRPr="00B645E8" w:rsidRDefault="00B645E8" w:rsidP="00B645E8">
            <w:pPr>
              <w:tabs>
                <w:tab w:val="left" w:pos="567"/>
                <w:tab w:val="left" w:pos="1134"/>
                <w:tab w:val="left" w:pos="1814"/>
                <w:tab w:val="left" w:pos="2665"/>
              </w:tabs>
              <w:spacing w:after="0" w:line="480" w:lineRule="auto"/>
              <w:jc w:val="right"/>
              <w:rPr>
                <w:rFonts w:eastAsia="Times New Roman" w:cstheme="minorHAnsi"/>
                <w:sz w:val="24"/>
                <w:szCs w:val="24"/>
              </w:rPr>
            </w:pPr>
            <w:r w:rsidRPr="00B645E8">
              <w:rPr>
                <w:rFonts w:eastAsia="Times New Roman" w:cstheme="minorHAnsi"/>
                <w:sz w:val="24"/>
                <w:szCs w:val="24"/>
                <w:rtl/>
              </w:rPr>
              <w:t>‏ ירושלים, ב' תמוז, תשפ"ו</w:t>
            </w:r>
          </w:p>
          <w:p w:rsidR="00B645E8" w:rsidRPr="00B645E8" w:rsidRDefault="00B645E8" w:rsidP="00B645E8">
            <w:pPr>
              <w:tabs>
                <w:tab w:val="left" w:pos="567"/>
                <w:tab w:val="left" w:pos="1134"/>
                <w:tab w:val="left" w:pos="1814"/>
                <w:tab w:val="left" w:pos="2665"/>
              </w:tabs>
              <w:spacing w:after="0" w:line="480" w:lineRule="auto"/>
              <w:jc w:val="right"/>
              <w:rPr>
                <w:rFonts w:eastAsia="Times New Roman" w:cstheme="minorHAnsi"/>
                <w:sz w:val="24"/>
                <w:szCs w:val="24"/>
              </w:rPr>
            </w:pPr>
            <w:r w:rsidRPr="00B645E8">
              <w:rPr>
                <w:rFonts w:eastAsia="Times New Roman" w:cstheme="minorHAnsi"/>
                <w:sz w:val="24"/>
                <w:szCs w:val="24"/>
                <w:rtl/>
              </w:rPr>
              <w:t>‏‏17 יוני 2026</w:t>
            </w:r>
          </w:p>
        </w:tc>
      </w:tr>
    </w:tbl>
    <w:p w:rsidR="00B645E8" w:rsidRPr="00B645E8" w:rsidRDefault="00B645E8" w:rsidP="00B645E8">
      <w:pPr>
        <w:tabs>
          <w:tab w:val="left" w:pos="567"/>
          <w:tab w:val="left" w:pos="1134"/>
          <w:tab w:val="left" w:pos="1814"/>
          <w:tab w:val="left" w:pos="2665"/>
        </w:tabs>
        <w:spacing w:after="0" w:line="360" w:lineRule="auto"/>
        <w:jc w:val="both"/>
        <w:rPr>
          <w:rFonts w:eastAsia="Times New Roman" w:cstheme="minorHAnsi"/>
          <w:sz w:val="24"/>
          <w:szCs w:val="24"/>
          <w:rtl/>
        </w:rPr>
      </w:pPr>
    </w:p>
    <w:p w:rsidR="00B645E8" w:rsidRPr="00B645E8" w:rsidRDefault="00B645E8" w:rsidP="00B645E8">
      <w:pPr>
        <w:tabs>
          <w:tab w:val="left" w:pos="567"/>
          <w:tab w:val="left" w:pos="1134"/>
          <w:tab w:val="left" w:pos="1814"/>
          <w:tab w:val="left" w:pos="2665"/>
        </w:tabs>
        <w:spacing w:after="0" w:line="360" w:lineRule="auto"/>
        <w:jc w:val="both"/>
        <w:rPr>
          <w:rFonts w:eastAsia="Times New Roman" w:cstheme="minorHAnsi"/>
          <w:sz w:val="24"/>
          <w:szCs w:val="24"/>
          <w:rtl/>
        </w:rPr>
      </w:pPr>
      <w:r w:rsidRPr="00B645E8">
        <w:rPr>
          <w:rFonts w:eastAsia="Times New Roman" w:cstheme="minorHAnsi"/>
          <w:sz w:val="24"/>
          <w:szCs w:val="24"/>
          <w:rtl/>
        </w:rPr>
        <w:t>הודעה לעיתונות:</w:t>
      </w:r>
    </w:p>
    <w:p w:rsidR="00B645E8" w:rsidRPr="00B645E8" w:rsidRDefault="00B645E8" w:rsidP="00B645E8">
      <w:pPr>
        <w:tabs>
          <w:tab w:val="left" w:pos="567"/>
          <w:tab w:val="left" w:pos="1134"/>
          <w:tab w:val="left" w:pos="1814"/>
          <w:tab w:val="left" w:pos="2315"/>
          <w:tab w:val="left" w:pos="2665"/>
        </w:tabs>
        <w:spacing w:after="0" w:line="360" w:lineRule="auto"/>
        <w:jc w:val="center"/>
        <w:rPr>
          <w:rFonts w:eastAsia="Times New Roman" w:cstheme="minorHAnsi"/>
          <w:b/>
          <w:bCs/>
          <w:sz w:val="28"/>
          <w:szCs w:val="28"/>
          <w:rtl/>
        </w:rPr>
      </w:pPr>
      <w:r w:rsidRPr="00B645E8">
        <w:rPr>
          <w:rFonts w:eastAsia="Times New Roman" w:cstheme="minorHAnsi"/>
          <w:b/>
          <w:bCs/>
          <w:sz w:val="28"/>
          <w:szCs w:val="28"/>
          <w:rtl/>
        </w:rPr>
        <w:t>הפיקוח על הבנקים קיים את מפגש העדכון השנתי בנושא:</w:t>
      </w:r>
    </w:p>
    <w:p w:rsidR="00B645E8" w:rsidRPr="00B645E8" w:rsidRDefault="00B645E8" w:rsidP="00B645E8">
      <w:pPr>
        <w:tabs>
          <w:tab w:val="left" w:pos="567"/>
          <w:tab w:val="left" w:pos="1134"/>
          <w:tab w:val="left" w:pos="1814"/>
          <w:tab w:val="left" w:pos="2315"/>
          <w:tab w:val="left" w:pos="2665"/>
        </w:tabs>
        <w:spacing w:after="0" w:line="360" w:lineRule="auto"/>
        <w:jc w:val="center"/>
        <w:rPr>
          <w:rFonts w:eastAsia="Times New Roman" w:cstheme="minorHAnsi"/>
          <w:b/>
          <w:bCs/>
          <w:sz w:val="28"/>
          <w:szCs w:val="28"/>
          <w:rtl/>
        </w:rPr>
      </w:pPr>
      <w:r w:rsidRPr="00B645E8">
        <w:rPr>
          <w:rFonts w:eastAsia="Times New Roman" w:cstheme="minorHAnsi"/>
          <w:b/>
          <w:bCs/>
          <w:sz w:val="28"/>
          <w:szCs w:val="28"/>
          <w:rtl/>
        </w:rPr>
        <w:t xml:space="preserve"> "אמנת זמינות פיננסית" – לסיוע בהתמודדות</w:t>
      </w:r>
      <w:r w:rsidRPr="00B645E8">
        <w:rPr>
          <w:rFonts w:eastAsia="Times New Roman" w:cstheme="minorHAnsi"/>
          <w:b/>
          <w:bCs/>
          <w:sz w:val="28"/>
          <w:szCs w:val="28"/>
        </w:rPr>
        <w:t xml:space="preserve"> </w:t>
      </w:r>
      <w:r w:rsidRPr="00B645E8">
        <w:rPr>
          <w:rFonts w:eastAsia="Times New Roman" w:cstheme="minorHAnsi"/>
          <w:b/>
          <w:bCs/>
          <w:sz w:val="28"/>
          <w:szCs w:val="28"/>
          <w:rtl/>
        </w:rPr>
        <w:t>הפיננסית</w:t>
      </w:r>
      <w:r w:rsidRPr="00B645E8">
        <w:rPr>
          <w:rFonts w:eastAsia="Times New Roman" w:cstheme="minorHAnsi"/>
          <w:b/>
          <w:bCs/>
          <w:sz w:val="28"/>
          <w:szCs w:val="28"/>
        </w:rPr>
        <w:t xml:space="preserve"> </w:t>
      </w:r>
      <w:r w:rsidRPr="00B645E8">
        <w:rPr>
          <w:rFonts w:eastAsia="Times New Roman" w:cstheme="minorHAnsi"/>
          <w:b/>
          <w:bCs/>
          <w:sz w:val="28"/>
          <w:szCs w:val="28"/>
          <w:rtl/>
        </w:rPr>
        <w:t>של</w:t>
      </w:r>
      <w:r w:rsidRPr="00B645E8">
        <w:rPr>
          <w:rFonts w:eastAsia="Times New Roman" w:cstheme="minorHAnsi"/>
          <w:b/>
          <w:bCs/>
          <w:sz w:val="28"/>
          <w:szCs w:val="28"/>
        </w:rPr>
        <w:t xml:space="preserve"> </w:t>
      </w:r>
      <w:r w:rsidRPr="00B645E8">
        <w:rPr>
          <w:rFonts w:eastAsia="Times New Roman" w:cstheme="minorHAnsi"/>
          <w:b/>
          <w:bCs/>
          <w:sz w:val="28"/>
          <w:szCs w:val="28"/>
          <w:rtl/>
        </w:rPr>
        <w:t>נפגעות אלימות</w:t>
      </w:r>
      <w:r w:rsidRPr="00B645E8">
        <w:rPr>
          <w:rFonts w:eastAsia="Times New Roman" w:cstheme="minorHAnsi"/>
          <w:b/>
          <w:bCs/>
          <w:sz w:val="28"/>
          <w:szCs w:val="28"/>
        </w:rPr>
        <w:t xml:space="preserve"> </w:t>
      </w:r>
      <w:r w:rsidRPr="00B645E8">
        <w:rPr>
          <w:rFonts w:eastAsia="Times New Roman" w:cstheme="minorHAnsi"/>
          <w:b/>
          <w:bCs/>
          <w:sz w:val="28"/>
          <w:szCs w:val="28"/>
          <w:rtl/>
        </w:rPr>
        <w:t>ונשים</w:t>
      </w:r>
      <w:r w:rsidRPr="00B645E8">
        <w:rPr>
          <w:rFonts w:eastAsia="Times New Roman" w:cstheme="minorHAnsi"/>
          <w:b/>
          <w:bCs/>
          <w:sz w:val="28"/>
          <w:szCs w:val="28"/>
        </w:rPr>
        <w:t xml:space="preserve"> </w:t>
      </w:r>
      <w:r w:rsidRPr="00B645E8">
        <w:rPr>
          <w:rFonts w:eastAsia="Times New Roman" w:cstheme="minorHAnsi"/>
          <w:b/>
          <w:bCs/>
          <w:sz w:val="28"/>
          <w:szCs w:val="28"/>
          <w:rtl/>
        </w:rPr>
        <w:t>המצויות בתהליך</w:t>
      </w:r>
      <w:r w:rsidRPr="00B645E8">
        <w:rPr>
          <w:rFonts w:eastAsia="Times New Roman" w:cstheme="minorHAnsi"/>
          <w:b/>
          <w:bCs/>
          <w:sz w:val="28"/>
          <w:szCs w:val="28"/>
        </w:rPr>
        <w:t xml:space="preserve"> </w:t>
      </w:r>
      <w:r w:rsidRPr="00B645E8">
        <w:rPr>
          <w:rFonts w:eastAsia="Times New Roman" w:cstheme="minorHAnsi"/>
          <w:b/>
          <w:bCs/>
          <w:sz w:val="28"/>
          <w:szCs w:val="28"/>
          <w:rtl/>
        </w:rPr>
        <w:t>היציאה ממעגל</w:t>
      </w:r>
      <w:r w:rsidRPr="00B645E8">
        <w:rPr>
          <w:rFonts w:eastAsia="Times New Roman" w:cstheme="minorHAnsi"/>
          <w:b/>
          <w:bCs/>
          <w:sz w:val="28"/>
          <w:szCs w:val="28"/>
        </w:rPr>
        <w:t xml:space="preserve"> </w:t>
      </w:r>
      <w:r w:rsidRPr="00B645E8">
        <w:rPr>
          <w:rFonts w:eastAsia="Times New Roman" w:cstheme="minorHAnsi"/>
          <w:b/>
          <w:bCs/>
          <w:sz w:val="28"/>
          <w:szCs w:val="28"/>
          <w:rtl/>
        </w:rPr>
        <w:t>הזנות</w:t>
      </w:r>
    </w:p>
    <w:p w:rsidR="00B645E8" w:rsidRPr="00B645E8" w:rsidRDefault="00B645E8" w:rsidP="00B645E8">
      <w:pPr>
        <w:tabs>
          <w:tab w:val="left" w:pos="567"/>
          <w:tab w:val="left" w:pos="1134"/>
          <w:tab w:val="left" w:pos="1814"/>
          <w:tab w:val="left" w:pos="2315"/>
          <w:tab w:val="left" w:pos="2665"/>
        </w:tabs>
        <w:spacing w:after="0" w:line="360" w:lineRule="auto"/>
        <w:jc w:val="both"/>
        <w:rPr>
          <w:rFonts w:eastAsia="Times New Roman" w:cstheme="minorHAnsi"/>
          <w:sz w:val="24"/>
          <w:szCs w:val="24"/>
          <w:rtl/>
        </w:rPr>
      </w:pPr>
    </w:p>
    <w:p w:rsidR="00B645E8" w:rsidRPr="00B645E8" w:rsidRDefault="00B645E8" w:rsidP="00B645E8">
      <w:pPr>
        <w:tabs>
          <w:tab w:val="left" w:pos="567"/>
          <w:tab w:val="left" w:pos="1134"/>
          <w:tab w:val="left" w:pos="1814"/>
          <w:tab w:val="left" w:pos="2315"/>
          <w:tab w:val="left" w:pos="2665"/>
        </w:tabs>
        <w:spacing w:after="0" w:line="360" w:lineRule="auto"/>
        <w:jc w:val="both"/>
        <w:rPr>
          <w:rFonts w:eastAsia="Times New Roman" w:cstheme="minorHAnsi"/>
          <w:sz w:val="24"/>
          <w:szCs w:val="24"/>
          <w:rtl/>
        </w:rPr>
      </w:pPr>
      <w:r w:rsidRPr="00B645E8">
        <w:rPr>
          <w:rFonts w:eastAsia="Times New Roman" w:cstheme="minorHAnsi"/>
          <w:sz w:val="24"/>
          <w:szCs w:val="24"/>
          <w:rtl/>
        </w:rPr>
        <w:t xml:space="preserve">השנה עמד הכנס בסימן עשור לאמנת זמינות פיננסית. ההרצאות הוקדשו לסקירה של התפתחות האמנה, מזיהוי הצורך הראשוני ועד למנגנון המשמש את כלל המקלטים לנפגעות האלימות, מעל למאה ושבעים מרכזי אלימות במשפחה, </w:t>
      </w:r>
      <w:proofErr w:type="spellStart"/>
      <w:r w:rsidRPr="00B645E8">
        <w:rPr>
          <w:rFonts w:eastAsia="Times New Roman" w:cstheme="minorHAnsi"/>
          <w:sz w:val="24"/>
          <w:szCs w:val="24"/>
          <w:rtl/>
        </w:rPr>
        <w:t>ושורדי</w:t>
      </w:r>
      <w:proofErr w:type="spellEnd"/>
      <w:r w:rsidRPr="00B645E8">
        <w:rPr>
          <w:rFonts w:eastAsia="Times New Roman" w:cstheme="minorHAnsi"/>
          <w:sz w:val="24"/>
          <w:szCs w:val="24"/>
          <w:rtl/>
        </w:rPr>
        <w:t xml:space="preserve"> זנות בסיוע הניתן על ידי המערכת הבנקאית ובנק הדואר. </w:t>
      </w:r>
    </w:p>
    <w:p w:rsidR="00B645E8" w:rsidRPr="00B645E8" w:rsidRDefault="00B645E8" w:rsidP="00B645E8">
      <w:pPr>
        <w:tabs>
          <w:tab w:val="left" w:pos="567"/>
          <w:tab w:val="left" w:pos="1134"/>
          <w:tab w:val="left" w:pos="1814"/>
          <w:tab w:val="left" w:pos="2315"/>
          <w:tab w:val="left" w:pos="2665"/>
        </w:tabs>
        <w:spacing w:after="0" w:line="360" w:lineRule="auto"/>
        <w:jc w:val="both"/>
        <w:rPr>
          <w:rFonts w:eastAsia="Times New Roman" w:cstheme="minorHAnsi"/>
          <w:sz w:val="24"/>
          <w:szCs w:val="24"/>
          <w:rtl/>
        </w:rPr>
      </w:pPr>
      <w:r w:rsidRPr="00B645E8">
        <w:rPr>
          <w:rFonts w:eastAsia="Times New Roman" w:cstheme="minorHAnsi"/>
          <w:sz w:val="24"/>
          <w:szCs w:val="24"/>
          <w:rtl/>
        </w:rPr>
        <w:t>"אמנת זמינות פיננסית", אשר הושקה ב-2016, הינה מתווה וולונטרי לסיוע לנפגעות</w:t>
      </w:r>
      <w:r w:rsidRPr="00B645E8">
        <w:rPr>
          <w:rFonts w:eastAsia="Times New Roman" w:cstheme="minorHAnsi"/>
          <w:sz w:val="24"/>
          <w:szCs w:val="24"/>
          <w:vertAlign w:val="superscript"/>
          <w:rtl/>
        </w:rPr>
        <w:footnoteReference w:id="1"/>
      </w:r>
      <w:r w:rsidRPr="00B645E8">
        <w:rPr>
          <w:rFonts w:eastAsia="Times New Roman" w:cstheme="minorHAnsi"/>
          <w:sz w:val="24"/>
          <w:szCs w:val="24"/>
          <w:rtl/>
        </w:rPr>
        <w:t xml:space="preserve"> אלימות, שיזם הפיקוח על הבנקים ולו שותפים אגוד הבנקים, הבנקים וחברות כרטיסי האשראי, בנק הדואר ארגונים חברתיים ורשות האכיפה והגביה. במסגרת האמנה מוצעים לנפגעות האלימות, פתרונות פיננסיים המותאמים לצרכים שלהן, במטרה לסייע להן לצמוח מהמשבר אליו נקלעו ולצאת לדרך חדשה ועצמאות כלכלית. הסיוע כיום ניתן לנשים השוהות במקלטים ובדירות מעבר, לנשים המקבלות סיוע במרכזים למניעה ולטיפול באלימות במשפחה ברחבי הארץ, לנשים נפגעות אלימות חסרות מעמד, ולנשים</w:t>
      </w:r>
      <w:r w:rsidRPr="00B645E8">
        <w:rPr>
          <w:rFonts w:eastAsia="Times New Roman" w:cstheme="minorHAnsi"/>
          <w:sz w:val="24"/>
          <w:szCs w:val="24"/>
        </w:rPr>
        <w:t xml:space="preserve"> </w:t>
      </w:r>
      <w:r w:rsidRPr="00B645E8">
        <w:rPr>
          <w:rFonts w:eastAsia="Times New Roman" w:cstheme="minorHAnsi"/>
          <w:sz w:val="24"/>
          <w:szCs w:val="24"/>
          <w:rtl/>
        </w:rPr>
        <w:t>המצויות בתהליך</w:t>
      </w:r>
      <w:r w:rsidRPr="00B645E8">
        <w:rPr>
          <w:rFonts w:eastAsia="Times New Roman" w:cstheme="minorHAnsi"/>
          <w:sz w:val="24"/>
          <w:szCs w:val="24"/>
        </w:rPr>
        <w:t xml:space="preserve"> </w:t>
      </w:r>
      <w:r w:rsidRPr="00B645E8">
        <w:rPr>
          <w:rFonts w:eastAsia="Times New Roman" w:cstheme="minorHAnsi"/>
          <w:sz w:val="24"/>
          <w:szCs w:val="24"/>
          <w:rtl/>
        </w:rPr>
        <w:t>היציאה ממעגל</w:t>
      </w:r>
      <w:r w:rsidRPr="00B645E8">
        <w:rPr>
          <w:rFonts w:eastAsia="Times New Roman" w:cstheme="minorHAnsi"/>
          <w:sz w:val="24"/>
          <w:szCs w:val="24"/>
        </w:rPr>
        <w:t xml:space="preserve"> </w:t>
      </w:r>
      <w:r w:rsidRPr="00B645E8">
        <w:rPr>
          <w:rFonts w:eastAsia="Times New Roman" w:cstheme="minorHAnsi"/>
          <w:sz w:val="24"/>
          <w:szCs w:val="24"/>
          <w:rtl/>
        </w:rPr>
        <w:t>הזנות.</w:t>
      </w:r>
    </w:p>
    <w:p w:rsidR="00B645E8" w:rsidRPr="00B645E8" w:rsidRDefault="00B645E8" w:rsidP="00B645E8">
      <w:pPr>
        <w:tabs>
          <w:tab w:val="left" w:pos="567"/>
          <w:tab w:val="left" w:pos="1134"/>
          <w:tab w:val="left" w:pos="1814"/>
          <w:tab w:val="left" w:pos="2665"/>
        </w:tabs>
        <w:spacing w:after="0" w:line="360" w:lineRule="auto"/>
        <w:jc w:val="both"/>
        <w:rPr>
          <w:rFonts w:eastAsia="Times New Roman" w:cstheme="minorHAnsi"/>
          <w:sz w:val="24"/>
          <w:szCs w:val="24"/>
          <w:rtl/>
        </w:rPr>
      </w:pPr>
      <w:r w:rsidRPr="00B645E8">
        <w:rPr>
          <w:rFonts w:eastAsia="Times New Roman" w:cstheme="minorHAnsi"/>
          <w:sz w:val="24"/>
          <w:szCs w:val="24"/>
          <w:rtl/>
        </w:rPr>
        <w:t xml:space="preserve">מאז השקתה, סייעה האמנה לכ-5,000 נשים בהתמודדות עם האלימות הכלכלית במגוון נושאים, ביניהם: פתיחת חשבון חדש, הסדר חוב ובירור עיקולים, הקפאת משכנתא, בקשות ליציאה מחשבון משותף, גריעת בעלים מהחשבון, ביטול כרטיסי אשראי ועוד. </w:t>
      </w:r>
    </w:p>
    <w:p w:rsidR="00B645E8" w:rsidRPr="00B645E8" w:rsidRDefault="00B645E8" w:rsidP="00B645E8">
      <w:pPr>
        <w:tabs>
          <w:tab w:val="left" w:pos="567"/>
          <w:tab w:val="left" w:pos="1134"/>
          <w:tab w:val="left" w:pos="1814"/>
          <w:tab w:val="left" w:pos="2665"/>
        </w:tabs>
        <w:spacing w:before="120" w:after="0" w:line="360" w:lineRule="auto"/>
        <w:jc w:val="both"/>
        <w:rPr>
          <w:rFonts w:eastAsia="Times New Roman" w:cstheme="minorHAnsi"/>
          <w:b/>
          <w:bCs/>
          <w:sz w:val="24"/>
          <w:szCs w:val="24"/>
          <w:rtl/>
        </w:rPr>
      </w:pPr>
    </w:p>
    <w:p w:rsidR="00B645E8" w:rsidRPr="00B645E8" w:rsidRDefault="00B645E8" w:rsidP="00B645E8">
      <w:pPr>
        <w:tabs>
          <w:tab w:val="left" w:pos="567"/>
          <w:tab w:val="left" w:pos="1134"/>
          <w:tab w:val="left" w:pos="1814"/>
          <w:tab w:val="left" w:pos="2665"/>
        </w:tabs>
        <w:spacing w:before="120" w:after="0" w:line="360" w:lineRule="auto"/>
        <w:jc w:val="both"/>
        <w:rPr>
          <w:rFonts w:eastAsia="Times New Roman" w:cstheme="minorHAnsi"/>
          <w:b/>
          <w:bCs/>
          <w:sz w:val="24"/>
          <w:szCs w:val="24"/>
          <w:rtl/>
        </w:rPr>
      </w:pPr>
      <w:r w:rsidRPr="00B645E8">
        <w:rPr>
          <w:rFonts w:eastAsia="Times New Roman" w:cstheme="minorHAnsi"/>
          <w:b/>
          <w:bCs/>
          <w:sz w:val="24"/>
          <w:szCs w:val="24"/>
          <w:rtl/>
        </w:rPr>
        <w:t xml:space="preserve">דניאל חחיאשוילי, המפקח על הבנקים: </w:t>
      </w:r>
    </w:p>
    <w:p w:rsidR="00B645E8" w:rsidRPr="00B645E8" w:rsidRDefault="00B645E8" w:rsidP="00B645E8">
      <w:pPr>
        <w:tabs>
          <w:tab w:val="left" w:pos="567"/>
          <w:tab w:val="left" w:pos="1134"/>
          <w:tab w:val="left" w:pos="1814"/>
          <w:tab w:val="left" w:pos="2665"/>
        </w:tabs>
        <w:spacing w:after="0" w:line="360" w:lineRule="auto"/>
        <w:jc w:val="both"/>
        <w:rPr>
          <w:rFonts w:eastAsia="Times New Roman" w:cstheme="minorHAnsi"/>
          <w:sz w:val="24"/>
          <w:szCs w:val="24"/>
          <w:rtl/>
        </w:rPr>
      </w:pPr>
      <w:r w:rsidRPr="00B645E8">
        <w:rPr>
          <w:rFonts w:eastAsia="Times New Roman" w:cstheme="minorHAnsi"/>
          <w:sz w:val="24"/>
          <w:szCs w:val="24"/>
          <w:rtl/>
        </w:rPr>
        <w:t xml:space="preserve">"למערכת הבנקאית והפיננסית ישנו פוטנציאל השפעה משמעותי על הצלחת תהליכי שיקום של נשים נפגעות אלימות. כוחה של האמנה לא מסתכם רק בסיוע פרטני לנפגע או לנפגעת האלימות או לשורדת הזנות, אלא ביצירת שינוי עומק בתרבות, בשיח ובאופן שבו המערכת הפיננסית בישראל מבינה את אחריותה החברתית. ההשפעה הזו חצתה אוכלוסיות ומגזרים תחומים, והניחה תשתית לתפיסה חדשה של זמינות פיננסית לאוכלוסיות פגיעות. דוגמה בולטת לכך היא האמנה לזמינות פיננסית לחיילים אשר הושקה לאחרונה ואשר משקפת את אותה הבנה עמוקה: שחובתנו כחברה – ובכללה המערכת הבנקאית – להבטיח שחיילים וחיילות המתמודדים עם אתגרים כלכליים, יוכלו להתחיל את חייהם הבוגרים כשהם נקיים מחובות </w:t>
      </w:r>
      <w:r w:rsidRPr="00B645E8">
        <w:rPr>
          <w:rFonts w:eastAsia="Times New Roman" w:cstheme="minorHAnsi"/>
          <w:sz w:val="24"/>
          <w:szCs w:val="24"/>
          <w:rtl/>
        </w:rPr>
        <w:lastRenderedPageBreak/>
        <w:t>והתחייבויות מכבידות, ולהעניק להם הזדמנות אמתית ליציאה לדרך חדשה. אני מלא הערכה לפעילות הזו, בה המערכת הבנקאית והגופים השונים פועלים ברגישות ובמקצועיות ומסייעים לנפגעות בסלילת דרכן לעצמאות כלכלית."</w:t>
      </w:r>
    </w:p>
    <w:p w:rsidR="00B645E8" w:rsidRPr="00B645E8" w:rsidRDefault="00B645E8" w:rsidP="00B645E8">
      <w:pPr>
        <w:tabs>
          <w:tab w:val="left" w:pos="567"/>
          <w:tab w:val="left" w:pos="1134"/>
          <w:tab w:val="left" w:pos="1814"/>
          <w:tab w:val="left" w:pos="2665"/>
        </w:tabs>
        <w:spacing w:after="0" w:line="360" w:lineRule="auto"/>
        <w:jc w:val="both"/>
        <w:rPr>
          <w:rFonts w:eastAsia="Times New Roman" w:cstheme="minorHAnsi"/>
          <w:sz w:val="24"/>
          <w:szCs w:val="24"/>
          <w:rtl/>
        </w:rPr>
      </w:pPr>
    </w:p>
    <w:p w:rsidR="00B645E8" w:rsidRPr="00B645E8" w:rsidRDefault="00B645E8" w:rsidP="00B645E8">
      <w:pPr>
        <w:tabs>
          <w:tab w:val="left" w:pos="567"/>
          <w:tab w:val="left" w:pos="1134"/>
          <w:tab w:val="left" w:pos="1814"/>
          <w:tab w:val="left" w:pos="2665"/>
        </w:tabs>
        <w:spacing w:after="0" w:line="360" w:lineRule="auto"/>
        <w:jc w:val="both"/>
        <w:rPr>
          <w:rFonts w:eastAsia="Times New Roman" w:cstheme="minorHAnsi"/>
          <w:sz w:val="24"/>
          <w:szCs w:val="24"/>
          <w:rtl/>
        </w:rPr>
      </w:pPr>
      <w:r w:rsidRPr="00B645E8">
        <w:rPr>
          <w:rFonts w:eastAsia="Times New Roman" w:cstheme="minorHAnsi"/>
          <w:sz w:val="24"/>
          <w:szCs w:val="24"/>
          <w:rtl/>
        </w:rPr>
        <w:t xml:space="preserve">את המפגש פתחו דניאל חחיאשוילי המפקח על הבנקים, אבי לוי מנכ"ל בנק דיסקונט, איתן מדמון מנכ"ל אגוד הבנקים ומלי אורגד, מנהלת השירות לטיפול במצבי טראומה ומשבר במשרד הרווחה והביטחון החברתי. בנוסף כיבדו בנוכחותם מספר דוברות ודוברים אשר העשירו את המשתתפים בהרצאותיהם; </w:t>
      </w:r>
    </w:p>
    <w:p w:rsidR="00B645E8" w:rsidRPr="00B645E8" w:rsidRDefault="00B645E8" w:rsidP="00B645E8">
      <w:pPr>
        <w:tabs>
          <w:tab w:val="left" w:pos="567"/>
          <w:tab w:val="left" w:pos="1134"/>
          <w:tab w:val="left" w:pos="1814"/>
          <w:tab w:val="left" w:pos="2665"/>
        </w:tabs>
        <w:spacing w:before="120" w:after="0" w:line="360" w:lineRule="auto"/>
        <w:jc w:val="both"/>
        <w:rPr>
          <w:rFonts w:eastAsia="Times New Roman" w:cstheme="minorHAnsi"/>
          <w:sz w:val="24"/>
          <w:szCs w:val="24"/>
          <w:rtl/>
        </w:rPr>
      </w:pPr>
      <w:r w:rsidRPr="00B645E8">
        <w:rPr>
          <w:rFonts w:eastAsia="Times New Roman" w:cstheme="minorHAnsi"/>
          <w:sz w:val="24"/>
          <w:szCs w:val="24"/>
          <w:rtl/>
        </w:rPr>
        <w:t xml:space="preserve">הכנס נפתח </w:t>
      </w:r>
      <w:hyperlink r:id="rId7" w:history="1">
        <w:r w:rsidRPr="00826C79">
          <w:rPr>
            <w:rStyle w:val="Hyperlink"/>
            <w:rFonts w:eastAsia="Times New Roman" w:cstheme="minorHAnsi"/>
            <w:b/>
            <w:bCs/>
            <w:sz w:val="24"/>
            <w:szCs w:val="24"/>
            <w:rtl/>
          </w:rPr>
          <w:t>בסרט</w:t>
        </w:r>
        <w:bookmarkStart w:id="0" w:name="_GoBack"/>
        <w:bookmarkEnd w:id="0"/>
        <w:r w:rsidRPr="00826C79">
          <w:rPr>
            <w:rStyle w:val="Hyperlink"/>
            <w:rFonts w:eastAsia="Times New Roman" w:cstheme="minorHAnsi"/>
            <w:b/>
            <w:bCs/>
            <w:sz w:val="24"/>
            <w:szCs w:val="24"/>
            <w:rtl/>
          </w:rPr>
          <w:t>ון</w:t>
        </w:r>
      </w:hyperlink>
      <w:r w:rsidRPr="00B645E8">
        <w:rPr>
          <w:rFonts w:eastAsia="Times New Roman" w:cstheme="minorHAnsi"/>
          <w:sz w:val="24"/>
          <w:szCs w:val="24"/>
          <w:rtl/>
        </w:rPr>
        <w:t xml:space="preserve"> שסקר את התפתחות האמנה לאורך העשור החולף החל מהבנת הצורך, הקמת המנגנון והשימוש הייחודי בכלי בנקאי וולונטרי. הסרטון נתן ביטוי למענה הניתן כיום לנשים במקלטים, במרכזי אלימות במשפחה ולשורדות זנות. המשתתפים נחשפו לשותפים הרבים למיזם ולאנשי המקצוע שנושאים באחריות מקצועית וחברתית וממלאים את שליחותם;</w:t>
      </w:r>
    </w:p>
    <w:p w:rsidR="00B645E8" w:rsidRPr="00B645E8" w:rsidRDefault="00B645E8" w:rsidP="00B645E8">
      <w:pPr>
        <w:tabs>
          <w:tab w:val="left" w:pos="567"/>
          <w:tab w:val="left" w:pos="1134"/>
          <w:tab w:val="left" w:pos="1814"/>
          <w:tab w:val="left" w:pos="2665"/>
        </w:tabs>
        <w:spacing w:before="120" w:after="0" w:line="360" w:lineRule="auto"/>
        <w:jc w:val="both"/>
        <w:rPr>
          <w:rFonts w:eastAsia="Times New Roman" w:cstheme="minorHAnsi"/>
          <w:sz w:val="24"/>
          <w:szCs w:val="24"/>
          <w:rtl/>
        </w:rPr>
      </w:pPr>
      <w:r w:rsidRPr="00B645E8">
        <w:rPr>
          <w:rFonts w:eastAsia="Times New Roman" w:cstheme="minorHAnsi"/>
          <w:sz w:val="24"/>
          <w:szCs w:val="24"/>
          <w:rtl/>
        </w:rPr>
        <w:t xml:space="preserve">מירי </w:t>
      </w:r>
      <w:proofErr w:type="spellStart"/>
      <w:r w:rsidRPr="00B645E8">
        <w:rPr>
          <w:rFonts w:eastAsia="Times New Roman" w:cstheme="minorHAnsi"/>
          <w:sz w:val="24"/>
          <w:szCs w:val="24"/>
          <w:rtl/>
        </w:rPr>
        <w:t>בנשלום</w:t>
      </w:r>
      <w:proofErr w:type="spellEnd"/>
      <w:r w:rsidRPr="00B645E8">
        <w:rPr>
          <w:rFonts w:eastAsia="Times New Roman" w:cstheme="minorHAnsi"/>
          <w:sz w:val="24"/>
          <w:szCs w:val="24"/>
          <w:rtl/>
        </w:rPr>
        <w:t>-דור, מי שהייתה מנהלת המקלט של עמותת '</w:t>
      </w:r>
      <w:proofErr w:type="spellStart"/>
      <w:r w:rsidRPr="00B645E8">
        <w:rPr>
          <w:rFonts w:eastAsia="Times New Roman" w:cstheme="minorHAnsi"/>
          <w:sz w:val="24"/>
          <w:szCs w:val="24"/>
          <w:rtl/>
        </w:rPr>
        <w:t>אשה</w:t>
      </w:r>
      <w:proofErr w:type="spellEnd"/>
      <w:r w:rsidRPr="00B645E8">
        <w:rPr>
          <w:rFonts w:eastAsia="Times New Roman" w:cstheme="minorHAnsi"/>
          <w:sz w:val="24"/>
          <w:szCs w:val="24"/>
          <w:rtl/>
        </w:rPr>
        <w:t xml:space="preserve"> לאשה', שוחחה עם עודדה פרץ סגנית המפקח על הבנקים, ועם ראשונת הנשים שלוותה במסגרת האמנה על המקרה המכונן שהוביל ליוזמה;</w:t>
      </w:r>
    </w:p>
    <w:p w:rsidR="00B645E8" w:rsidRPr="00B645E8" w:rsidRDefault="00B645E8" w:rsidP="00B645E8">
      <w:pPr>
        <w:tabs>
          <w:tab w:val="left" w:pos="567"/>
          <w:tab w:val="left" w:pos="1134"/>
          <w:tab w:val="left" w:pos="1814"/>
          <w:tab w:val="left" w:pos="2665"/>
        </w:tabs>
        <w:spacing w:before="120" w:after="0" w:line="360" w:lineRule="auto"/>
        <w:jc w:val="both"/>
        <w:rPr>
          <w:rFonts w:eastAsia="Times New Roman" w:cstheme="minorHAnsi"/>
          <w:sz w:val="24"/>
          <w:szCs w:val="24"/>
          <w:rtl/>
        </w:rPr>
      </w:pPr>
      <w:r w:rsidRPr="00B645E8">
        <w:rPr>
          <w:rFonts w:eastAsia="Times New Roman" w:cstheme="minorHAnsi"/>
          <w:noProof/>
          <w:sz w:val="24"/>
          <w:szCs w:val="24"/>
        </w:rPr>
        <w:drawing>
          <wp:anchor distT="0" distB="0" distL="114300" distR="114300" simplePos="0" relativeHeight="251659264" behindDoc="0" locked="0" layoutInCell="1" allowOverlap="1" wp14:anchorId="0733F0C2" wp14:editId="6EA7ED09">
            <wp:simplePos x="0" y="0"/>
            <wp:positionH relativeFrom="page">
              <wp:align>center</wp:align>
            </wp:positionH>
            <wp:positionV relativeFrom="paragraph">
              <wp:posOffset>358775</wp:posOffset>
            </wp:positionV>
            <wp:extent cx="2559050" cy="5692775"/>
            <wp:effectExtent l="185737" t="195263" r="198438" b="198437"/>
            <wp:wrapTopAndBottom/>
            <wp:docPr id="5" name="תמונה 5" descr="C:\Users\u383\Downloads\WhatsApp Image 2026-03-22 at 14.06.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383\Downloads\WhatsApp Image 2026-03-22 at 14.06.59.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2559050" cy="56927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B645E8">
        <w:rPr>
          <w:rFonts w:eastAsia="Times New Roman" w:cstheme="minorHAnsi"/>
          <w:sz w:val="24"/>
          <w:szCs w:val="24"/>
          <w:rtl/>
        </w:rPr>
        <w:t xml:space="preserve">יפית </w:t>
      </w:r>
      <w:proofErr w:type="spellStart"/>
      <w:r w:rsidRPr="00B645E8">
        <w:rPr>
          <w:rFonts w:eastAsia="Times New Roman" w:cstheme="minorHAnsi"/>
          <w:sz w:val="24"/>
          <w:szCs w:val="24"/>
          <w:rtl/>
        </w:rPr>
        <w:t>אלפנדרי</w:t>
      </w:r>
      <w:proofErr w:type="spellEnd"/>
      <w:r w:rsidRPr="00B645E8">
        <w:rPr>
          <w:rFonts w:eastAsia="Times New Roman" w:cstheme="minorHAnsi"/>
          <w:sz w:val="24"/>
          <w:szCs w:val="24"/>
          <w:rtl/>
        </w:rPr>
        <w:t>, מנהלת תחום בכיר כלכלה מגדרית וחברתית בלשכה המרכזית לסטטיסטיקה הציגה נתונים אודות אוריינות פיננסית של נשים והרחיבה על חשיבותה לעצמה נשית ומניעת אלימות כלכלית;</w:t>
      </w:r>
    </w:p>
    <w:p w:rsidR="00B645E8" w:rsidRPr="00B645E8" w:rsidRDefault="00B645E8" w:rsidP="00B645E8">
      <w:pPr>
        <w:tabs>
          <w:tab w:val="left" w:pos="567"/>
          <w:tab w:val="left" w:pos="1134"/>
          <w:tab w:val="left" w:pos="1814"/>
          <w:tab w:val="left" w:pos="2665"/>
        </w:tabs>
        <w:spacing w:before="120" w:after="0" w:line="360" w:lineRule="auto"/>
        <w:jc w:val="both"/>
        <w:rPr>
          <w:rFonts w:eastAsia="Times New Roman" w:cstheme="minorHAnsi"/>
          <w:sz w:val="24"/>
          <w:szCs w:val="24"/>
          <w:rtl/>
        </w:rPr>
      </w:pPr>
      <w:r w:rsidRPr="00B645E8">
        <w:rPr>
          <w:rFonts w:eastAsia="Times New Roman" w:cstheme="minorHAnsi"/>
          <w:sz w:val="24"/>
          <w:szCs w:val="24"/>
          <w:rtl/>
        </w:rPr>
        <w:t>עו"ד הדס ארנון שרעבי, מנהלת קידום מדיניות וחקיקה בעמותת רוח נשית שיתפה בתובנות אודות אתגרים ביישום האמנה ועל המפגש הלא טריוויאלי בין השפה הבנקאית לשפה הטיפולית;</w:t>
      </w:r>
    </w:p>
    <w:p w:rsidR="00B645E8" w:rsidRPr="00B645E8" w:rsidRDefault="00B645E8" w:rsidP="00B645E8">
      <w:pPr>
        <w:tabs>
          <w:tab w:val="left" w:pos="567"/>
          <w:tab w:val="left" w:pos="1134"/>
          <w:tab w:val="left" w:pos="1814"/>
          <w:tab w:val="left" w:pos="2665"/>
        </w:tabs>
        <w:spacing w:before="120" w:after="0" w:line="360" w:lineRule="auto"/>
        <w:jc w:val="both"/>
        <w:rPr>
          <w:rFonts w:eastAsia="Times New Roman" w:cstheme="minorHAnsi"/>
          <w:sz w:val="24"/>
          <w:szCs w:val="24"/>
          <w:rtl/>
        </w:rPr>
      </w:pPr>
      <w:r w:rsidRPr="00B645E8">
        <w:rPr>
          <w:rFonts w:eastAsia="Times New Roman" w:cstheme="minorHAnsi"/>
          <w:sz w:val="24"/>
          <w:szCs w:val="24"/>
          <w:rtl/>
        </w:rPr>
        <w:t>הכנס נחתם בהשקה של משחק קלפים שפותחו בפיקוח על הבנקים עבור זוגות בראשית דרכם, במטרה להעלות מודעות לניהול תקציב זוגי, לייצר שיח פתוח בנושאים פיננסיים ולסגל הרגלים בריאים זאת כחלק ממאמצי מניעת אלימות כלכלית.</w:t>
      </w:r>
      <w:r w:rsidRPr="00B645E8">
        <w:rPr>
          <w:rFonts w:eastAsia="Times New Roman" w:cstheme="minorHAnsi"/>
          <w:noProof/>
          <w:sz w:val="24"/>
          <w:szCs w:val="24"/>
        </w:rPr>
        <w:t xml:space="preserve"> </w:t>
      </w:r>
    </w:p>
    <w:p w:rsidR="00B645E8" w:rsidRPr="00B645E8" w:rsidRDefault="00B645E8" w:rsidP="00B645E8">
      <w:pPr>
        <w:shd w:val="clear" w:color="auto" w:fill="FFFFFF"/>
        <w:bidi w:val="0"/>
        <w:spacing w:after="100" w:afterAutospacing="1" w:line="240" w:lineRule="auto"/>
        <w:jc w:val="right"/>
        <w:rPr>
          <w:rFonts w:eastAsia="Times New Roman" w:cstheme="minorHAnsi"/>
          <w:noProof/>
          <w:sz w:val="24"/>
          <w:szCs w:val="24"/>
          <w:rtl/>
        </w:rPr>
      </w:pPr>
    </w:p>
    <w:p w:rsidR="00B645E8" w:rsidRPr="00B645E8" w:rsidRDefault="00B645E8" w:rsidP="00B645E8">
      <w:pPr>
        <w:shd w:val="clear" w:color="auto" w:fill="FFFFFF"/>
        <w:bidi w:val="0"/>
        <w:spacing w:after="100" w:afterAutospacing="1" w:line="240" w:lineRule="auto"/>
        <w:jc w:val="right"/>
        <w:rPr>
          <w:rFonts w:eastAsia="Times New Roman" w:cstheme="minorHAnsi"/>
          <w:noProof/>
          <w:sz w:val="24"/>
          <w:szCs w:val="24"/>
        </w:rPr>
      </w:pPr>
      <w:r w:rsidRPr="00B645E8">
        <w:rPr>
          <w:rFonts w:cstheme="minorHAnsi"/>
          <w:sz w:val="24"/>
          <w:szCs w:val="24"/>
          <w:rtl/>
        </w:rPr>
        <w:t xml:space="preserve">קישור </w:t>
      </w:r>
      <w:hyperlink r:id="rId9" w:history="1">
        <w:r w:rsidRPr="00B645E8">
          <w:rPr>
            <w:rFonts w:cstheme="minorHAnsi"/>
            <w:color w:val="0563C1" w:themeColor="hyperlink"/>
            <w:sz w:val="24"/>
            <w:szCs w:val="24"/>
            <w:u w:val="single"/>
            <w:rtl/>
          </w:rPr>
          <w:t>למידע מורחב</w:t>
        </w:r>
      </w:hyperlink>
      <w:r w:rsidRPr="00B645E8">
        <w:rPr>
          <w:rFonts w:cstheme="minorHAnsi"/>
          <w:sz w:val="24"/>
          <w:szCs w:val="24"/>
          <w:rtl/>
        </w:rPr>
        <w:t xml:space="preserve"> באתר בנק ישראל.</w:t>
      </w:r>
    </w:p>
    <w:p w:rsidR="00B645E8" w:rsidRPr="00B645E8" w:rsidRDefault="00B645E8" w:rsidP="00B645E8">
      <w:pPr>
        <w:shd w:val="clear" w:color="auto" w:fill="FFFFFF"/>
        <w:bidi w:val="0"/>
        <w:spacing w:after="100" w:afterAutospacing="1" w:line="240" w:lineRule="auto"/>
        <w:rPr>
          <w:rFonts w:eastAsia="Times New Roman" w:cstheme="minorHAnsi"/>
          <w:noProof/>
          <w:sz w:val="24"/>
          <w:szCs w:val="24"/>
        </w:rPr>
      </w:pPr>
    </w:p>
    <w:p w:rsidR="00B645E8" w:rsidRPr="00B645E8" w:rsidRDefault="00B645E8" w:rsidP="00B645E8">
      <w:pPr>
        <w:shd w:val="clear" w:color="auto" w:fill="FFFFFF"/>
        <w:bidi w:val="0"/>
        <w:spacing w:after="100" w:afterAutospacing="1" w:line="240" w:lineRule="auto"/>
        <w:jc w:val="right"/>
        <w:rPr>
          <w:rFonts w:cstheme="minorHAnsi"/>
          <w:sz w:val="24"/>
          <w:szCs w:val="24"/>
          <w:rtl/>
        </w:rPr>
      </w:pPr>
    </w:p>
    <w:p w:rsidR="00B645E8" w:rsidRPr="00B645E8" w:rsidRDefault="00B645E8" w:rsidP="00B645E8">
      <w:pPr>
        <w:shd w:val="clear" w:color="auto" w:fill="FFFFFF"/>
        <w:bidi w:val="0"/>
        <w:spacing w:after="100" w:afterAutospacing="1" w:line="240" w:lineRule="auto"/>
        <w:jc w:val="right"/>
        <w:rPr>
          <w:rFonts w:cstheme="minorHAnsi"/>
          <w:b/>
          <w:bCs/>
          <w:sz w:val="24"/>
          <w:szCs w:val="24"/>
        </w:rPr>
      </w:pPr>
      <w:r w:rsidRPr="00B645E8">
        <w:rPr>
          <w:rFonts w:eastAsia="Times New Roman" w:cstheme="minorHAnsi"/>
          <w:noProof/>
          <w:sz w:val="24"/>
          <w:szCs w:val="24"/>
        </w:rPr>
        <w:drawing>
          <wp:inline distT="0" distB="0" distL="0" distR="0" wp14:anchorId="3B3D52B4" wp14:editId="3A9A948A">
            <wp:extent cx="3324225" cy="4689889"/>
            <wp:effectExtent l="0" t="0" r="0" b="0"/>
            <wp:docPr id="2" name="תמונה 2" descr="cid:image001.png@01DCF373.391F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id:image001.png@01DCF373.391F184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328532" cy="4695966"/>
                    </a:xfrm>
                    <a:prstGeom prst="rect">
                      <a:avLst/>
                    </a:prstGeom>
                    <a:noFill/>
                    <a:ln>
                      <a:noFill/>
                    </a:ln>
                  </pic:spPr>
                </pic:pic>
              </a:graphicData>
            </a:graphic>
          </wp:inline>
        </w:drawing>
      </w:r>
      <w:r w:rsidRPr="00B645E8">
        <w:rPr>
          <w:rFonts w:cstheme="minorHAnsi"/>
          <w:sz w:val="24"/>
          <w:szCs w:val="24"/>
        </w:rPr>
        <w:t> </w:t>
      </w:r>
    </w:p>
    <w:p w:rsidR="00B645E8" w:rsidRPr="00B645E8" w:rsidRDefault="00B645E8" w:rsidP="00B645E8">
      <w:pPr>
        <w:spacing w:after="0" w:line="360" w:lineRule="auto"/>
        <w:jc w:val="both"/>
        <w:rPr>
          <w:rFonts w:eastAsia="Times New Roman" w:cstheme="minorHAnsi"/>
          <w:b/>
          <w:bCs/>
          <w:sz w:val="24"/>
          <w:szCs w:val="24"/>
          <w:rtl/>
        </w:rPr>
      </w:pPr>
    </w:p>
    <w:p w:rsidR="003E05EC" w:rsidRPr="00B645E8" w:rsidRDefault="003E05EC">
      <w:pPr>
        <w:rPr>
          <w:rFonts w:cstheme="minorHAnsi"/>
        </w:rPr>
      </w:pPr>
    </w:p>
    <w:sectPr w:rsidR="003E05EC" w:rsidRPr="00B645E8" w:rsidSect="00BF36BF">
      <w:headerReference w:type="even" r:id="rId12"/>
      <w:headerReference w:type="default" r:id="rId13"/>
      <w:footerReference w:type="even" r:id="rId14"/>
      <w:headerReference w:type="first" r:id="rId15"/>
      <w:footerReference w:type="first" r:id="rId16"/>
      <w:endnotePr>
        <w:numFmt w:val="lowerLetter"/>
      </w:endnotePr>
      <w:pgSz w:w="11906" w:h="16838" w:code="9"/>
      <w:pgMar w:top="284" w:right="1588" w:bottom="284" w:left="1361" w:header="964" w:footer="325" w:gutter="0"/>
      <w:cols w:space="720"/>
      <w:titlePg/>
      <w:bidi/>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101" w:rsidRDefault="003D0101" w:rsidP="00B645E8">
      <w:pPr>
        <w:spacing w:after="0" w:line="240" w:lineRule="auto"/>
      </w:pPr>
      <w:r>
        <w:separator/>
      </w:r>
    </w:p>
  </w:endnote>
  <w:endnote w:type="continuationSeparator" w:id="0">
    <w:p w:rsidR="003D0101" w:rsidRDefault="003D0101" w:rsidP="00B6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C6" w:rsidRDefault="003D0101" w:rsidP="0064358E">
    <w:pPr>
      <w:pStyle w:val="a3"/>
      <w:framePr w:wrap="around" w:vAnchor="text" w:hAnchor="margin" w:xAlign="center" w:y="1"/>
      <w:rPr>
        <w:rStyle w:val="a7"/>
      </w:rPr>
    </w:pPr>
    <w:r>
      <w:rPr>
        <w:rStyle w:val="a7"/>
        <w:rtl/>
      </w:rPr>
      <w:fldChar w:fldCharType="begin"/>
    </w:r>
    <w:r>
      <w:rPr>
        <w:rStyle w:val="a7"/>
      </w:rPr>
      <w:instrText xml:space="preserve">PAGE  </w:instrText>
    </w:r>
    <w:r>
      <w:rPr>
        <w:rStyle w:val="a7"/>
        <w:rtl/>
      </w:rPr>
      <w:fldChar w:fldCharType="end"/>
    </w:r>
  </w:p>
  <w:p w:rsidR="00F767C6" w:rsidRDefault="00826C79">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C6" w:rsidRPr="00D340F3" w:rsidRDefault="00826C79" w:rsidP="00EF237D">
    <w:pPr>
      <w:jc w:val="center"/>
      <w:rPr>
        <w:color w:val="FFFFFF"/>
        <w:sz w:val="2"/>
        <w:szCs w:val="2"/>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101" w:rsidRDefault="003D0101" w:rsidP="00B645E8">
      <w:pPr>
        <w:spacing w:after="0" w:line="240" w:lineRule="auto"/>
      </w:pPr>
      <w:r>
        <w:separator/>
      </w:r>
    </w:p>
  </w:footnote>
  <w:footnote w:type="continuationSeparator" w:id="0">
    <w:p w:rsidR="003D0101" w:rsidRDefault="003D0101" w:rsidP="00B645E8">
      <w:pPr>
        <w:spacing w:after="0" w:line="240" w:lineRule="auto"/>
      </w:pPr>
      <w:r>
        <w:continuationSeparator/>
      </w:r>
    </w:p>
  </w:footnote>
  <w:footnote w:id="1">
    <w:p w:rsidR="00B645E8" w:rsidRPr="00743DBA" w:rsidRDefault="00B645E8" w:rsidP="00B645E8">
      <w:pPr>
        <w:pStyle w:val="a8"/>
        <w:rPr>
          <w:rFonts w:asciiTheme="minorHAnsi" w:hAnsiTheme="minorHAnsi" w:cstheme="minorHAnsi"/>
        </w:rPr>
      </w:pPr>
      <w:r w:rsidRPr="00743DBA">
        <w:rPr>
          <w:rStyle w:val="aa"/>
          <w:rFonts w:asciiTheme="minorHAnsi" w:hAnsiTheme="minorHAnsi" w:cstheme="minorHAnsi"/>
        </w:rPr>
        <w:footnoteRef/>
      </w:r>
      <w:r w:rsidRPr="00743DBA">
        <w:rPr>
          <w:rFonts w:asciiTheme="minorHAnsi" w:hAnsiTheme="minorHAnsi" w:cstheme="minorHAnsi"/>
          <w:rtl/>
        </w:rPr>
        <w:t xml:space="preserve"> </w:t>
      </w:r>
      <w:r w:rsidRPr="00743DBA">
        <w:rPr>
          <w:rFonts w:asciiTheme="minorHAnsi" w:hAnsiTheme="minorHAnsi" w:cstheme="minorHAnsi"/>
          <w:sz w:val="16"/>
          <w:szCs w:val="16"/>
          <w:rtl/>
        </w:rPr>
        <w:t>מאחר שרוב נפגעי האלימות המטופלים במרכזים הן נשים, האמנה נוסחה בלשון נקבה וההתייחסות לנפגעי האלימות תהא כ'נפגעת' או 'נפגעת אלימות', אולם היא מיועדת לנשים וגברים כאחד, ובמסגרתה יוענק סיוע לנפגעי אלימות בני שני המינים.</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C6" w:rsidRDefault="003D0101" w:rsidP="0028590F">
    <w:pPr>
      <w:pStyle w:val="a5"/>
      <w:framePr w:wrap="around" w:vAnchor="text" w:hAnchor="margin" w:xAlign="center" w:y="1"/>
      <w:rPr>
        <w:rStyle w:val="a7"/>
      </w:rPr>
    </w:pPr>
    <w:r>
      <w:rPr>
        <w:rStyle w:val="a7"/>
        <w:rtl/>
      </w:rPr>
      <w:fldChar w:fldCharType="begin"/>
    </w:r>
    <w:r>
      <w:rPr>
        <w:rStyle w:val="a7"/>
      </w:rPr>
      <w:instrText xml:space="preserve">PAGE  </w:instrText>
    </w:r>
    <w:r>
      <w:rPr>
        <w:rStyle w:val="a7"/>
        <w:rtl/>
      </w:rPr>
      <w:fldChar w:fldCharType="separate"/>
    </w:r>
    <w:r>
      <w:rPr>
        <w:rStyle w:val="a7"/>
        <w:noProof/>
        <w:rtl/>
      </w:rPr>
      <w:t>1</w:t>
    </w:r>
    <w:r>
      <w:rPr>
        <w:rStyle w:val="a7"/>
        <w:rtl/>
      </w:rPr>
      <w:fldChar w:fldCharType="end"/>
    </w:r>
  </w:p>
  <w:p w:rsidR="00F767C6" w:rsidRDefault="00826C7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C6" w:rsidRDefault="003D0101" w:rsidP="0028590F">
    <w:pPr>
      <w:pStyle w:val="a5"/>
      <w:framePr w:wrap="around" w:vAnchor="text" w:hAnchor="margin" w:xAlign="center" w:y="1"/>
      <w:rPr>
        <w:rStyle w:val="a7"/>
      </w:rPr>
    </w:pPr>
    <w:r>
      <w:rPr>
        <w:rStyle w:val="a7"/>
        <w:rtl/>
      </w:rPr>
      <w:fldChar w:fldCharType="begin"/>
    </w:r>
    <w:r>
      <w:rPr>
        <w:rStyle w:val="a7"/>
      </w:rPr>
      <w:instrText xml:space="preserve">PAGE  </w:instrText>
    </w:r>
    <w:r>
      <w:rPr>
        <w:rStyle w:val="a7"/>
        <w:rtl/>
      </w:rPr>
      <w:fldChar w:fldCharType="separate"/>
    </w:r>
    <w:r w:rsidR="00826C79">
      <w:rPr>
        <w:rStyle w:val="a7"/>
        <w:noProof/>
        <w:rtl/>
      </w:rPr>
      <w:t>3</w:t>
    </w:r>
    <w:r>
      <w:rPr>
        <w:rStyle w:val="a7"/>
        <w:rtl/>
      </w:rPr>
      <w:fldChar w:fldCharType="end"/>
    </w:r>
  </w:p>
  <w:p w:rsidR="00F767C6" w:rsidRDefault="00826C7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DC8" w:rsidRPr="00AC6353" w:rsidRDefault="00826C79" w:rsidP="00223310">
    <w:pPr>
      <w:tabs>
        <w:tab w:val="left" w:pos="3528"/>
        <w:tab w:val="left" w:pos="5508"/>
      </w:tabs>
      <w:rPr>
        <w:sz w:val="20"/>
        <w:szCs w:val="20"/>
        <w:rtl/>
      </w:rPr>
    </w:pPr>
    <w:bookmarkStart w:id="1" w:name="Flag"/>
    <w:bookmarkEnd w:id="1"/>
  </w:p>
  <w:p w:rsidR="00F767C6" w:rsidRPr="00CF2125" w:rsidRDefault="00826C79" w:rsidP="009B2DC8">
    <w:pPr>
      <w:pStyle w:val="a5"/>
      <w:rPr>
        <w:sz w:val="2"/>
        <w:szCs w:val="2"/>
      </w:rPr>
    </w:pPr>
    <w:bookmarkStart w:id="2" w:name="T004"/>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62"/>
    <w:rsid w:val="00040E34"/>
    <w:rsid w:val="00050AA1"/>
    <w:rsid w:val="00066C04"/>
    <w:rsid w:val="000D699D"/>
    <w:rsid w:val="00125DC0"/>
    <w:rsid w:val="0013258C"/>
    <w:rsid w:val="001440B6"/>
    <w:rsid w:val="00164A95"/>
    <w:rsid w:val="0019569B"/>
    <w:rsid w:val="001B29B9"/>
    <w:rsid w:val="001E22EB"/>
    <w:rsid w:val="00372822"/>
    <w:rsid w:val="00384A39"/>
    <w:rsid w:val="003C2838"/>
    <w:rsid w:val="003D0101"/>
    <w:rsid w:val="003D666F"/>
    <w:rsid w:val="003E05EC"/>
    <w:rsid w:val="0043782F"/>
    <w:rsid w:val="0045158F"/>
    <w:rsid w:val="00487B73"/>
    <w:rsid w:val="004E32A7"/>
    <w:rsid w:val="00506C89"/>
    <w:rsid w:val="0051134A"/>
    <w:rsid w:val="00514D4C"/>
    <w:rsid w:val="005268F1"/>
    <w:rsid w:val="00536F7B"/>
    <w:rsid w:val="00572E7D"/>
    <w:rsid w:val="005943EA"/>
    <w:rsid w:val="00600A1E"/>
    <w:rsid w:val="00636C65"/>
    <w:rsid w:val="006479D6"/>
    <w:rsid w:val="00660A31"/>
    <w:rsid w:val="006A7C22"/>
    <w:rsid w:val="00743DBA"/>
    <w:rsid w:val="00826C79"/>
    <w:rsid w:val="00826D15"/>
    <w:rsid w:val="00846B06"/>
    <w:rsid w:val="008F1942"/>
    <w:rsid w:val="009002B2"/>
    <w:rsid w:val="009554E0"/>
    <w:rsid w:val="00965957"/>
    <w:rsid w:val="00970179"/>
    <w:rsid w:val="00AD49BB"/>
    <w:rsid w:val="00B25D00"/>
    <w:rsid w:val="00B645E8"/>
    <w:rsid w:val="00CE4D4B"/>
    <w:rsid w:val="00D12EF8"/>
    <w:rsid w:val="00D36A9A"/>
    <w:rsid w:val="00D64D2B"/>
    <w:rsid w:val="00D67F62"/>
    <w:rsid w:val="00DA55C4"/>
    <w:rsid w:val="00DC337E"/>
    <w:rsid w:val="00DE555F"/>
    <w:rsid w:val="00E20538"/>
    <w:rsid w:val="00ED16CB"/>
    <w:rsid w:val="00ED2AC7"/>
    <w:rsid w:val="00F726A6"/>
    <w:rsid w:val="00F80107"/>
    <w:rsid w:val="00FA2761"/>
    <w:rsid w:val="00FC3B9A"/>
    <w:rsid w:val="00FF71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A2400-4671-48AE-812F-A95894FB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645E8"/>
    <w:pPr>
      <w:tabs>
        <w:tab w:val="center" w:pos="4153"/>
        <w:tab w:val="right" w:pos="8306"/>
      </w:tabs>
      <w:spacing w:after="0" w:line="240" w:lineRule="auto"/>
    </w:pPr>
  </w:style>
  <w:style w:type="character" w:customStyle="1" w:styleId="a4">
    <w:name w:val="כותרת תחתונה תו"/>
    <w:basedOn w:val="a0"/>
    <w:link w:val="a3"/>
    <w:uiPriority w:val="99"/>
    <w:semiHidden/>
    <w:rsid w:val="00B645E8"/>
  </w:style>
  <w:style w:type="paragraph" w:styleId="a5">
    <w:name w:val="header"/>
    <w:basedOn w:val="a"/>
    <w:link w:val="a6"/>
    <w:uiPriority w:val="99"/>
    <w:semiHidden/>
    <w:unhideWhenUsed/>
    <w:rsid w:val="00B645E8"/>
    <w:pPr>
      <w:tabs>
        <w:tab w:val="center" w:pos="4153"/>
        <w:tab w:val="right" w:pos="8306"/>
      </w:tabs>
      <w:spacing w:after="0" w:line="240" w:lineRule="auto"/>
    </w:pPr>
  </w:style>
  <w:style w:type="character" w:customStyle="1" w:styleId="a6">
    <w:name w:val="כותרת עליונה תו"/>
    <w:basedOn w:val="a0"/>
    <w:link w:val="a5"/>
    <w:uiPriority w:val="99"/>
    <w:semiHidden/>
    <w:rsid w:val="00B645E8"/>
  </w:style>
  <w:style w:type="character" w:styleId="a7">
    <w:name w:val="page number"/>
    <w:basedOn w:val="a0"/>
    <w:rsid w:val="00B645E8"/>
  </w:style>
  <w:style w:type="paragraph" w:styleId="a8">
    <w:name w:val="footnote text"/>
    <w:basedOn w:val="a"/>
    <w:link w:val="a9"/>
    <w:uiPriority w:val="99"/>
    <w:rsid w:val="00B645E8"/>
    <w:pPr>
      <w:tabs>
        <w:tab w:val="left" w:pos="567"/>
        <w:tab w:val="left" w:pos="1134"/>
        <w:tab w:val="left" w:pos="1814"/>
        <w:tab w:val="left" w:pos="2665"/>
      </w:tabs>
      <w:spacing w:after="0" w:line="240" w:lineRule="auto"/>
      <w:jc w:val="both"/>
    </w:pPr>
    <w:rPr>
      <w:rFonts w:ascii="Times New Roman" w:eastAsia="Times New Roman" w:hAnsi="Times New Roman" w:cs="David"/>
      <w:sz w:val="20"/>
      <w:szCs w:val="20"/>
    </w:rPr>
  </w:style>
  <w:style w:type="character" w:customStyle="1" w:styleId="a9">
    <w:name w:val="טקסט הערת שוליים תו"/>
    <w:basedOn w:val="a0"/>
    <w:link w:val="a8"/>
    <w:uiPriority w:val="99"/>
    <w:rsid w:val="00B645E8"/>
    <w:rPr>
      <w:rFonts w:ascii="Times New Roman" w:eastAsia="Times New Roman" w:hAnsi="Times New Roman" w:cs="David"/>
      <w:sz w:val="20"/>
      <w:szCs w:val="20"/>
    </w:rPr>
  </w:style>
  <w:style w:type="character" w:styleId="aa">
    <w:name w:val="footnote reference"/>
    <w:basedOn w:val="a0"/>
    <w:uiPriority w:val="99"/>
    <w:rsid w:val="00B645E8"/>
    <w:rPr>
      <w:vertAlign w:val="superscript"/>
    </w:rPr>
  </w:style>
  <w:style w:type="character" w:styleId="Hyperlink">
    <w:name w:val="Hyperlink"/>
    <w:basedOn w:val="a0"/>
    <w:uiPriority w:val="99"/>
    <w:unhideWhenUsed/>
    <w:rsid w:val="00826C79"/>
    <w:rPr>
      <w:color w:val="0563C1" w:themeColor="hyperlink"/>
      <w:u w:val="single"/>
    </w:rPr>
  </w:style>
  <w:style w:type="character" w:styleId="FollowedHyperlink">
    <w:name w:val="FollowedHyperlink"/>
    <w:basedOn w:val="a0"/>
    <w:uiPriority w:val="99"/>
    <w:semiHidden/>
    <w:unhideWhenUsed/>
    <w:rsid w:val="00826C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outu.be/DPky0fEdVb8"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cid:image001.png@01DCF373.391F1840"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ww.boi.org.il/information/bank-paymnts/financial-education/campaigns/economic-violence-guide/" TargetMode="Externa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601</Words>
  <Characters>3009</Characters>
  <Application>Microsoft Office Word</Application>
  <DocSecurity>0</DocSecurity>
  <Lines>25</Lines>
  <Paragraphs>7</Paragraphs>
  <ScaleCrop>false</ScaleCrop>
  <Company>BOI</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לירון בן עמוס</dc:creator>
  <cp:keywords/>
  <dc:description/>
  <cp:lastModifiedBy>לירון בן עמוס</cp:lastModifiedBy>
  <cp:revision>4</cp:revision>
  <dcterms:created xsi:type="dcterms:W3CDTF">2026-06-17T07:24:00Z</dcterms:created>
  <dcterms:modified xsi:type="dcterms:W3CDTF">2026-06-17T09:05:00Z</dcterms:modified>
</cp:coreProperties>
</file>