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520" w:type="dxa"/>
        <w:tblLayout w:type="fixed"/>
        <w:tblLook w:val="0000" w:firstRow="0" w:lastRow="0" w:firstColumn="0" w:lastColumn="0" w:noHBand="0" w:noVBand="0"/>
        <w:tblCaption w:val="כותרת עליונה"/>
        <w:tblDescription w:val="כותרת עליונה"/>
      </w:tblPr>
      <w:tblGrid>
        <w:gridCol w:w="2840"/>
        <w:gridCol w:w="2596"/>
        <w:gridCol w:w="3084"/>
      </w:tblGrid>
      <w:tr w:rsidR="00955B34" w:rsidRPr="00CC4EDC" w:rsidTr="00955B34">
        <w:trPr>
          <w:tblHeader/>
        </w:trPr>
        <w:tc>
          <w:tcPr>
            <w:tcW w:w="2840" w:type="dxa"/>
            <w:tcBorders>
              <w:top w:val="nil"/>
              <w:left w:val="nil"/>
              <w:bottom w:val="nil"/>
              <w:right w:val="nil"/>
            </w:tcBorders>
            <w:vAlign w:val="center"/>
          </w:tcPr>
          <w:p w:rsidR="00955B34" w:rsidRPr="00CC4EDC" w:rsidRDefault="00955B34" w:rsidP="003736D6">
            <w:pPr>
              <w:spacing w:line="360" w:lineRule="auto"/>
              <w:jc w:val="center"/>
              <w:rPr>
                <w:rFonts w:cstheme="minorHAnsi"/>
                <w:b/>
                <w:bCs/>
                <w:sz w:val="28"/>
                <w:szCs w:val="28"/>
              </w:rPr>
            </w:pPr>
            <w:r w:rsidRPr="00CC4EDC">
              <w:rPr>
                <w:rFonts w:cstheme="minorHAnsi"/>
                <w:b/>
                <w:bCs/>
                <w:sz w:val="28"/>
                <w:szCs w:val="28"/>
                <w:rtl/>
              </w:rPr>
              <w:t>בנק ישראל</w:t>
            </w:r>
          </w:p>
          <w:p w:rsidR="00955B34" w:rsidRPr="00CC4EDC" w:rsidRDefault="00955B34" w:rsidP="003736D6">
            <w:pPr>
              <w:spacing w:line="360" w:lineRule="auto"/>
              <w:ind w:right="-101"/>
              <w:jc w:val="center"/>
              <w:rPr>
                <w:rFonts w:cstheme="minorHAnsi"/>
              </w:rPr>
            </w:pPr>
            <w:r w:rsidRPr="00CC4EDC">
              <w:rPr>
                <w:rFonts w:cstheme="minorHAnsi"/>
                <w:rtl/>
              </w:rPr>
              <w:t>דוברות והסברה כלכלית</w:t>
            </w:r>
          </w:p>
        </w:tc>
        <w:tc>
          <w:tcPr>
            <w:tcW w:w="2596" w:type="dxa"/>
            <w:tcBorders>
              <w:top w:val="nil"/>
              <w:left w:val="nil"/>
              <w:bottom w:val="nil"/>
              <w:right w:val="nil"/>
            </w:tcBorders>
          </w:tcPr>
          <w:p w:rsidR="00955B34" w:rsidRPr="00CC4EDC" w:rsidRDefault="00955B34" w:rsidP="003736D6">
            <w:pPr>
              <w:jc w:val="center"/>
              <w:rPr>
                <w:rFonts w:cstheme="minorHAnsi"/>
              </w:rPr>
            </w:pPr>
            <w:r w:rsidRPr="00CC4EDC">
              <w:rPr>
                <w:rFonts w:cstheme="minorHAnsi"/>
                <w:noProof/>
              </w:rPr>
              <w:drawing>
                <wp:inline distT="0" distB="0" distL="0" distR="0" wp14:anchorId="6A8CF1E4" wp14:editId="3C28AA52">
                  <wp:extent cx="914400" cy="9144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3084" w:type="dxa"/>
            <w:tcBorders>
              <w:top w:val="nil"/>
              <w:left w:val="nil"/>
              <w:bottom w:val="nil"/>
              <w:right w:val="nil"/>
            </w:tcBorders>
            <w:vAlign w:val="center"/>
          </w:tcPr>
          <w:p w:rsidR="00955B34" w:rsidRPr="00CC4EDC" w:rsidRDefault="00955B34" w:rsidP="003736D6">
            <w:pPr>
              <w:spacing w:line="480" w:lineRule="auto"/>
              <w:jc w:val="right"/>
              <w:rPr>
                <w:rFonts w:cstheme="minorHAnsi"/>
              </w:rPr>
            </w:pPr>
            <w:r w:rsidRPr="00CC4EDC">
              <w:rPr>
                <w:rFonts w:cstheme="minorHAnsi"/>
                <w:rtl/>
              </w:rPr>
              <w:t xml:space="preserve">‏ירושלים, </w:t>
            </w:r>
            <w:r>
              <w:rPr>
                <w:rFonts w:cstheme="minorHAnsi" w:hint="cs"/>
                <w:rtl/>
              </w:rPr>
              <w:t>כ"ו</w:t>
            </w:r>
            <w:r w:rsidRPr="00CC4EDC">
              <w:rPr>
                <w:rFonts w:cstheme="minorHAnsi"/>
                <w:rtl/>
              </w:rPr>
              <w:t xml:space="preserve"> באדר א',  תשפ"ד</w:t>
            </w:r>
          </w:p>
          <w:p w:rsidR="00955B34" w:rsidRPr="00CC4EDC" w:rsidRDefault="00955B34" w:rsidP="003736D6">
            <w:pPr>
              <w:spacing w:line="480" w:lineRule="auto"/>
              <w:jc w:val="right"/>
              <w:rPr>
                <w:rFonts w:cstheme="minorHAnsi"/>
              </w:rPr>
            </w:pPr>
            <w:r w:rsidRPr="00CC4EDC">
              <w:rPr>
                <w:rFonts w:cstheme="minorHAnsi"/>
                <w:rtl/>
              </w:rPr>
              <w:t>‏‏</w:t>
            </w:r>
            <w:r>
              <w:rPr>
                <w:rFonts w:cstheme="minorHAnsi" w:hint="cs"/>
                <w:rtl/>
              </w:rPr>
              <w:t>6</w:t>
            </w:r>
            <w:r w:rsidRPr="00CC4EDC">
              <w:rPr>
                <w:rFonts w:cstheme="minorHAnsi"/>
                <w:rtl/>
              </w:rPr>
              <w:t xml:space="preserve"> </w:t>
            </w:r>
            <w:r>
              <w:rPr>
                <w:rFonts w:cstheme="minorHAnsi" w:hint="cs"/>
                <w:rtl/>
              </w:rPr>
              <w:t>במרץ</w:t>
            </w:r>
            <w:r w:rsidRPr="00CC4EDC">
              <w:rPr>
                <w:rFonts w:cstheme="minorHAnsi"/>
                <w:rtl/>
              </w:rPr>
              <w:t xml:space="preserve"> 2024</w:t>
            </w:r>
          </w:p>
        </w:tc>
      </w:tr>
    </w:tbl>
    <w:p w:rsidR="00955B34" w:rsidRDefault="00955B34" w:rsidP="00955B34">
      <w:pPr>
        <w:jc w:val="both"/>
        <w:rPr>
          <w:rFonts w:cstheme="minorHAnsi"/>
          <w:sz w:val="4"/>
          <w:szCs w:val="4"/>
          <w:rtl/>
        </w:rPr>
      </w:pPr>
    </w:p>
    <w:p w:rsidR="00955B34" w:rsidRPr="000C56AB" w:rsidRDefault="00955B34" w:rsidP="00955B34">
      <w:pPr>
        <w:jc w:val="both"/>
        <w:rPr>
          <w:rFonts w:cstheme="minorHAnsi"/>
          <w:sz w:val="4"/>
          <w:szCs w:val="4"/>
          <w:rtl/>
        </w:rPr>
      </w:pPr>
    </w:p>
    <w:tbl>
      <w:tblPr>
        <w:tblpPr w:leftFromText="180" w:rightFromText="180" w:vertAnchor="page" w:horzAnchor="margin" w:tblpXSpec="center" w:tblpY="637"/>
        <w:bidiVisual/>
        <w:tblW w:w="8789" w:type="dxa"/>
        <w:tblLayout w:type="fixed"/>
        <w:tblLook w:val="0000" w:firstRow="0" w:lastRow="0" w:firstColumn="0" w:lastColumn="0" w:noHBand="0" w:noVBand="0"/>
      </w:tblPr>
      <w:tblGrid>
        <w:gridCol w:w="8789"/>
      </w:tblGrid>
      <w:tr w:rsidR="00955B34" w:rsidRPr="000C56AB" w:rsidTr="003736D6">
        <w:tc>
          <w:tcPr>
            <w:tcW w:w="8789" w:type="dxa"/>
            <w:tcBorders>
              <w:top w:val="nil"/>
              <w:left w:val="nil"/>
              <w:bottom w:val="nil"/>
              <w:right w:val="nil"/>
            </w:tcBorders>
          </w:tcPr>
          <w:p w:rsidR="00955B34" w:rsidRPr="000C56AB" w:rsidRDefault="00955B34" w:rsidP="003736D6">
            <w:pPr>
              <w:jc w:val="both"/>
              <w:rPr>
                <w:rFonts w:cstheme="minorHAnsi"/>
                <w:sz w:val="24"/>
              </w:rPr>
            </w:pPr>
          </w:p>
        </w:tc>
      </w:tr>
    </w:tbl>
    <w:p w:rsidR="00955B34" w:rsidRDefault="00955B34" w:rsidP="00955B34">
      <w:pPr>
        <w:jc w:val="both"/>
        <w:rPr>
          <w:rFonts w:cstheme="minorHAnsi"/>
          <w:sz w:val="24"/>
          <w:szCs w:val="24"/>
          <w:rtl/>
        </w:rPr>
      </w:pPr>
      <w:r w:rsidRPr="000C56AB">
        <w:rPr>
          <w:rFonts w:cstheme="minorHAnsi"/>
          <w:sz w:val="24"/>
          <w:szCs w:val="24"/>
          <w:rtl/>
        </w:rPr>
        <w:t>הודעה לעיתונות:</w:t>
      </w:r>
    </w:p>
    <w:p w:rsidR="00955B34" w:rsidRPr="00955B34" w:rsidRDefault="00955B34" w:rsidP="00CC75FB">
      <w:pPr>
        <w:spacing w:after="0"/>
        <w:jc w:val="center"/>
        <w:rPr>
          <w:rFonts w:cstheme="minorHAnsi"/>
          <w:b/>
          <w:bCs/>
          <w:sz w:val="24"/>
          <w:szCs w:val="24"/>
          <w:rtl/>
        </w:rPr>
      </w:pPr>
      <w:bookmarkStart w:id="0" w:name="_GoBack"/>
      <w:r w:rsidRPr="00955B34">
        <w:rPr>
          <w:rFonts w:cstheme="minorHAnsi" w:hint="cs"/>
          <w:b/>
          <w:bCs/>
          <w:sz w:val="24"/>
          <w:szCs w:val="24"/>
          <w:rtl/>
        </w:rPr>
        <w:t>נייר מדיניות של חטיבת המחקר:</w:t>
      </w:r>
    </w:p>
    <w:p w:rsidR="00955B34" w:rsidRPr="00955B34" w:rsidRDefault="00955B34" w:rsidP="00CC75FB">
      <w:pPr>
        <w:spacing w:after="0"/>
        <w:jc w:val="center"/>
        <w:rPr>
          <w:rFonts w:cstheme="minorHAnsi"/>
          <w:b/>
          <w:bCs/>
          <w:sz w:val="24"/>
          <w:szCs w:val="24"/>
          <w:rtl/>
        </w:rPr>
      </w:pPr>
      <w:r w:rsidRPr="00955B34">
        <w:rPr>
          <w:rFonts w:cstheme="minorHAnsi"/>
          <w:b/>
          <w:bCs/>
          <w:sz w:val="24"/>
          <w:szCs w:val="24"/>
          <w:rtl/>
        </w:rPr>
        <w:t xml:space="preserve">ניתוח יישום </w:t>
      </w:r>
      <w:proofErr w:type="spellStart"/>
      <w:r w:rsidRPr="00955B34">
        <w:rPr>
          <w:rFonts w:cstheme="minorHAnsi"/>
          <w:b/>
          <w:bCs/>
          <w:sz w:val="24"/>
          <w:szCs w:val="24"/>
          <w:rtl/>
        </w:rPr>
        <w:t>תוכנית</w:t>
      </w:r>
      <w:proofErr w:type="spellEnd"/>
      <w:r w:rsidRPr="00955B34">
        <w:rPr>
          <w:rFonts w:cstheme="minorHAnsi"/>
          <w:b/>
          <w:bCs/>
          <w:sz w:val="24"/>
          <w:szCs w:val="24"/>
          <w:rtl/>
        </w:rPr>
        <w:t xml:space="preserve"> החומש לפיתוח כלכלי של האוכלוסייה הערבית במסגרת החלטה 922: תקציבים, הישגים וחסמים</w:t>
      </w:r>
    </w:p>
    <w:bookmarkEnd w:id="0"/>
    <w:p w:rsidR="00955B34" w:rsidRPr="00955B34" w:rsidRDefault="00955B34" w:rsidP="00CC75FB">
      <w:pPr>
        <w:spacing w:after="0"/>
        <w:rPr>
          <w:rFonts w:cstheme="minorHAnsi"/>
          <w:sz w:val="24"/>
          <w:szCs w:val="24"/>
          <w:rtl/>
        </w:rPr>
      </w:pPr>
    </w:p>
    <w:p w:rsidR="00955B34" w:rsidRPr="00955B34" w:rsidRDefault="00955B34" w:rsidP="00CC75FB">
      <w:pPr>
        <w:numPr>
          <w:ilvl w:val="0"/>
          <w:numId w:val="3"/>
        </w:numPr>
        <w:spacing w:after="0"/>
        <w:rPr>
          <w:rFonts w:cstheme="minorHAnsi"/>
          <w:sz w:val="24"/>
          <w:szCs w:val="24"/>
        </w:rPr>
      </w:pPr>
      <w:proofErr w:type="spellStart"/>
      <w:r w:rsidRPr="00955B34">
        <w:rPr>
          <w:rFonts w:cstheme="minorHAnsi" w:hint="cs"/>
          <w:sz w:val="24"/>
          <w:szCs w:val="24"/>
          <w:rtl/>
        </w:rPr>
        <w:t>תוכנית</w:t>
      </w:r>
      <w:proofErr w:type="spellEnd"/>
      <w:r w:rsidRPr="00955B34">
        <w:rPr>
          <w:rFonts w:cstheme="minorHAnsi" w:hint="cs"/>
          <w:sz w:val="24"/>
          <w:szCs w:val="24"/>
          <w:rtl/>
        </w:rPr>
        <w:t xml:space="preserve"> החומש מכוח החלטת ממשלה 922 יושמה בשנים 2021-2016 וקידמה באופן משמעותי את הפיתוח הכלכלי בחברה הערבית. הוקצה לה תקציב של כ-13 מיליארד ₪ ועד לנובמבר 2021 נוצלו כ-70% מתקציבי התוכנית.</w:t>
      </w:r>
    </w:p>
    <w:p w:rsidR="00955B34" w:rsidRPr="00955B34" w:rsidRDefault="00955B34" w:rsidP="00CC75FB">
      <w:pPr>
        <w:numPr>
          <w:ilvl w:val="0"/>
          <w:numId w:val="3"/>
        </w:numPr>
        <w:spacing w:after="0"/>
        <w:rPr>
          <w:rFonts w:cstheme="minorHAnsi"/>
          <w:sz w:val="24"/>
          <w:szCs w:val="24"/>
        </w:rPr>
      </w:pPr>
      <w:r w:rsidRPr="00955B34">
        <w:rPr>
          <w:rFonts w:cstheme="minorHAnsi" w:hint="cs"/>
          <w:sz w:val="24"/>
          <w:szCs w:val="24"/>
          <w:rtl/>
        </w:rPr>
        <w:t>עיקר ההקצאה התקציבית ניתנה לתחום החינוך ולתחום התשתיות ובינוי. בשנות יישום התוכנית חל צמצום פערים משמעותי בין החברה הערבית ליהודית ברבים מתחומי התוכנית.</w:t>
      </w:r>
    </w:p>
    <w:p w:rsidR="00955B34" w:rsidRPr="00955B34" w:rsidRDefault="00955B34" w:rsidP="00CC75FB">
      <w:pPr>
        <w:numPr>
          <w:ilvl w:val="0"/>
          <w:numId w:val="3"/>
        </w:numPr>
        <w:spacing w:after="0"/>
        <w:rPr>
          <w:rFonts w:cstheme="minorHAnsi"/>
          <w:sz w:val="24"/>
          <w:szCs w:val="24"/>
        </w:rPr>
      </w:pPr>
      <w:r w:rsidRPr="00955B34">
        <w:rPr>
          <w:rFonts w:cstheme="minorHAnsi" w:hint="cs"/>
          <w:sz w:val="24"/>
          <w:szCs w:val="24"/>
          <w:rtl/>
        </w:rPr>
        <w:t xml:space="preserve">בחלק מסעיפי </w:t>
      </w:r>
      <w:proofErr w:type="spellStart"/>
      <w:r w:rsidRPr="00955B34">
        <w:rPr>
          <w:rFonts w:cstheme="minorHAnsi" w:hint="cs"/>
          <w:sz w:val="24"/>
          <w:szCs w:val="24"/>
          <w:rtl/>
        </w:rPr>
        <w:t>תוכנית</w:t>
      </w:r>
      <w:proofErr w:type="spellEnd"/>
      <w:r w:rsidRPr="00955B34">
        <w:rPr>
          <w:rFonts w:cstheme="minorHAnsi" w:hint="cs"/>
          <w:sz w:val="24"/>
          <w:szCs w:val="24"/>
          <w:rtl/>
        </w:rPr>
        <w:t xml:space="preserve"> החומש היו קשיי יישום, בעיקר בתקציבים אשר היו מיועדים לרשויות המקומיות שם שיעור הניצול בתקציבים הגיע לכ-50% בלבד. החסמים העיקריים למימוש היו היעדר הסדרה של קרקעות וקשיים בעמידת בדרישות המימון העצמי ("</w:t>
      </w:r>
      <w:proofErr w:type="spellStart"/>
      <w:r w:rsidRPr="00955B34">
        <w:rPr>
          <w:rFonts w:cstheme="minorHAnsi" w:hint="cs"/>
          <w:sz w:val="24"/>
          <w:szCs w:val="24"/>
          <w:rtl/>
        </w:rPr>
        <w:t>מאצ'ינג</w:t>
      </w:r>
      <w:proofErr w:type="spellEnd"/>
      <w:r w:rsidRPr="00955B34">
        <w:rPr>
          <w:rFonts w:cstheme="minorHAnsi" w:hint="cs"/>
          <w:sz w:val="24"/>
          <w:szCs w:val="24"/>
          <w:rtl/>
        </w:rPr>
        <w:t>").</w:t>
      </w:r>
    </w:p>
    <w:p w:rsidR="00955B34" w:rsidRPr="00955B34" w:rsidRDefault="00955B34" w:rsidP="00CC75FB">
      <w:pPr>
        <w:numPr>
          <w:ilvl w:val="0"/>
          <w:numId w:val="3"/>
        </w:numPr>
        <w:spacing w:after="0"/>
        <w:rPr>
          <w:rFonts w:cstheme="minorHAnsi"/>
          <w:sz w:val="24"/>
          <w:szCs w:val="24"/>
        </w:rPr>
      </w:pPr>
      <w:r w:rsidRPr="00955B34">
        <w:rPr>
          <w:rFonts w:cstheme="minorHAnsi"/>
          <w:sz w:val="24"/>
          <w:szCs w:val="24"/>
          <w:rtl/>
        </w:rPr>
        <w:t xml:space="preserve">באוקטובר 2021 אושרה </w:t>
      </w:r>
      <w:proofErr w:type="spellStart"/>
      <w:r w:rsidRPr="00955B34">
        <w:rPr>
          <w:rFonts w:cstheme="minorHAnsi"/>
          <w:sz w:val="24"/>
          <w:szCs w:val="24"/>
          <w:rtl/>
        </w:rPr>
        <w:t>תוכנית</w:t>
      </w:r>
      <w:proofErr w:type="spellEnd"/>
      <w:r w:rsidRPr="00955B34">
        <w:rPr>
          <w:rFonts w:cstheme="minorHAnsi"/>
          <w:sz w:val="24"/>
          <w:szCs w:val="24"/>
          <w:rtl/>
        </w:rPr>
        <w:t xml:space="preserve"> חומש חדשה </w:t>
      </w:r>
      <w:r w:rsidRPr="00955B34">
        <w:rPr>
          <w:rFonts w:cstheme="minorHAnsi" w:hint="cs"/>
          <w:sz w:val="24"/>
          <w:szCs w:val="24"/>
          <w:rtl/>
        </w:rPr>
        <w:t xml:space="preserve">לשנים 2022-2026 </w:t>
      </w:r>
      <w:r w:rsidRPr="00955B34">
        <w:rPr>
          <w:rFonts w:cstheme="minorHAnsi"/>
          <w:sz w:val="24"/>
          <w:szCs w:val="24"/>
          <w:rtl/>
        </w:rPr>
        <w:t>במסגרת החלט</w:t>
      </w:r>
      <w:r w:rsidRPr="00955B34">
        <w:rPr>
          <w:rFonts w:cstheme="minorHAnsi" w:hint="cs"/>
          <w:sz w:val="24"/>
          <w:szCs w:val="24"/>
          <w:rtl/>
        </w:rPr>
        <w:t>ת ממשלה</w:t>
      </w:r>
      <w:r w:rsidRPr="00955B34">
        <w:rPr>
          <w:rFonts w:cstheme="minorHAnsi"/>
          <w:sz w:val="24"/>
          <w:szCs w:val="24"/>
          <w:rtl/>
        </w:rPr>
        <w:t xml:space="preserve"> 550 </w:t>
      </w:r>
      <w:r w:rsidRPr="00955B34">
        <w:rPr>
          <w:rFonts w:cstheme="minorHAnsi" w:hint="cs"/>
          <w:sz w:val="24"/>
          <w:szCs w:val="24"/>
          <w:rtl/>
        </w:rPr>
        <w:t xml:space="preserve">בסך 30 מיליארדי ₪. </w:t>
      </w:r>
      <w:r w:rsidRPr="00955B34">
        <w:rPr>
          <w:rFonts w:cstheme="minorHAnsi" w:hint="eastAsia"/>
          <w:sz w:val="24"/>
          <w:szCs w:val="24"/>
          <w:rtl/>
        </w:rPr>
        <w:t>במסגרת</w:t>
      </w:r>
      <w:r w:rsidRPr="00955B34">
        <w:rPr>
          <w:rFonts w:cstheme="minorHAnsi"/>
          <w:sz w:val="24"/>
          <w:szCs w:val="24"/>
          <w:rtl/>
        </w:rPr>
        <w:t xml:space="preserve"> תקציב המדינה המתוקן ל-2024 </w:t>
      </w:r>
      <w:r w:rsidRPr="00955B34">
        <w:rPr>
          <w:rFonts w:cstheme="minorHAnsi" w:hint="cs"/>
          <w:sz w:val="24"/>
          <w:szCs w:val="24"/>
          <w:rtl/>
        </w:rPr>
        <w:t>ש</w:t>
      </w:r>
      <w:r w:rsidRPr="00955B34">
        <w:rPr>
          <w:rFonts w:cstheme="minorHAnsi"/>
          <w:sz w:val="24"/>
          <w:szCs w:val="24"/>
          <w:rtl/>
        </w:rPr>
        <w:t xml:space="preserve">הוגש לכנסת נכלל קיצוץ תקציבי נרחב בהחלטת ממשלה 550. </w:t>
      </w:r>
      <w:r w:rsidRPr="00955B34">
        <w:rPr>
          <w:rFonts w:cstheme="minorHAnsi" w:hint="eastAsia"/>
          <w:sz w:val="24"/>
          <w:szCs w:val="24"/>
          <w:rtl/>
        </w:rPr>
        <w:t>היקף</w:t>
      </w:r>
      <w:r w:rsidRPr="00955B34">
        <w:rPr>
          <w:rFonts w:cstheme="minorHAnsi"/>
          <w:sz w:val="24"/>
          <w:szCs w:val="24"/>
          <w:rtl/>
        </w:rPr>
        <w:t xml:space="preserve"> </w:t>
      </w:r>
      <w:r w:rsidRPr="00955B34">
        <w:rPr>
          <w:rFonts w:cstheme="minorHAnsi" w:hint="eastAsia"/>
          <w:sz w:val="24"/>
          <w:szCs w:val="24"/>
          <w:rtl/>
        </w:rPr>
        <w:t>פגיעה</w:t>
      </w:r>
      <w:r w:rsidRPr="00955B34">
        <w:rPr>
          <w:rFonts w:cstheme="minorHAnsi"/>
          <w:sz w:val="24"/>
          <w:szCs w:val="24"/>
          <w:rtl/>
        </w:rPr>
        <w:t xml:space="preserve"> </w:t>
      </w:r>
      <w:r w:rsidRPr="00955B34">
        <w:rPr>
          <w:rFonts w:cstheme="minorHAnsi" w:hint="eastAsia"/>
          <w:sz w:val="24"/>
          <w:szCs w:val="24"/>
          <w:rtl/>
        </w:rPr>
        <w:t>ניכר</w:t>
      </w:r>
      <w:r w:rsidRPr="00955B34">
        <w:rPr>
          <w:rFonts w:cstheme="minorHAnsi"/>
          <w:sz w:val="24"/>
          <w:szCs w:val="24"/>
          <w:rtl/>
        </w:rPr>
        <w:t xml:space="preserve"> </w:t>
      </w:r>
      <w:r w:rsidRPr="00955B34">
        <w:rPr>
          <w:rFonts w:cstheme="minorHAnsi" w:hint="eastAsia"/>
          <w:sz w:val="24"/>
          <w:szCs w:val="24"/>
          <w:rtl/>
        </w:rPr>
        <w:t>בסעיפי</w:t>
      </w:r>
      <w:r w:rsidRPr="00955B34">
        <w:rPr>
          <w:rFonts w:cstheme="minorHAnsi"/>
          <w:sz w:val="24"/>
          <w:szCs w:val="24"/>
          <w:rtl/>
        </w:rPr>
        <w:t xml:space="preserve"> </w:t>
      </w:r>
      <w:proofErr w:type="spellStart"/>
      <w:r w:rsidRPr="00955B34">
        <w:rPr>
          <w:rFonts w:cstheme="minorHAnsi" w:hint="eastAsia"/>
          <w:sz w:val="24"/>
          <w:szCs w:val="24"/>
          <w:rtl/>
        </w:rPr>
        <w:t>תוכנית</w:t>
      </w:r>
      <w:proofErr w:type="spellEnd"/>
      <w:r w:rsidRPr="00955B34">
        <w:rPr>
          <w:rFonts w:cstheme="minorHAnsi"/>
          <w:sz w:val="24"/>
          <w:szCs w:val="24"/>
          <w:rtl/>
        </w:rPr>
        <w:t xml:space="preserve"> </w:t>
      </w:r>
      <w:r w:rsidRPr="00955B34">
        <w:rPr>
          <w:rFonts w:cstheme="minorHAnsi" w:hint="eastAsia"/>
          <w:sz w:val="24"/>
          <w:szCs w:val="24"/>
          <w:rtl/>
        </w:rPr>
        <w:t>החומש</w:t>
      </w:r>
      <w:r w:rsidRPr="00955B34">
        <w:rPr>
          <w:rFonts w:cstheme="minorHAnsi"/>
          <w:sz w:val="24"/>
          <w:szCs w:val="24"/>
          <w:rtl/>
        </w:rPr>
        <w:t xml:space="preserve"> </w:t>
      </w:r>
      <w:r w:rsidRPr="00955B34">
        <w:rPr>
          <w:rFonts w:cstheme="minorHAnsi" w:hint="cs"/>
          <w:sz w:val="24"/>
          <w:szCs w:val="24"/>
          <w:rtl/>
        </w:rPr>
        <w:t xml:space="preserve">עלול </w:t>
      </w:r>
      <w:r w:rsidRPr="00955B34">
        <w:rPr>
          <w:rFonts w:cstheme="minorHAnsi" w:hint="eastAsia"/>
          <w:sz w:val="24"/>
          <w:szCs w:val="24"/>
          <w:rtl/>
        </w:rPr>
        <w:t>לפגוע</w:t>
      </w:r>
      <w:r w:rsidRPr="00955B34">
        <w:rPr>
          <w:rFonts w:cstheme="minorHAnsi"/>
          <w:sz w:val="24"/>
          <w:szCs w:val="24"/>
          <w:rtl/>
        </w:rPr>
        <w:t xml:space="preserve"> </w:t>
      </w:r>
      <w:r w:rsidRPr="00955B34">
        <w:rPr>
          <w:rFonts w:cstheme="minorHAnsi" w:hint="eastAsia"/>
          <w:sz w:val="24"/>
          <w:szCs w:val="24"/>
          <w:rtl/>
        </w:rPr>
        <w:t>בצמיחה</w:t>
      </w:r>
      <w:r w:rsidRPr="00955B34">
        <w:rPr>
          <w:rFonts w:cstheme="minorHAnsi"/>
          <w:sz w:val="24"/>
          <w:szCs w:val="24"/>
          <w:rtl/>
        </w:rPr>
        <w:t xml:space="preserve"> </w:t>
      </w:r>
      <w:r w:rsidRPr="00955B34">
        <w:rPr>
          <w:rFonts w:cstheme="minorHAnsi" w:hint="eastAsia"/>
          <w:sz w:val="24"/>
          <w:szCs w:val="24"/>
          <w:rtl/>
        </w:rPr>
        <w:t>העתידית</w:t>
      </w:r>
      <w:r w:rsidRPr="00955B34">
        <w:rPr>
          <w:rFonts w:cstheme="minorHAnsi"/>
          <w:sz w:val="24"/>
          <w:szCs w:val="24"/>
          <w:rtl/>
        </w:rPr>
        <w:t xml:space="preserve"> </w:t>
      </w:r>
      <w:r w:rsidRPr="00955B34">
        <w:rPr>
          <w:rFonts w:cstheme="minorHAnsi" w:hint="eastAsia"/>
          <w:sz w:val="24"/>
          <w:szCs w:val="24"/>
          <w:rtl/>
        </w:rPr>
        <w:t>של</w:t>
      </w:r>
      <w:r w:rsidRPr="00955B34">
        <w:rPr>
          <w:rFonts w:cstheme="minorHAnsi"/>
          <w:sz w:val="24"/>
          <w:szCs w:val="24"/>
          <w:rtl/>
        </w:rPr>
        <w:t xml:space="preserve"> </w:t>
      </w:r>
      <w:r w:rsidRPr="00955B34">
        <w:rPr>
          <w:rFonts w:cstheme="minorHAnsi" w:hint="eastAsia"/>
          <w:sz w:val="24"/>
          <w:szCs w:val="24"/>
          <w:rtl/>
        </w:rPr>
        <w:t>המשק</w:t>
      </w:r>
      <w:r w:rsidRPr="00955B34">
        <w:rPr>
          <w:rFonts w:cstheme="minorHAnsi"/>
          <w:sz w:val="24"/>
          <w:szCs w:val="24"/>
          <w:rtl/>
        </w:rPr>
        <w:t xml:space="preserve"> </w:t>
      </w:r>
      <w:r w:rsidRPr="00955B34">
        <w:rPr>
          <w:rFonts w:cstheme="minorHAnsi" w:hint="eastAsia"/>
          <w:sz w:val="24"/>
          <w:szCs w:val="24"/>
          <w:rtl/>
        </w:rPr>
        <w:t>הישראלי</w:t>
      </w:r>
      <w:r w:rsidRPr="00955B34">
        <w:rPr>
          <w:rFonts w:cstheme="minorHAnsi"/>
          <w:sz w:val="24"/>
          <w:szCs w:val="24"/>
          <w:rtl/>
        </w:rPr>
        <w:t>.</w:t>
      </w:r>
    </w:p>
    <w:p w:rsidR="00955B34" w:rsidRPr="00955B34" w:rsidRDefault="00955B34" w:rsidP="00CC75FB">
      <w:pPr>
        <w:numPr>
          <w:ilvl w:val="0"/>
          <w:numId w:val="3"/>
        </w:numPr>
        <w:spacing w:after="0"/>
        <w:rPr>
          <w:rFonts w:cstheme="minorHAnsi"/>
          <w:sz w:val="24"/>
          <w:szCs w:val="24"/>
          <w:rtl/>
        </w:rPr>
      </w:pPr>
      <w:r w:rsidRPr="00955B34">
        <w:rPr>
          <w:rFonts w:cstheme="minorHAnsi" w:hint="eastAsia"/>
          <w:sz w:val="24"/>
          <w:szCs w:val="24"/>
          <w:rtl/>
        </w:rPr>
        <w:t>במקביל</w:t>
      </w:r>
      <w:r w:rsidRPr="00955B34">
        <w:rPr>
          <w:rFonts w:cstheme="minorHAnsi"/>
          <w:sz w:val="24"/>
          <w:szCs w:val="24"/>
          <w:rtl/>
        </w:rPr>
        <w:t xml:space="preserve"> להמשך קידום </w:t>
      </w:r>
      <w:proofErr w:type="spellStart"/>
      <w:r w:rsidRPr="00955B34">
        <w:rPr>
          <w:rFonts w:cstheme="minorHAnsi"/>
          <w:sz w:val="24"/>
          <w:szCs w:val="24"/>
          <w:rtl/>
        </w:rPr>
        <w:t>תוכנית</w:t>
      </w:r>
      <w:proofErr w:type="spellEnd"/>
      <w:r w:rsidRPr="00955B34">
        <w:rPr>
          <w:rFonts w:cstheme="minorHAnsi"/>
          <w:sz w:val="24"/>
          <w:szCs w:val="24"/>
          <w:rtl/>
        </w:rPr>
        <w:t xml:space="preserve"> החומש </w:t>
      </w:r>
      <w:r w:rsidRPr="00955B34">
        <w:rPr>
          <w:rFonts w:cstheme="minorHAnsi" w:hint="eastAsia"/>
          <w:sz w:val="24"/>
          <w:szCs w:val="24"/>
          <w:rtl/>
        </w:rPr>
        <w:t>יש</w:t>
      </w:r>
      <w:r w:rsidRPr="00955B34">
        <w:rPr>
          <w:rFonts w:cstheme="minorHAnsi"/>
          <w:sz w:val="24"/>
          <w:szCs w:val="24"/>
          <w:rtl/>
        </w:rPr>
        <w:t xml:space="preserve"> לפעול לכך שבטווח הארוך ההקצאה </w:t>
      </w:r>
      <w:r w:rsidRPr="00955B34">
        <w:rPr>
          <w:rFonts w:cstheme="minorHAnsi" w:hint="eastAsia"/>
          <w:sz w:val="24"/>
          <w:szCs w:val="24"/>
          <w:rtl/>
        </w:rPr>
        <w:t>התקציבית</w:t>
      </w:r>
      <w:r w:rsidRPr="00955B34">
        <w:rPr>
          <w:rFonts w:cstheme="minorHAnsi"/>
          <w:sz w:val="24"/>
          <w:szCs w:val="24"/>
          <w:rtl/>
        </w:rPr>
        <w:t xml:space="preserve"> לאוכלוסייה הערבית תעוגן באופן קבוע בבסיס תקציב המדינה על סמך קריטריונים שוויוניים ושקופים.</w:t>
      </w:r>
    </w:p>
    <w:p w:rsidR="00955B34" w:rsidRPr="00955B34" w:rsidRDefault="00955B34" w:rsidP="00CC75FB">
      <w:pPr>
        <w:spacing w:after="0"/>
        <w:rPr>
          <w:rFonts w:cstheme="minorHAnsi"/>
          <w:sz w:val="24"/>
          <w:szCs w:val="24"/>
          <w:rtl/>
        </w:rPr>
      </w:pPr>
      <w:r w:rsidRPr="00955B34">
        <w:rPr>
          <w:rFonts w:cstheme="minorHAnsi"/>
          <w:sz w:val="24"/>
          <w:szCs w:val="24"/>
          <w:rtl/>
        </w:rPr>
        <w:t>החלטות הממשלה 992 ו-550 שהתקבלו בשנים 2015 ו-2021, ותוכניות החומש שיושמו מכוחן, היוו ציון דרך משמעותי בקידום הפיתוח הכלכלי של החברה הערבית. מסמך שכתבו ספי בכר</w:t>
      </w:r>
      <w:r w:rsidRPr="00955B34">
        <w:rPr>
          <w:rFonts w:cstheme="minorHAnsi" w:hint="cs"/>
          <w:sz w:val="24"/>
          <w:szCs w:val="24"/>
          <w:rtl/>
        </w:rPr>
        <w:t xml:space="preserve"> ו</w:t>
      </w:r>
      <w:r w:rsidRPr="00955B34">
        <w:rPr>
          <w:rFonts w:cstheme="minorHAnsi"/>
          <w:sz w:val="24"/>
          <w:szCs w:val="24"/>
          <w:rtl/>
        </w:rPr>
        <w:t>אלעד דה-מלאך</w:t>
      </w:r>
      <w:r w:rsidRPr="00955B34">
        <w:rPr>
          <w:rFonts w:cstheme="minorHAnsi" w:hint="cs"/>
          <w:sz w:val="24"/>
          <w:szCs w:val="24"/>
          <w:rtl/>
        </w:rPr>
        <w:t xml:space="preserve"> </w:t>
      </w:r>
      <w:r w:rsidRPr="00955B34">
        <w:rPr>
          <w:rFonts w:cstheme="minorHAnsi"/>
          <w:sz w:val="24"/>
          <w:szCs w:val="24"/>
          <w:rtl/>
        </w:rPr>
        <w:t xml:space="preserve">מחטיבת המחקר </w:t>
      </w:r>
      <w:r w:rsidRPr="00955B34">
        <w:rPr>
          <w:rFonts w:cstheme="minorHAnsi" w:hint="cs"/>
          <w:sz w:val="24"/>
          <w:szCs w:val="24"/>
          <w:rtl/>
        </w:rPr>
        <w:t>ב</w:t>
      </w:r>
      <w:r w:rsidRPr="00955B34">
        <w:rPr>
          <w:rFonts w:cstheme="minorHAnsi"/>
          <w:sz w:val="24"/>
          <w:szCs w:val="24"/>
          <w:rtl/>
        </w:rPr>
        <w:t>בנק</w:t>
      </w:r>
      <w:r w:rsidRPr="00955B34">
        <w:rPr>
          <w:rFonts w:cstheme="minorHAnsi" w:hint="cs"/>
          <w:sz w:val="24"/>
          <w:szCs w:val="24"/>
          <w:rtl/>
        </w:rPr>
        <w:t xml:space="preserve"> ישראל</w:t>
      </w:r>
      <w:r w:rsidRPr="00955B34">
        <w:rPr>
          <w:rFonts w:cstheme="minorHAnsi"/>
          <w:sz w:val="24"/>
          <w:szCs w:val="24"/>
          <w:rtl/>
        </w:rPr>
        <w:t xml:space="preserve"> </w:t>
      </w:r>
      <w:r w:rsidRPr="00955B34">
        <w:rPr>
          <w:rFonts w:cstheme="minorHAnsi" w:hint="cs"/>
          <w:sz w:val="24"/>
          <w:szCs w:val="24"/>
          <w:rtl/>
        </w:rPr>
        <w:t xml:space="preserve">בשיתוף עם </w:t>
      </w:r>
      <w:proofErr w:type="spellStart"/>
      <w:r w:rsidRPr="00955B34">
        <w:rPr>
          <w:rFonts w:cstheme="minorHAnsi" w:hint="cs"/>
          <w:sz w:val="24"/>
          <w:szCs w:val="24"/>
          <w:rtl/>
        </w:rPr>
        <w:t>סאמי</w:t>
      </w:r>
      <w:proofErr w:type="spellEnd"/>
      <w:r w:rsidRPr="00955B34">
        <w:rPr>
          <w:rFonts w:cstheme="minorHAnsi" w:hint="cs"/>
          <w:sz w:val="24"/>
          <w:szCs w:val="24"/>
          <w:rtl/>
        </w:rPr>
        <w:t xml:space="preserve"> </w:t>
      </w:r>
      <w:proofErr w:type="spellStart"/>
      <w:r w:rsidRPr="00955B34">
        <w:rPr>
          <w:rFonts w:cstheme="minorHAnsi" w:hint="cs"/>
          <w:sz w:val="24"/>
          <w:szCs w:val="24"/>
          <w:rtl/>
        </w:rPr>
        <w:t>מיעארי</w:t>
      </w:r>
      <w:proofErr w:type="spellEnd"/>
      <w:r w:rsidRPr="00955B34">
        <w:rPr>
          <w:rFonts w:cstheme="minorHAnsi" w:hint="cs"/>
          <w:sz w:val="24"/>
          <w:szCs w:val="24"/>
          <w:rtl/>
        </w:rPr>
        <w:t xml:space="preserve"> מאוניברסיטת תל אביב</w:t>
      </w:r>
      <w:r w:rsidRPr="00955B34">
        <w:rPr>
          <w:rFonts w:cstheme="minorHAnsi"/>
          <w:sz w:val="24"/>
          <w:szCs w:val="24"/>
          <w:rtl/>
        </w:rPr>
        <w:t xml:space="preserve"> מנתח לעומק את תקציבי </w:t>
      </w:r>
      <w:proofErr w:type="spellStart"/>
      <w:r w:rsidRPr="00955B34">
        <w:rPr>
          <w:rFonts w:cstheme="minorHAnsi"/>
          <w:sz w:val="24"/>
          <w:szCs w:val="24"/>
          <w:rtl/>
        </w:rPr>
        <w:t>תוכנית</w:t>
      </w:r>
      <w:proofErr w:type="spellEnd"/>
      <w:r w:rsidRPr="00955B34">
        <w:rPr>
          <w:rFonts w:cstheme="minorHAnsi"/>
          <w:sz w:val="24"/>
          <w:szCs w:val="24"/>
          <w:rtl/>
        </w:rPr>
        <w:t xml:space="preserve"> החומש הראשונה (922)</w:t>
      </w:r>
      <w:r w:rsidRPr="00955B34">
        <w:rPr>
          <w:rFonts w:cstheme="minorHAnsi" w:hint="cs"/>
          <w:sz w:val="24"/>
          <w:szCs w:val="24"/>
          <w:rtl/>
        </w:rPr>
        <w:t xml:space="preserve">. הניתוח בוחן את </w:t>
      </w:r>
      <w:r w:rsidRPr="00955B34">
        <w:rPr>
          <w:rFonts w:cstheme="minorHAnsi"/>
          <w:sz w:val="24"/>
          <w:szCs w:val="24"/>
          <w:rtl/>
        </w:rPr>
        <w:t>היקף הביצוע של</w:t>
      </w:r>
      <w:r w:rsidRPr="00955B34">
        <w:rPr>
          <w:rFonts w:cstheme="minorHAnsi" w:hint="cs"/>
          <w:sz w:val="24"/>
          <w:szCs w:val="24"/>
          <w:rtl/>
        </w:rPr>
        <w:t xml:space="preserve"> התקציבים</w:t>
      </w:r>
      <w:r w:rsidRPr="00955B34">
        <w:rPr>
          <w:rFonts w:cstheme="minorHAnsi"/>
          <w:sz w:val="24"/>
          <w:szCs w:val="24"/>
          <w:rtl/>
        </w:rPr>
        <w:t xml:space="preserve"> </w:t>
      </w:r>
      <w:r w:rsidRPr="00955B34">
        <w:rPr>
          <w:rFonts w:cstheme="minorHAnsi" w:hint="cs"/>
          <w:sz w:val="24"/>
          <w:szCs w:val="24"/>
          <w:rtl/>
        </w:rPr>
        <w:t>ו</w:t>
      </w:r>
      <w:r w:rsidRPr="00955B34">
        <w:rPr>
          <w:rFonts w:cstheme="minorHAnsi"/>
          <w:sz w:val="24"/>
          <w:szCs w:val="24"/>
          <w:rtl/>
        </w:rPr>
        <w:t xml:space="preserve">סוקר את הישגיה </w:t>
      </w:r>
      <w:r w:rsidRPr="00955B34">
        <w:rPr>
          <w:rFonts w:cstheme="minorHAnsi" w:hint="cs"/>
          <w:sz w:val="24"/>
          <w:szCs w:val="24"/>
          <w:rtl/>
        </w:rPr>
        <w:t xml:space="preserve">של התוכנית </w:t>
      </w:r>
      <w:r w:rsidRPr="00955B34">
        <w:rPr>
          <w:rFonts w:cstheme="minorHAnsi"/>
          <w:sz w:val="24"/>
          <w:szCs w:val="24"/>
          <w:rtl/>
        </w:rPr>
        <w:t xml:space="preserve">והמגמות הכלליות </w:t>
      </w:r>
      <w:r w:rsidRPr="00955B34">
        <w:rPr>
          <w:rFonts w:cstheme="minorHAnsi" w:hint="cs"/>
          <w:sz w:val="24"/>
          <w:szCs w:val="24"/>
          <w:rtl/>
        </w:rPr>
        <w:t>בתחומיה</w:t>
      </w:r>
      <w:r w:rsidRPr="00955B34">
        <w:rPr>
          <w:rFonts w:cstheme="minorHAnsi"/>
          <w:sz w:val="24"/>
          <w:szCs w:val="24"/>
          <w:rtl/>
        </w:rPr>
        <w:t xml:space="preserve"> באותם שנים</w:t>
      </w:r>
      <w:r w:rsidRPr="00955B34">
        <w:rPr>
          <w:rFonts w:cstheme="minorHAnsi" w:hint="cs"/>
          <w:sz w:val="24"/>
          <w:szCs w:val="24"/>
          <w:rtl/>
        </w:rPr>
        <w:t xml:space="preserve">. בנוסף, המסמך </w:t>
      </w:r>
      <w:r w:rsidRPr="00955B34">
        <w:rPr>
          <w:rFonts w:cstheme="minorHAnsi"/>
          <w:sz w:val="24"/>
          <w:szCs w:val="24"/>
          <w:rtl/>
        </w:rPr>
        <w:t xml:space="preserve">מנתח את החסמים העיקריים שהקשו על </w:t>
      </w:r>
      <w:r w:rsidRPr="00955B34">
        <w:rPr>
          <w:rFonts w:cstheme="minorHAnsi" w:hint="cs"/>
          <w:sz w:val="24"/>
          <w:szCs w:val="24"/>
          <w:rtl/>
        </w:rPr>
        <w:t>הרשויו</w:t>
      </w:r>
      <w:r w:rsidRPr="00955B34">
        <w:rPr>
          <w:rFonts w:cstheme="minorHAnsi" w:hint="eastAsia"/>
          <w:sz w:val="24"/>
          <w:szCs w:val="24"/>
          <w:rtl/>
        </w:rPr>
        <w:t>ת</w:t>
      </w:r>
      <w:r w:rsidRPr="00955B34">
        <w:rPr>
          <w:rFonts w:cstheme="minorHAnsi"/>
          <w:sz w:val="24"/>
          <w:szCs w:val="24"/>
          <w:rtl/>
        </w:rPr>
        <w:t xml:space="preserve"> המקומיות </w:t>
      </w:r>
      <w:r w:rsidRPr="00955B34">
        <w:rPr>
          <w:rFonts w:cstheme="minorHAnsi" w:hint="cs"/>
          <w:sz w:val="24"/>
          <w:szCs w:val="24"/>
          <w:rtl/>
        </w:rPr>
        <w:t xml:space="preserve">ליישם את חלק מתקציבי התוכנית ומציג סקירה קצרה של </w:t>
      </w:r>
      <w:proofErr w:type="spellStart"/>
      <w:r w:rsidRPr="00955B34">
        <w:rPr>
          <w:rFonts w:cstheme="minorHAnsi"/>
          <w:sz w:val="24"/>
          <w:szCs w:val="24"/>
          <w:rtl/>
        </w:rPr>
        <w:t>תוכנית</w:t>
      </w:r>
      <w:proofErr w:type="spellEnd"/>
      <w:r w:rsidRPr="00955B34">
        <w:rPr>
          <w:rFonts w:cstheme="minorHAnsi"/>
          <w:sz w:val="24"/>
          <w:szCs w:val="24"/>
          <w:rtl/>
        </w:rPr>
        <w:t xml:space="preserve"> החומש השנייה (550) שהחלה להיות מיושמת </w:t>
      </w:r>
      <w:r w:rsidRPr="00955B34">
        <w:rPr>
          <w:rFonts w:cstheme="minorHAnsi" w:hint="cs"/>
          <w:sz w:val="24"/>
          <w:szCs w:val="24"/>
          <w:rtl/>
        </w:rPr>
        <w:t>ב</w:t>
      </w:r>
      <w:r w:rsidRPr="00955B34">
        <w:rPr>
          <w:rFonts w:cstheme="minorHAnsi"/>
          <w:sz w:val="24"/>
          <w:szCs w:val="24"/>
          <w:rtl/>
        </w:rPr>
        <w:t>שנת 2022.</w:t>
      </w:r>
    </w:p>
    <w:p w:rsidR="00955B34" w:rsidRPr="00955B34" w:rsidRDefault="00955B34" w:rsidP="00CC75FB">
      <w:pPr>
        <w:spacing w:after="0"/>
        <w:rPr>
          <w:rFonts w:cstheme="minorHAnsi"/>
          <w:sz w:val="24"/>
          <w:szCs w:val="24"/>
          <w:rtl/>
        </w:rPr>
      </w:pPr>
      <w:r w:rsidRPr="00955B34">
        <w:rPr>
          <w:rFonts w:cstheme="minorHAnsi"/>
          <w:sz w:val="24"/>
          <w:szCs w:val="24"/>
          <w:rtl/>
        </w:rPr>
        <w:t xml:space="preserve">בתוכנית החומש של 992 </w:t>
      </w:r>
      <w:r w:rsidRPr="00955B34">
        <w:rPr>
          <w:rFonts w:cstheme="minorHAnsi" w:hint="cs"/>
          <w:sz w:val="24"/>
          <w:szCs w:val="24"/>
          <w:rtl/>
        </w:rPr>
        <w:t xml:space="preserve">שיושמה בפועל בשנים 2021-2016 </w:t>
      </w:r>
      <w:r w:rsidRPr="00955B34">
        <w:rPr>
          <w:rFonts w:cstheme="minorHAnsi"/>
          <w:sz w:val="24"/>
          <w:szCs w:val="24"/>
          <w:rtl/>
        </w:rPr>
        <w:t>הוקצו תקציבים בסך של כ</w:t>
      </w:r>
      <w:r w:rsidRPr="00955B34">
        <w:rPr>
          <w:rFonts w:cstheme="minorHAnsi" w:hint="cs"/>
          <w:sz w:val="24"/>
          <w:szCs w:val="24"/>
          <w:rtl/>
        </w:rPr>
        <w:t>-</w:t>
      </w:r>
      <w:r w:rsidRPr="00955B34">
        <w:rPr>
          <w:rFonts w:cstheme="minorHAnsi"/>
          <w:sz w:val="24"/>
          <w:szCs w:val="24"/>
          <w:rtl/>
        </w:rPr>
        <w:t>13 מיליארד ₪</w:t>
      </w:r>
      <w:r w:rsidRPr="00955B34">
        <w:rPr>
          <w:rFonts w:cstheme="minorHAnsi" w:hint="cs"/>
          <w:sz w:val="24"/>
          <w:szCs w:val="24"/>
          <w:rtl/>
        </w:rPr>
        <w:t xml:space="preserve"> (כולל התקצוב הדיפרנציאלי)</w:t>
      </w:r>
      <w:r w:rsidRPr="00955B34">
        <w:rPr>
          <w:rFonts w:cstheme="minorHAnsi"/>
          <w:sz w:val="24"/>
          <w:szCs w:val="24"/>
          <w:rtl/>
        </w:rPr>
        <w:t>,</w:t>
      </w:r>
      <w:r w:rsidRPr="00955B34">
        <w:rPr>
          <w:rFonts w:cstheme="minorHAnsi" w:hint="cs"/>
          <w:sz w:val="24"/>
          <w:szCs w:val="24"/>
          <w:rtl/>
        </w:rPr>
        <w:t xml:space="preserve"> כאשר עד לנובמבר 2021 נוצלו כ-70% מתקציבי התוכנית</w:t>
      </w:r>
      <w:r w:rsidRPr="00955B34">
        <w:rPr>
          <w:rFonts w:cstheme="minorHAnsi"/>
          <w:sz w:val="24"/>
          <w:szCs w:val="24"/>
          <w:rtl/>
        </w:rPr>
        <w:t xml:space="preserve">. עיקר ההקצאה התקציבית ניתנה לתחום החינוך </w:t>
      </w:r>
      <w:r w:rsidRPr="00955B34">
        <w:rPr>
          <w:rFonts w:cstheme="minorHAnsi" w:hint="cs"/>
          <w:sz w:val="24"/>
          <w:szCs w:val="24"/>
          <w:rtl/>
        </w:rPr>
        <w:t xml:space="preserve">ולתחום </w:t>
      </w:r>
      <w:r w:rsidRPr="00955B34">
        <w:rPr>
          <w:rFonts w:cstheme="minorHAnsi"/>
          <w:sz w:val="24"/>
          <w:szCs w:val="24"/>
          <w:rtl/>
        </w:rPr>
        <w:t xml:space="preserve">התשתיות והבינוי שהיוו כ-70% מההקצאות התקציביות בתכנית (איור א'). בתחום החינוך שיעור הניצול היה גבוה מאוד </w:t>
      </w:r>
      <w:r w:rsidRPr="00955B34">
        <w:rPr>
          <w:rFonts w:cstheme="minorHAnsi" w:hint="cs"/>
          <w:sz w:val="24"/>
          <w:szCs w:val="24"/>
          <w:rtl/>
        </w:rPr>
        <w:t>ועמד על כ-90%</w:t>
      </w:r>
      <w:r w:rsidRPr="00955B34">
        <w:rPr>
          <w:rFonts w:cstheme="minorHAnsi"/>
          <w:sz w:val="24"/>
          <w:szCs w:val="24"/>
          <w:rtl/>
        </w:rPr>
        <w:t xml:space="preserve"> בעוד שבתחום התשתיות והבינוי הניצול עמד על</w:t>
      </w:r>
      <w:r w:rsidRPr="00955B34">
        <w:rPr>
          <w:rFonts w:cstheme="minorHAnsi" w:hint="cs"/>
          <w:sz w:val="24"/>
          <w:szCs w:val="24"/>
          <w:rtl/>
        </w:rPr>
        <w:t xml:space="preserve"> כ-50%.</w:t>
      </w:r>
    </w:p>
    <w:p w:rsidR="00955B34" w:rsidRPr="00955B34" w:rsidRDefault="00955B34" w:rsidP="00CC75FB">
      <w:pPr>
        <w:spacing w:after="0"/>
        <w:rPr>
          <w:rFonts w:cstheme="minorHAnsi"/>
          <w:sz w:val="24"/>
          <w:szCs w:val="24"/>
          <w:rtl/>
        </w:rPr>
      </w:pPr>
      <w:r w:rsidRPr="00955B34">
        <w:rPr>
          <w:rFonts w:cstheme="minorHAnsi"/>
          <w:sz w:val="24"/>
          <w:szCs w:val="24"/>
        </w:rPr>
        <w:lastRenderedPageBreak/>
        <w:drawing>
          <wp:anchor distT="0" distB="0" distL="114300" distR="114300" simplePos="0" relativeHeight="251659264" behindDoc="0" locked="0" layoutInCell="1" allowOverlap="1" wp14:anchorId="28CA7BC9" wp14:editId="7AFB8623">
            <wp:simplePos x="0" y="0"/>
            <wp:positionH relativeFrom="margin">
              <wp:posOffset>200660</wp:posOffset>
            </wp:positionH>
            <wp:positionV relativeFrom="paragraph">
              <wp:posOffset>2084705</wp:posOffset>
            </wp:positionV>
            <wp:extent cx="2843530" cy="644525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3530" cy="6445250"/>
                    </a:xfrm>
                    <a:prstGeom prst="rect">
                      <a:avLst/>
                    </a:prstGeom>
                    <a:noFill/>
                  </pic:spPr>
                </pic:pic>
              </a:graphicData>
            </a:graphic>
            <wp14:sizeRelH relativeFrom="margin">
              <wp14:pctWidth>0</wp14:pctWidth>
            </wp14:sizeRelH>
            <wp14:sizeRelV relativeFrom="margin">
              <wp14:pctHeight>0</wp14:pctHeight>
            </wp14:sizeRelV>
          </wp:anchor>
        </w:drawing>
      </w:r>
      <w:r w:rsidRPr="00955B34">
        <w:rPr>
          <w:rFonts w:cstheme="minorHAnsi"/>
          <w:sz w:val="24"/>
          <w:szCs w:val="24"/>
        </w:rPr>
        <w:drawing>
          <wp:inline distT="0" distB="0" distL="0" distR="0" wp14:anchorId="1E55EECB" wp14:editId="61B6A1CF">
            <wp:extent cx="5101590" cy="1981200"/>
            <wp:effectExtent l="0" t="0" r="381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2145" cy="1981416"/>
                    </a:xfrm>
                    <a:prstGeom prst="rect">
                      <a:avLst/>
                    </a:prstGeom>
                    <a:noFill/>
                  </pic:spPr>
                </pic:pic>
              </a:graphicData>
            </a:graphic>
          </wp:inline>
        </w:drawing>
      </w:r>
    </w:p>
    <w:p w:rsidR="00955B34" w:rsidRPr="00955B34" w:rsidRDefault="00955B34" w:rsidP="00CC75FB">
      <w:pPr>
        <w:spacing w:after="0"/>
        <w:rPr>
          <w:rFonts w:cstheme="minorHAnsi"/>
          <w:sz w:val="24"/>
          <w:szCs w:val="24"/>
          <w:rtl/>
        </w:rPr>
      </w:pPr>
      <w:r w:rsidRPr="00955B34">
        <w:rPr>
          <w:rFonts w:cstheme="minorHAnsi" w:hint="cs"/>
          <w:sz w:val="24"/>
          <w:szCs w:val="24"/>
          <w:rtl/>
        </w:rPr>
        <w:t xml:space="preserve">לאחר תחילת יישום </w:t>
      </w:r>
      <w:proofErr w:type="spellStart"/>
      <w:r w:rsidRPr="00955B34">
        <w:rPr>
          <w:rFonts w:cstheme="minorHAnsi" w:hint="cs"/>
          <w:sz w:val="24"/>
          <w:szCs w:val="24"/>
          <w:rtl/>
        </w:rPr>
        <w:t>תוכנית</w:t>
      </w:r>
      <w:proofErr w:type="spellEnd"/>
      <w:r w:rsidRPr="00955B34">
        <w:rPr>
          <w:rFonts w:cstheme="minorHAnsi" w:hint="cs"/>
          <w:sz w:val="24"/>
          <w:szCs w:val="24"/>
          <w:rtl/>
        </w:rPr>
        <w:t xml:space="preserve"> החומש 992 </w:t>
      </w:r>
      <w:r w:rsidRPr="00955B34">
        <w:rPr>
          <w:rFonts w:cstheme="minorHAnsi"/>
          <w:sz w:val="24"/>
          <w:szCs w:val="24"/>
          <w:rtl/>
        </w:rPr>
        <w:t>חל</w:t>
      </w:r>
      <w:r w:rsidRPr="00955B34">
        <w:rPr>
          <w:rFonts w:cstheme="minorHAnsi" w:hint="cs"/>
          <w:sz w:val="24"/>
          <w:szCs w:val="24"/>
          <w:rtl/>
        </w:rPr>
        <w:t xml:space="preserve"> צמצום פערים בין ערבים ליהודים</w:t>
      </w:r>
      <w:r w:rsidRPr="00955B34">
        <w:rPr>
          <w:rFonts w:cstheme="minorHAnsi"/>
          <w:sz w:val="24"/>
          <w:szCs w:val="24"/>
          <w:rtl/>
        </w:rPr>
        <w:t xml:space="preserve"> ברבים מתחומי </w:t>
      </w:r>
      <w:r w:rsidRPr="00955B34">
        <w:rPr>
          <w:rFonts w:cstheme="minorHAnsi" w:hint="cs"/>
          <w:sz w:val="24"/>
          <w:szCs w:val="24"/>
          <w:rtl/>
        </w:rPr>
        <w:t xml:space="preserve">העיסוק של </w:t>
      </w:r>
      <w:r w:rsidRPr="00955B34">
        <w:rPr>
          <w:rFonts w:cstheme="minorHAnsi"/>
          <w:sz w:val="24"/>
          <w:szCs w:val="24"/>
          <w:rtl/>
        </w:rPr>
        <w:t xml:space="preserve">התוכנית: פערים לימודיים, השתתפות בהשכלה הגבוהה, פריסת תשתיות ובהיקף התחבורה הציבורית </w:t>
      </w:r>
      <w:r w:rsidRPr="00955B34">
        <w:rPr>
          <w:rFonts w:cstheme="minorHAnsi" w:hint="cs"/>
          <w:sz w:val="24"/>
          <w:szCs w:val="24"/>
          <w:rtl/>
        </w:rPr>
        <w:t>ו</w:t>
      </w:r>
      <w:r w:rsidRPr="00955B34">
        <w:rPr>
          <w:rFonts w:cstheme="minorHAnsi"/>
          <w:sz w:val="24"/>
          <w:szCs w:val="24"/>
          <w:rtl/>
        </w:rPr>
        <w:t>תעסוקת נשים (</w:t>
      </w:r>
      <w:r w:rsidRPr="00955B34">
        <w:rPr>
          <w:rFonts w:cstheme="minorHAnsi" w:hint="cs"/>
          <w:sz w:val="24"/>
          <w:szCs w:val="24"/>
          <w:rtl/>
        </w:rPr>
        <w:t>איור 2). לתוכנית החומש הייתה תרומה משמעותית ל</w:t>
      </w:r>
      <w:r w:rsidRPr="00955B34">
        <w:rPr>
          <w:rFonts w:cstheme="minorHAnsi"/>
          <w:sz w:val="24"/>
          <w:szCs w:val="24"/>
          <w:rtl/>
        </w:rPr>
        <w:t>התקדמות בתהליכי התכנון העירוני</w:t>
      </w:r>
      <w:r w:rsidRPr="00955B34">
        <w:rPr>
          <w:rFonts w:cstheme="minorHAnsi" w:hint="cs"/>
          <w:sz w:val="24"/>
          <w:szCs w:val="24"/>
          <w:rtl/>
        </w:rPr>
        <w:t xml:space="preserve"> ביישובים הערבים, אשר הכרחיים להמשך פיתוחם של היישובים</w:t>
      </w:r>
      <w:r w:rsidRPr="00955B34">
        <w:rPr>
          <w:rFonts w:cstheme="minorHAnsi"/>
          <w:sz w:val="24"/>
          <w:szCs w:val="24"/>
          <w:rtl/>
        </w:rPr>
        <w:t>.</w:t>
      </w:r>
      <w:r w:rsidRPr="00955B34">
        <w:rPr>
          <w:rFonts w:cstheme="minorHAnsi" w:hint="cs"/>
          <w:sz w:val="24"/>
          <w:szCs w:val="24"/>
          <w:rtl/>
        </w:rPr>
        <w:t xml:space="preserve"> עם זאת, הפערים בין יהודים וערבים עודם קיימים ברבים מתחומי החיים.</w:t>
      </w:r>
      <w:r w:rsidRPr="00955B34" w:rsidDel="00623067">
        <w:rPr>
          <w:rFonts w:cstheme="minorHAnsi"/>
          <w:sz w:val="24"/>
          <w:szCs w:val="24"/>
        </w:rPr>
        <w:t xml:space="preserve"> </w:t>
      </w:r>
    </w:p>
    <w:p w:rsidR="00955B34" w:rsidRPr="00955B34" w:rsidRDefault="00955B34" w:rsidP="00CC75FB">
      <w:pPr>
        <w:spacing w:after="0"/>
        <w:rPr>
          <w:rFonts w:cstheme="minorHAnsi"/>
          <w:sz w:val="24"/>
          <w:szCs w:val="24"/>
          <w:rtl/>
        </w:rPr>
      </w:pPr>
      <w:r w:rsidRPr="00955B34">
        <w:rPr>
          <w:rFonts w:cstheme="minorHAnsi" w:hint="cs"/>
          <w:sz w:val="24"/>
          <w:szCs w:val="24"/>
          <w:rtl/>
        </w:rPr>
        <w:t>לצד זאת, בתוכנית החומש של 992 היו קשיי יישום שניכרו בעיקר בתקציבים שהוקצו לביצוע על ידי הרשויות המקומיות, ורק מחציתם נוצלו בפועל (3.1 מיליארדי ₪ מתוך הקצאה של 6.4 מיליארד ₪). בפרט, חלק ניכר מתקציבי הבינוי ופיתוח התשתיות לא נוצלו עקב מחסור והיעדר הסדרה של קרקעות. בעיה זו ייחודית לרשויות המקומיות הערביות המאופיינות בשיעור ניכר של בעלות על קרקע פרטית מרובה בעלויות, ומיעוט קרקעות מדינה</w:t>
      </w:r>
      <w:r w:rsidRPr="00955B34">
        <w:rPr>
          <w:rFonts w:cstheme="minorHAnsi"/>
          <w:sz w:val="24"/>
          <w:szCs w:val="24"/>
          <w:rtl/>
        </w:rPr>
        <w:t>. קושי משמעותי נוסף שדיווחו עליו הרשויות מקומיות הערביות הוא הדרישה</w:t>
      </w:r>
      <w:r w:rsidRPr="00955B34">
        <w:rPr>
          <w:rFonts w:cstheme="minorHAnsi" w:hint="cs"/>
          <w:sz w:val="24"/>
          <w:szCs w:val="24"/>
          <w:rtl/>
        </w:rPr>
        <w:t xml:space="preserve"> מצד הממשלה להשתתפות ב</w:t>
      </w:r>
      <w:r w:rsidRPr="00955B34">
        <w:rPr>
          <w:rFonts w:cstheme="minorHAnsi"/>
          <w:sz w:val="24"/>
          <w:szCs w:val="24"/>
          <w:rtl/>
        </w:rPr>
        <w:t>מימון</w:t>
      </w:r>
      <w:r w:rsidRPr="00955B34">
        <w:rPr>
          <w:rFonts w:cstheme="minorHAnsi" w:hint="cs"/>
          <w:sz w:val="24"/>
          <w:szCs w:val="24"/>
          <w:rtl/>
        </w:rPr>
        <w:t xml:space="preserve"> הפרויקט</w:t>
      </w:r>
      <w:r w:rsidRPr="00955B34">
        <w:rPr>
          <w:rFonts w:cstheme="minorHAnsi"/>
          <w:sz w:val="24"/>
          <w:szCs w:val="24"/>
          <w:rtl/>
        </w:rPr>
        <w:t xml:space="preserve"> כדי לקבל את כספי המדינה</w:t>
      </w:r>
      <w:r w:rsidRPr="00955B34">
        <w:rPr>
          <w:rFonts w:cstheme="minorHAnsi" w:hint="cs"/>
          <w:sz w:val="24"/>
          <w:szCs w:val="24"/>
          <w:rtl/>
        </w:rPr>
        <w:t xml:space="preserve"> (מימון </w:t>
      </w:r>
      <w:r w:rsidRPr="00955B34">
        <w:rPr>
          <w:rFonts w:cstheme="minorHAnsi"/>
          <w:sz w:val="24"/>
          <w:szCs w:val="24"/>
          <w:rtl/>
        </w:rPr>
        <w:t>עצמי</w:t>
      </w:r>
      <w:r w:rsidRPr="00955B34">
        <w:rPr>
          <w:rFonts w:cstheme="minorHAnsi" w:hint="cs"/>
          <w:sz w:val="24"/>
          <w:szCs w:val="24"/>
          <w:rtl/>
        </w:rPr>
        <w:t xml:space="preserve"> -</w:t>
      </w:r>
      <w:r w:rsidRPr="00955B34">
        <w:rPr>
          <w:rFonts w:cstheme="minorHAnsi"/>
          <w:sz w:val="24"/>
          <w:szCs w:val="24"/>
          <w:rtl/>
        </w:rPr>
        <w:t>"</w:t>
      </w:r>
      <w:proofErr w:type="spellStart"/>
      <w:r w:rsidRPr="00955B34">
        <w:rPr>
          <w:rFonts w:cstheme="minorHAnsi"/>
          <w:sz w:val="24"/>
          <w:szCs w:val="24"/>
          <w:rtl/>
        </w:rPr>
        <w:t>מאצ'ינג</w:t>
      </w:r>
      <w:proofErr w:type="spellEnd"/>
      <w:r w:rsidRPr="00955B34">
        <w:rPr>
          <w:rFonts w:cstheme="minorHAnsi"/>
          <w:sz w:val="24"/>
          <w:szCs w:val="24"/>
          <w:rtl/>
        </w:rPr>
        <w:t>")</w:t>
      </w:r>
      <w:r w:rsidRPr="00955B34">
        <w:rPr>
          <w:rFonts w:cstheme="minorHAnsi" w:hint="cs"/>
          <w:sz w:val="24"/>
          <w:szCs w:val="24"/>
          <w:rtl/>
        </w:rPr>
        <w:t xml:space="preserve">. </w:t>
      </w:r>
      <w:r w:rsidRPr="00955B34">
        <w:rPr>
          <w:rFonts w:cstheme="minorHAnsi"/>
          <w:sz w:val="24"/>
          <w:szCs w:val="24"/>
          <w:rtl/>
        </w:rPr>
        <w:t>רשויות ערביות רבות הינ</w:t>
      </w:r>
      <w:r w:rsidRPr="00955B34">
        <w:rPr>
          <w:rFonts w:cstheme="minorHAnsi" w:hint="cs"/>
          <w:sz w:val="24"/>
          <w:szCs w:val="24"/>
          <w:rtl/>
        </w:rPr>
        <w:t>ן</w:t>
      </w:r>
      <w:r w:rsidRPr="00955B34">
        <w:rPr>
          <w:rFonts w:cstheme="minorHAnsi"/>
          <w:sz w:val="24"/>
          <w:szCs w:val="24"/>
          <w:rtl/>
        </w:rPr>
        <w:t xml:space="preserve"> גרעוניות ומתקשות לספק את השירותים השו</w:t>
      </w:r>
      <w:r w:rsidRPr="00955B34">
        <w:rPr>
          <w:rFonts w:cstheme="minorHAnsi" w:hint="cs"/>
          <w:sz w:val="24"/>
          <w:szCs w:val="24"/>
          <w:rtl/>
        </w:rPr>
        <w:t>ט</w:t>
      </w:r>
      <w:r w:rsidRPr="00955B34">
        <w:rPr>
          <w:rFonts w:cstheme="minorHAnsi"/>
          <w:sz w:val="24"/>
          <w:szCs w:val="24"/>
          <w:rtl/>
        </w:rPr>
        <w:t>פים לתושביהם</w:t>
      </w:r>
      <w:r w:rsidRPr="00955B34">
        <w:rPr>
          <w:rFonts w:cstheme="minorHAnsi" w:hint="cs"/>
          <w:sz w:val="24"/>
          <w:szCs w:val="24"/>
          <w:rtl/>
        </w:rPr>
        <w:t xml:space="preserve">, בין השאר </w:t>
      </w:r>
      <w:r w:rsidRPr="00955B34">
        <w:rPr>
          <w:rFonts w:cstheme="minorHAnsi"/>
          <w:sz w:val="24"/>
          <w:szCs w:val="24"/>
          <w:rtl/>
        </w:rPr>
        <w:t xml:space="preserve">בשל </w:t>
      </w:r>
      <w:r w:rsidRPr="00955B34">
        <w:rPr>
          <w:rFonts w:cstheme="minorHAnsi" w:hint="eastAsia"/>
          <w:sz w:val="24"/>
          <w:szCs w:val="24"/>
          <w:rtl/>
        </w:rPr>
        <w:t>דירוגן</w:t>
      </w:r>
      <w:r w:rsidRPr="00955B34">
        <w:rPr>
          <w:rFonts w:cstheme="minorHAnsi"/>
          <w:sz w:val="24"/>
          <w:szCs w:val="24"/>
          <w:rtl/>
        </w:rPr>
        <w:t xml:space="preserve"> </w:t>
      </w:r>
      <w:r w:rsidRPr="00955B34">
        <w:rPr>
          <w:rFonts w:cstheme="minorHAnsi" w:hint="eastAsia"/>
          <w:sz w:val="24"/>
          <w:szCs w:val="24"/>
          <w:rtl/>
        </w:rPr>
        <w:t>הכלכלי</w:t>
      </w:r>
      <w:r w:rsidRPr="00955B34">
        <w:rPr>
          <w:rFonts w:cstheme="minorHAnsi"/>
          <w:sz w:val="24"/>
          <w:szCs w:val="24"/>
          <w:rtl/>
        </w:rPr>
        <w:t xml:space="preserve">-חברתי </w:t>
      </w:r>
      <w:r w:rsidRPr="00955B34">
        <w:rPr>
          <w:rFonts w:cstheme="minorHAnsi" w:hint="eastAsia"/>
          <w:sz w:val="24"/>
          <w:szCs w:val="24"/>
          <w:rtl/>
        </w:rPr>
        <w:t>הנמוך</w:t>
      </w:r>
      <w:r w:rsidRPr="00955B34">
        <w:rPr>
          <w:rFonts w:cstheme="minorHAnsi"/>
          <w:sz w:val="24"/>
          <w:szCs w:val="24"/>
          <w:rtl/>
        </w:rPr>
        <w:t xml:space="preserve"> </w:t>
      </w:r>
      <w:r w:rsidRPr="00955B34">
        <w:rPr>
          <w:rFonts w:cstheme="minorHAnsi" w:hint="eastAsia"/>
          <w:sz w:val="24"/>
          <w:szCs w:val="24"/>
          <w:rtl/>
        </w:rPr>
        <w:t>ו</w:t>
      </w:r>
      <w:r w:rsidRPr="00955B34">
        <w:rPr>
          <w:rFonts w:cstheme="minorHAnsi" w:hint="cs"/>
          <w:sz w:val="24"/>
          <w:szCs w:val="24"/>
          <w:rtl/>
        </w:rPr>
        <w:t xml:space="preserve">בשל </w:t>
      </w:r>
      <w:r w:rsidRPr="00955B34">
        <w:rPr>
          <w:rFonts w:cstheme="minorHAnsi"/>
          <w:sz w:val="24"/>
          <w:szCs w:val="24"/>
          <w:rtl/>
        </w:rPr>
        <w:t>היעדר אזורי תעסוקה ומסחר המאפשרים הסתמכות על הכנסות מארנונה עסקית אשר מהווה נדבך משמעותי בהכנסות הרשויות היהודיות.</w:t>
      </w:r>
    </w:p>
    <w:p w:rsidR="00955B34" w:rsidRPr="00955B34" w:rsidRDefault="00955B34" w:rsidP="00CC75FB">
      <w:pPr>
        <w:spacing w:after="0"/>
        <w:rPr>
          <w:rFonts w:cstheme="minorHAnsi"/>
          <w:sz w:val="24"/>
          <w:szCs w:val="24"/>
          <w:rtl/>
        </w:rPr>
      </w:pPr>
      <w:r w:rsidRPr="00955B34">
        <w:rPr>
          <w:rFonts w:cstheme="minorHAnsi"/>
          <w:sz w:val="24"/>
          <w:szCs w:val="24"/>
          <w:rtl/>
        </w:rPr>
        <w:t xml:space="preserve">באוקטובר 2021 אושרה </w:t>
      </w:r>
      <w:proofErr w:type="spellStart"/>
      <w:r w:rsidRPr="00955B34">
        <w:rPr>
          <w:rFonts w:cstheme="minorHAnsi"/>
          <w:sz w:val="24"/>
          <w:szCs w:val="24"/>
          <w:rtl/>
        </w:rPr>
        <w:t>תוכנית</w:t>
      </w:r>
      <w:proofErr w:type="spellEnd"/>
      <w:r w:rsidRPr="00955B34">
        <w:rPr>
          <w:rFonts w:cstheme="minorHAnsi"/>
          <w:sz w:val="24"/>
          <w:szCs w:val="24"/>
          <w:rtl/>
        </w:rPr>
        <w:t xml:space="preserve"> חומש חדשה לחברה הערבית במסגרת החלט</w:t>
      </w:r>
      <w:r w:rsidRPr="00955B34">
        <w:rPr>
          <w:rFonts w:cstheme="minorHAnsi" w:hint="cs"/>
          <w:sz w:val="24"/>
          <w:szCs w:val="24"/>
          <w:rtl/>
        </w:rPr>
        <w:t>ת ממשלה</w:t>
      </w:r>
      <w:r w:rsidRPr="00955B34">
        <w:rPr>
          <w:rFonts w:cstheme="minorHAnsi"/>
          <w:sz w:val="24"/>
          <w:szCs w:val="24"/>
          <w:rtl/>
        </w:rPr>
        <w:t xml:space="preserve"> 550 </w:t>
      </w:r>
      <w:r w:rsidRPr="00955B34">
        <w:rPr>
          <w:rFonts w:cstheme="minorHAnsi" w:hint="cs"/>
          <w:sz w:val="24"/>
          <w:szCs w:val="24"/>
          <w:rtl/>
        </w:rPr>
        <w:t xml:space="preserve">אשר החלה להיות מיושמת בשנת 2022 ותקציבה עומד על </w:t>
      </w:r>
      <w:r w:rsidRPr="00955B34">
        <w:rPr>
          <w:rFonts w:cstheme="minorHAnsi"/>
          <w:sz w:val="24"/>
          <w:szCs w:val="24"/>
          <w:rtl/>
        </w:rPr>
        <w:t>כ-30 מיליארד ₪</w:t>
      </w:r>
      <w:r w:rsidRPr="00955B34">
        <w:rPr>
          <w:rFonts w:cstheme="minorHAnsi" w:hint="cs"/>
          <w:sz w:val="24"/>
          <w:szCs w:val="24"/>
          <w:rtl/>
        </w:rPr>
        <w:t>.</w:t>
      </w:r>
      <w:r w:rsidRPr="00955B34">
        <w:rPr>
          <w:rFonts w:cstheme="minorHAnsi"/>
          <w:sz w:val="24"/>
          <w:szCs w:val="24"/>
          <w:rtl/>
        </w:rPr>
        <w:t xml:space="preserve"> בשנת</w:t>
      </w:r>
      <w:r w:rsidRPr="00955B34">
        <w:rPr>
          <w:rFonts w:cstheme="minorHAnsi" w:hint="cs"/>
          <w:sz w:val="24"/>
          <w:szCs w:val="24"/>
          <w:rtl/>
        </w:rPr>
        <w:t xml:space="preserve"> היישום </w:t>
      </w:r>
      <w:r w:rsidRPr="00955B34">
        <w:rPr>
          <w:rFonts w:cstheme="minorHAnsi"/>
          <w:sz w:val="24"/>
          <w:szCs w:val="24"/>
          <w:rtl/>
        </w:rPr>
        <w:t xml:space="preserve">הראשונה הוקצו </w:t>
      </w:r>
      <w:r w:rsidRPr="00955B34">
        <w:rPr>
          <w:rFonts w:cstheme="minorHAnsi" w:hint="cs"/>
          <w:sz w:val="24"/>
          <w:szCs w:val="24"/>
          <w:rtl/>
        </w:rPr>
        <w:t>כחמישית מתקציבי התוכנית (</w:t>
      </w:r>
      <w:r w:rsidRPr="00955B34">
        <w:rPr>
          <w:rFonts w:cstheme="minorHAnsi"/>
          <w:sz w:val="24"/>
          <w:szCs w:val="24"/>
          <w:rtl/>
        </w:rPr>
        <w:t>כ-6 מיליארד ₪</w:t>
      </w:r>
      <w:r w:rsidRPr="00955B34">
        <w:rPr>
          <w:rFonts w:cstheme="minorHAnsi" w:hint="cs"/>
          <w:sz w:val="24"/>
          <w:szCs w:val="24"/>
          <w:rtl/>
        </w:rPr>
        <w:t xml:space="preserve">) </w:t>
      </w:r>
      <w:r w:rsidRPr="00955B34">
        <w:rPr>
          <w:rFonts w:cstheme="minorHAnsi"/>
          <w:sz w:val="24"/>
          <w:szCs w:val="24"/>
          <w:rtl/>
        </w:rPr>
        <w:t>ונוצלו 90% מתקציבים אלו.</w:t>
      </w:r>
      <w:r w:rsidRPr="00955B34">
        <w:rPr>
          <w:rFonts w:cstheme="minorHAnsi" w:hint="cs"/>
          <w:sz w:val="24"/>
          <w:szCs w:val="24"/>
          <w:rtl/>
        </w:rPr>
        <w:t xml:space="preserve"> עם זאת, משקל ההקצאה התקציבית לתחומי </w:t>
      </w:r>
      <w:r w:rsidRPr="00955B34">
        <w:rPr>
          <w:rFonts w:cstheme="minorHAnsi" w:hint="cs"/>
          <w:sz w:val="24"/>
          <w:szCs w:val="24"/>
          <w:rtl/>
        </w:rPr>
        <w:lastRenderedPageBreak/>
        <w:t xml:space="preserve">הדיור והתכנון באותה החלטה היה נמוך יחסית (14% בלבד), מה שמרמז על התמשכות הקשיים והחסמים בהסדרת הקרקעות ביישובים הערבים. </w:t>
      </w:r>
    </w:p>
    <w:p w:rsidR="00955B34" w:rsidRPr="00955B34" w:rsidRDefault="00955B34" w:rsidP="00CC75FB">
      <w:pPr>
        <w:spacing w:after="0"/>
        <w:rPr>
          <w:rFonts w:cstheme="minorHAnsi"/>
          <w:sz w:val="24"/>
          <w:szCs w:val="24"/>
          <w:rtl/>
        </w:rPr>
      </w:pPr>
      <w:r w:rsidRPr="00955B34">
        <w:rPr>
          <w:rFonts w:cstheme="minorHAnsi" w:hint="cs"/>
          <w:sz w:val="24"/>
          <w:szCs w:val="24"/>
          <w:rtl/>
        </w:rPr>
        <w:t xml:space="preserve">במסגרת תקציב המדינה המתוקן ל-2024 שאושר בממשלה והוגש לכנסת נכלל קיצוץ תקציבי נרחב בהחלטת ממשלה 550 כתוצאה מהצורך לממן את הוצאות המלחמה. היקף הקיצוץ התקציבי בתוכנית מכלל סעיפי ההחלטה צפוי להגיע ל-4-5 מיליארד ₪ המהווים 18-22 אחוז מיתרת התקציב של התוכנית. אמנם בעת הזו נדרשות התאמות בתקציב המדינה, אך היקף פגיעה ניכר בסעיפי </w:t>
      </w:r>
      <w:proofErr w:type="spellStart"/>
      <w:r w:rsidRPr="00955B34">
        <w:rPr>
          <w:rFonts w:cstheme="minorHAnsi" w:hint="cs"/>
          <w:sz w:val="24"/>
          <w:szCs w:val="24"/>
          <w:rtl/>
        </w:rPr>
        <w:t>תוכנית</w:t>
      </w:r>
      <w:proofErr w:type="spellEnd"/>
      <w:r w:rsidRPr="00955B34">
        <w:rPr>
          <w:rFonts w:cstheme="minorHAnsi" w:hint="cs"/>
          <w:sz w:val="24"/>
          <w:szCs w:val="24"/>
          <w:rtl/>
        </w:rPr>
        <w:t xml:space="preserve"> החומש יכול לפגוע בצמיחה העתידית של המשק הישראלי שכן לתוכנית זו יש תרומה משמעותית בשילובם של ערביי ישראל בחברה ובכלכלה והפחתת תת ההשקעה בחברה זו.</w:t>
      </w:r>
    </w:p>
    <w:p w:rsidR="00955B34" w:rsidRPr="00955B34" w:rsidRDefault="00955B34" w:rsidP="00CC75FB">
      <w:pPr>
        <w:spacing w:after="0"/>
        <w:rPr>
          <w:rFonts w:cstheme="minorHAnsi"/>
          <w:sz w:val="24"/>
          <w:szCs w:val="24"/>
          <w:rtl/>
        </w:rPr>
      </w:pPr>
      <w:r w:rsidRPr="00955B34">
        <w:rPr>
          <w:rFonts w:cstheme="minorHAnsi"/>
          <w:sz w:val="24"/>
          <w:szCs w:val="24"/>
          <w:rtl/>
        </w:rPr>
        <w:t>לתוכניות</w:t>
      </w:r>
      <w:r w:rsidRPr="00955B34">
        <w:rPr>
          <w:rFonts w:cstheme="minorHAnsi" w:hint="cs"/>
          <w:sz w:val="24"/>
          <w:szCs w:val="24"/>
          <w:rtl/>
        </w:rPr>
        <w:t xml:space="preserve"> החומש </w:t>
      </w:r>
      <w:r w:rsidRPr="00955B34">
        <w:rPr>
          <w:rFonts w:cstheme="minorHAnsi"/>
          <w:sz w:val="24"/>
          <w:szCs w:val="24"/>
          <w:rtl/>
        </w:rPr>
        <w:t xml:space="preserve">יתרונות גדולים </w:t>
      </w:r>
      <w:r w:rsidRPr="00955B34">
        <w:rPr>
          <w:rFonts w:cstheme="minorHAnsi" w:hint="cs"/>
          <w:sz w:val="24"/>
          <w:szCs w:val="24"/>
          <w:rtl/>
        </w:rPr>
        <w:t>בכך שהן כוללות קביעת יעדים מוסדרים</w:t>
      </w:r>
      <w:r w:rsidRPr="00955B34">
        <w:rPr>
          <w:rFonts w:cstheme="minorHAnsi"/>
          <w:sz w:val="24"/>
          <w:szCs w:val="24"/>
          <w:rtl/>
        </w:rPr>
        <w:t>, רתימת גופים ממשלתיים</w:t>
      </w:r>
      <w:r w:rsidRPr="00955B34">
        <w:rPr>
          <w:rFonts w:cstheme="minorHAnsi" w:hint="cs"/>
          <w:sz w:val="24"/>
          <w:szCs w:val="24"/>
          <w:rtl/>
        </w:rPr>
        <w:t>,</w:t>
      </w:r>
      <w:r w:rsidRPr="00955B34">
        <w:rPr>
          <w:rFonts w:cstheme="minorHAnsi"/>
          <w:sz w:val="24"/>
          <w:szCs w:val="24"/>
          <w:rtl/>
        </w:rPr>
        <w:t xml:space="preserve"> בניית מנגנוני מעקב וקידום תהליכי </w:t>
      </w:r>
      <w:r w:rsidRPr="00955B34">
        <w:rPr>
          <w:rFonts w:cstheme="minorHAnsi" w:hint="cs"/>
          <w:sz w:val="24"/>
          <w:szCs w:val="24"/>
          <w:rtl/>
        </w:rPr>
        <w:t xml:space="preserve">צמצום </w:t>
      </w:r>
      <w:r w:rsidRPr="00955B34">
        <w:rPr>
          <w:rFonts w:cstheme="minorHAnsi"/>
          <w:sz w:val="24"/>
          <w:szCs w:val="24"/>
          <w:rtl/>
        </w:rPr>
        <w:t>פערים.</w:t>
      </w:r>
      <w:r w:rsidRPr="00955B34">
        <w:rPr>
          <w:rFonts w:cstheme="minorHAnsi" w:hint="cs"/>
          <w:sz w:val="24"/>
          <w:szCs w:val="24"/>
          <w:rtl/>
        </w:rPr>
        <w:t xml:space="preserve"> לכן, ישנה חשיבות בהמשך יישום של </w:t>
      </w:r>
      <w:proofErr w:type="spellStart"/>
      <w:r w:rsidRPr="00955B34">
        <w:rPr>
          <w:rFonts w:cstheme="minorHAnsi" w:hint="cs"/>
          <w:sz w:val="24"/>
          <w:szCs w:val="24"/>
          <w:rtl/>
        </w:rPr>
        <w:t>תוכנית</w:t>
      </w:r>
      <w:proofErr w:type="spellEnd"/>
      <w:r w:rsidRPr="00955B34">
        <w:rPr>
          <w:rFonts w:cstheme="minorHAnsi" w:hint="cs"/>
          <w:sz w:val="24"/>
          <w:szCs w:val="24"/>
          <w:rtl/>
        </w:rPr>
        <w:t xml:space="preserve"> החומש מכוח החלטת הממשלה 550 </w:t>
      </w:r>
      <w:r w:rsidRPr="00955B34">
        <w:rPr>
          <w:rFonts w:cstheme="minorHAnsi"/>
          <w:sz w:val="24"/>
          <w:szCs w:val="24"/>
          <w:rtl/>
        </w:rPr>
        <w:t xml:space="preserve">על מנת </w:t>
      </w:r>
      <w:r w:rsidRPr="00955B34">
        <w:rPr>
          <w:rFonts w:cstheme="minorHAnsi" w:hint="cs"/>
          <w:sz w:val="24"/>
          <w:szCs w:val="24"/>
          <w:rtl/>
        </w:rPr>
        <w:t>לקדם</w:t>
      </w:r>
      <w:r w:rsidRPr="00955B34">
        <w:rPr>
          <w:rFonts w:cstheme="minorHAnsi"/>
          <w:sz w:val="24"/>
          <w:szCs w:val="24"/>
          <w:rtl/>
        </w:rPr>
        <w:t xml:space="preserve"> את הפיתוח הכלכלי בחברה הערבית</w:t>
      </w:r>
      <w:r w:rsidRPr="00955B34">
        <w:rPr>
          <w:rFonts w:cstheme="minorHAnsi" w:hint="cs"/>
          <w:sz w:val="24"/>
          <w:szCs w:val="24"/>
          <w:rtl/>
        </w:rPr>
        <w:t xml:space="preserve"> ולתקן את מנגנוני התקצוב. לצד זאת,</w:t>
      </w:r>
      <w:r w:rsidRPr="00955B34">
        <w:rPr>
          <w:rFonts w:cstheme="minorHAnsi"/>
          <w:sz w:val="24"/>
          <w:szCs w:val="24"/>
          <w:rtl/>
        </w:rPr>
        <w:t xml:space="preserve"> </w:t>
      </w:r>
      <w:r w:rsidRPr="00955B34">
        <w:rPr>
          <w:rFonts w:cstheme="minorHAnsi" w:hint="cs"/>
          <w:sz w:val="24"/>
          <w:szCs w:val="24"/>
          <w:rtl/>
        </w:rPr>
        <w:t xml:space="preserve">יש </w:t>
      </w:r>
      <w:r w:rsidRPr="00955B34">
        <w:rPr>
          <w:rFonts w:cstheme="minorHAnsi"/>
          <w:sz w:val="24"/>
          <w:szCs w:val="24"/>
          <w:rtl/>
        </w:rPr>
        <w:t>לפעול לכך שבטווח הארוך ההקצאה ההוגנת לאוכלוסייה הערבית תעוגן באופן קבוע בבסיס תקציב המדינה על סמך קריטריונים שוויוניים ושקופים. המשך האינטגרציה של החברה הערבית בישראל הוא חיוני לקידום רווחתם של התושבים הערבים ולמיצוי פוטנציאל הצמיחה של המשק הישראלי בטווח הארוך.</w:t>
      </w:r>
    </w:p>
    <w:p w:rsidR="003353C9" w:rsidRPr="00955B34" w:rsidRDefault="003353C9" w:rsidP="003353C9">
      <w:pPr>
        <w:spacing w:after="0"/>
        <w:jc w:val="center"/>
        <w:rPr>
          <w:rFonts w:cstheme="minorHAnsi"/>
          <w:sz w:val="24"/>
          <w:szCs w:val="24"/>
          <w:rtl/>
        </w:rPr>
      </w:pPr>
    </w:p>
    <w:p w:rsidR="003E7478" w:rsidRPr="003353C9" w:rsidRDefault="003E7478" w:rsidP="00471092">
      <w:pPr>
        <w:spacing w:line="360" w:lineRule="auto"/>
        <w:jc w:val="both"/>
        <w:rPr>
          <w:rFonts w:cstheme="minorHAnsi"/>
          <w:sz w:val="24"/>
          <w:szCs w:val="24"/>
          <w:rtl/>
        </w:rPr>
      </w:pPr>
    </w:p>
    <w:sectPr w:rsidR="003E7478" w:rsidRPr="003353C9" w:rsidSect="00CC2499">
      <w:footerReference w:type="default" r:id="rId1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71" w:rsidRDefault="00253171" w:rsidP="00E04682">
      <w:pPr>
        <w:spacing w:after="0" w:line="240" w:lineRule="auto"/>
      </w:pPr>
      <w:r>
        <w:separator/>
      </w:r>
    </w:p>
  </w:endnote>
  <w:endnote w:type="continuationSeparator" w:id="0">
    <w:p w:rsidR="00253171" w:rsidRDefault="00253171" w:rsidP="00E0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ssistant">
    <w:panose1 w:val="00000500000000000000"/>
    <w:charset w:val="00"/>
    <w:family w:val="auto"/>
    <w:pitch w:val="variable"/>
    <w:sig w:usb0="00000807" w:usb1="40000000" w:usb2="00000000" w:usb3="00000000" w:csb0="0000002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82" w:rsidRDefault="00C10172" w:rsidP="00F20046">
    <w:pPr>
      <w:pStyle w:val="a7"/>
      <w:bidi w:val="0"/>
      <w:rPr>
        <w:rtl/>
      </w:rPr>
    </w:pPr>
    <w:r w:rsidRPr="00571971">
      <w:rPr>
        <w:rFonts w:cs="Calibri"/>
        <w:noProof/>
        <w:rtl/>
      </w:rPr>
      <w:drawing>
        <wp:anchor distT="0" distB="0" distL="114300" distR="114300" simplePos="0" relativeHeight="251667456" behindDoc="0" locked="0" layoutInCell="1" allowOverlap="1">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00F20046">
      <w:rPr>
        <w:noProof/>
      </w:rPr>
      <w:drawing>
        <wp:anchor distT="0" distB="0" distL="114300" distR="114300" simplePos="0" relativeHeight="251662336" behindDoc="0" locked="0" layoutInCell="1" allowOverlap="1">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00F20046" w:rsidRPr="00F20046">
      <w:rPr>
        <w:rFonts w:cs="Calibri"/>
        <w:noProof/>
      </w:rPr>
      <w:drawing>
        <wp:anchor distT="0" distB="0" distL="114300" distR="114300" simplePos="0" relativeHeight="251668480" behindDoc="0" locked="0" layoutInCell="1" allowOverlap="1">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00F20046" w:rsidRPr="00F20046">
      <w:rPr>
        <w:rFonts w:cs="Calibri"/>
        <w:noProof/>
      </w:rPr>
      <w:drawing>
        <wp:anchor distT="0" distB="0" distL="114300" distR="114300" simplePos="0" relativeHeight="251669504" behindDoc="0" locked="0" layoutInCell="1" allowOverlap="1">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00F20046">
      <w:rPr>
        <w:noProof/>
      </w:rPr>
      <mc:AlternateContent>
        <mc:Choice Requires="wps">
          <w:drawing>
            <wp:anchor distT="0" distB="0" distL="114300" distR="114300" simplePos="0" relativeHeight="251665408" behindDoc="0" locked="0" layoutInCell="1" allowOverlap="1" wp14:anchorId="6F2FA1B7" wp14:editId="115BEBC9">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972198" w:rsidRPr="00B677DC" w:rsidRDefault="00972198" w:rsidP="00F20046">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00F20046"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FA1B7" id="_x0000_t202" coordsize="21600,21600" o:spt="202" path="m,l,21600r21600,l21600,xe">
              <v:stroke joinstyle="miter"/>
              <v:path gradientshapeok="t" o:connecttype="rect"/>
            </v:shapetype>
            <v:shape id="תיבת טקסט 13" o:spid="_x0000_s1026" type="#_x0000_t202" style="position:absolute;margin-left:118.4pt;margin-top:6.15pt;width:167.7pt;height:4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rsidR="00972198" w:rsidRPr="00B677DC" w:rsidRDefault="00972198" w:rsidP="00F20046">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00F20046" w:rsidRPr="00231368">
                        <w:rPr>
                          <w:rStyle w:val="Hyperlink"/>
                          <w:rFonts w:cs="Calibri"/>
                          <w:noProof/>
                          <w:sz w:val="14"/>
                          <w:szCs w:val="14"/>
                        </w:rPr>
                        <w:t>https://did.li/spotify-third-side-of-coin</w:t>
                      </w:r>
                    </w:hyperlink>
                  </w:p>
                </w:txbxContent>
              </v:textbox>
              <w10:wrap anchorx="margin"/>
            </v:shape>
          </w:pict>
        </mc:Fallback>
      </mc:AlternateContent>
    </w:r>
    <w:r w:rsidR="00F20046">
      <w:rPr>
        <w:noProof/>
      </w:rPr>
      <mc:AlternateContent>
        <mc:Choice Requires="wps">
          <w:drawing>
            <wp:anchor distT="0" distB="0" distL="114300" distR="114300" simplePos="0" relativeHeight="251671552" behindDoc="0" locked="0" layoutInCell="1" allowOverlap="1" wp14:anchorId="2A58D63D" wp14:editId="2D1F9C15">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F20046" w:rsidRPr="00F20046" w:rsidRDefault="00F20046" w:rsidP="00F20046">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8D63D" id="תיבת טקסט 22" o:spid="_x0000_s1027" type="#_x0000_t202" style="position:absolute;margin-left:-23.05pt;margin-top:6pt;width:167.75pt;height:48.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rsidR="00F20046" w:rsidRPr="00F20046" w:rsidRDefault="00F20046" w:rsidP="00F20046">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00F20046">
      <w:rPr>
        <w:noProof/>
      </w:rPr>
      <mc:AlternateContent>
        <mc:Choice Requires="wps">
          <w:drawing>
            <wp:anchor distT="0" distB="0" distL="114300" distR="114300" simplePos="0" relativeHeight="251661312" behindDoc="0" locked="0" layoutInCell="1" allowOverlap="1" wp14:anchorId="71AF4990" wp14:editId="6CA604D5">
              <wp:simplePos x="0" y="0"/>
              <wp:positionH relativeFrom="column">
                <wp:posOffset>3257861</wp:posOffset>
              </wp:positionH>
              <wp:positionV relativeFrom="paragraph">
                <wp:posOffset>89750</wp:posOffset>
              </wp:positionV>
              <wp:extent cx="2181860" cy="457200"/>
              <wp:effectExtent l="0" t="0" r="0" b="0"/>
              <wp:wrapNone/>
              <wp:docPr id="9" name="תיבת טקסט 9"/>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571971" w:rsidRPr="00B677DC" w:rsidRDefault="00571971" w:rsidP="00F20046">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AF4990" id="תיבת טקסט 9" o:spid="_x0000_s1028" type="#_x0000_t202" style="position:absolute;margin-left:256.5pt;margin-top:7.05pt;width:171.8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ndjXkUC&#10;AABhBAAADgAAAAAAAAAAAAAAAAAuAgAAZHJzL2Uyb0RvYy54bWxQSwECLQAUAAYACAAAACEA87VM&#10;cuAAAAAJAQAADwAAAAAAAAAAAAAAAACfBAAAZHJzL2Rvd25yZXYueG1sUEsFBgAAAAAEAAQA8wAA&#10;AKwFAAAAAA==&#10;" filled="f" stroked="f" strokeweight=".5pt">
              <v:textbox>
                <w:txbxContent>
                  <w:p w:rsidR="00571971" w:rsidRPr="00B677DC" w:rsidRDefault="00571971" w:rsidP="00F20046">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00F20046">
      <w:rPr>
        <w:noProof/>
      </w:rPr>
      <mc:AlternateContent>
        <mc:Choice Requires="wps">
          <w:drawing>
            <wp:anchor distT="0" distB="0" distL="114300" distR="114300" simplePos="0" relativeHeight="251659264" behindDoc="0" locked="0" layoutInCell="1" allowOverlap="1">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571971" w:rsidRPr="00B677DC" w:rsidRDefault="00571971" w:rsidP="00F20046">
                          <w:pPr>
                            <w:jc w:val="center"/>
                            <w:rPr>
                              <w:rFonts w:cstheme="minorHAnsi"/>
                              <w:sz w:val="16"/>
                              <w:szCs w:val="16"/>
                              <w:rtl/>
                            </w:rPr>
                          </w:pPr>
                          <w:r w:rsidRPr="00B677DC">
                            <w:rPr>
                              <w:rFonts w:cs="Calibri" w:hint="cs"/>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7" o:spid="_x0000_s1029" type="#_x0000_t202" style="position:absolute;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rsidR="00571971" w:rsidRPr="00B677DC" w:rsidRDefault="00571971" w:rsidP="00F20046">
                    <w:pPr>
                      <w:jc w:val="center"/>
                      <w:rPr>
                        <w:rFonts w:cstheme="minorHAnsi"/>
                        <w:sz w:val="16"/>
                        <w:szCs w:val="16"/>
                        <w:rtl/>
                      </w:rPr>
                    </w:pPr>
                    <w:r w:rsidRPr="00B677DC">
                      <w:rPr>
                        <w:rFonts w:cs="Calibri" w:hint="cs"/>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00B677DC">
      <w:rPr>
        <w:noProof/>
      </w:rPr>
      <mc:AlternateContent>
        <mc:Choice Requires="wps">
          <w:drawing>
            <wp:anchor distT="0" distB="0" distL="114300" distR="114300" simplePos="0" relativeHeight="251666432" behindDoc="0" locked="0" layoutInCell="1" allowOverlap="1">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D1803" id="מחבר ישר 15"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" strokecolor="black [3040]"/>
          </w:pict>
        </mc:Fallback>
      </mc:AlternateContent>
    </w:r>
    <w:r w:rsidR="00972198" w:rsidRPr="00571971">
      <w:rPr>
        <w:rFonts w:cs="Calibri"/>
        <w:noProof/>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71" w:rsidRDefault="00253171" w:rsidP="00E04682">
      <w:pPr>
        <w:spacing w:after="0" w:line="240" w:lineRule="auto"/>
      </w:pPr>
      <w:r>
        <w:separator/>
      </w:r>
    </w:p>
  </w:footnote>
  <w:footnote w:type="continuationSeparator" w:id="0">
    <w:p w:rsidR="00253171" w:rsidRDefault="00253171" w:rsidP="00E04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10C5A"/>
    <w:multiLevelType w:val="hybridMultilevel"/>
    <w:tmpl w:val="1F0214CA"/>
    <w:lvl w:ilvl="0" w:tplc="D41CDC90">
      <w:numFmt w:val="bullet"/>
      <w:lvlText w:val=""/>
      <w:lvlJc w:val="left"/>
      <w:pPr>
        <w:ind w:left="668" w:hanging="360"/>
      </w:pPr>
      <w:rPr>
        <w:rFonts w:ascii="Symbol" w:eastAsiaTheme="minorHAnsi" w:hAnsi="Symbol" w:cs="Assistant" w:hint="default"/>
      </w:rPr>
    </w:lvl>
    <w:lvl w:ilvl="1" w:tplc="04090003">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1" w15:restartNumberingAfterBreak="0">
    <w:nsid w:val="577F64B2"/>
    <w:multiLevelType w:val="hybridMultilevel"/>
    <w:tmpl w:val="A3E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52834"/>
    <w:multiLevelType w:val="hybridMultilevel"/>
    <w:tmpl w:val="165C06E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677" w:hanging="360"/>
      </w:pPr>
      <w:rPr>
        <w:rFonts w:ascii="Courier New" w:hAnsi="Courier New" w:cs="Courier New" w:hint="default"/>
      </w:rPr>
    </w:lvl>
    <w:lvl w:ilvl="2" w:tplc="20000005" w:tentative="1">
      <w:start w:val="1"/>
      <w:numFmt w:val="bullet"/>
      <w:lvlText w:val=""/>
      <w:lvlJc w:val="left"/>
      <w:pPr>
        <w:ind w:left="2397" w:hanging="360"/>
      </w:pPr>
      <w:rPr>
        <w:rFonts w:ascii="Wingdings" w:hAnsi="Wingdings" w:hint="default"/>
      </w:rPr>
    </w:lvl>
    <w:lvl w:ilvl="3" w:tplc="20000001" w:tentative="1">
      <w:start w:val="1"/>
      <w:numFmt w:val="bullet"/>
      <w:lvlText w:val=""/>
      <w:lvlJc w:val="left"/>
      <w:pPr>
        <w:ind w:left="3117" w:hanging="360"/>
      </w:pPr>
      <w:rPr>
        <w:rFonts w:ascii="Symbol" w:hAnsi="Symbol" w:hint="default"/>
      </w:rPr>
    </w:lvl>
    <w:lvl w:ilvl="4" w:tplc="20000003" w:tentative="1">
      <w:start w:val="1"/>
      <w:numFmt w:val="bullet"/>
      <w:lvlText w:val="o"/>
      <w:lvlJc w:val="left"/>
      <w:pPr>
        <w:ind w:left="3837" w:hanging="360"/>
      </w:pPr>
      <w:rPr>
        <w:rFonts w:ascii="Courier New" w:hAnsi="Courier New" w:cs="Courier New" w:hint="default"/>
      </w:rPr>
    </w:lvl>
    <w:lvl w:ilvl="5" w:tplc="20000005" w:tentative="1">
      <w:start w:val="1"/>
      <w:numFmt w:val="bullet"/>
      <w:lvlText w:val=""/>
      <w:lvlJc w:val="left"/>
      <w:pPr>
        <w:ind w:left="4557" w:hanging="360"/>
      </w:pPr>
      <w:rPr>
        <w:rFonts w:ascii="Wingdings" w:hAnsi="Wingdings" w:hint="default"/>
      </w:rPr>
    </w:lvl>
    <w:lvl w:ilvl="6" w:tplc="20000001" w:tentative="1">
      <w:start w:val="1"/>
      <w:numFmt w:val="bullet"/>
      <w:lvlText w:val=""/>
      <w:lvlJc w:val="left"/>
      <w:pPr>
        <w:ind w:left="5277" w:hanging="360"/>
      </w:pPr>
      <w:rPr>
        <w:rFonts w:ascii="Symbol" w:hAnsi="Symbol" w:hint="default"/>
      </w:rPr>
    </w:lvl>
    <w:lvl w:ilvl="7" w:tplc="20000003" w:tentative="1">
      <w:start w:val="1"/>
      <w:numFmt w:val="bullet"/>
      <w:lvlText w:val="o"/>
      <w:lvlJc w:val="left"/>
      <w:pPr>
        <w:ind w:left="5997" w:hanging="360"/>
      </w:pPr>
      <w:rPr>
        <w:rFonts w:ascii="Courier New" w:hAnsi="Courier New" w:cs="Courier New" w:hint="default"/>
      </w:rPr>
    </w:lvl>
    <w:lvl w:ilvl="8" w:tplc="20000005" w:tentative="1">
      <w:start w:val="1"/>
      <w:numFmt w:val="bullet"/>
      <w:lvlText w:val=""/>
      <w:lvlJc w:val="left"/>
      <w:pPr>
        <w:ind w:left="671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0A"/>
    <w:rsid w:val="0000680E"/>
    <w:rsid w:val="00012503"/>
    <w:rsid w:val="00040A7F"/>
    <w:rsid w:val="00045C65"/>
    <w:rsid w:val="00055CC5"/>
    <w:rsid w:val="00065B9B"/>
    <w:rsid w:val="000727FD"/>
    <w:rsid w:val="00084B5A"/>
    <w:rsid w:val="000857B7"/>
    <w:rsid w:val="00087BB3"/>
    <w:rsid w:val="00095555"/>
    <w:rsid w:val="00096238"/>
    <w:rsid w:val="000A5329"/>
    <w:rsid w:val="000C1E4D"/>
    <w:rsid w:val="000D2157"/>
    <w:rsid w:val="000D5445"/>
    <w:rsid w:val="000E7ED2"/>
    <w:rsid w:val="00100012"/>
    <w:rsid w:val="00113BC9"/>
    <w:rsid w:val="00115277"/>
    <w:rsid w:val="00115FEF"/>
    <w:rsid w:val="00127DAC"/>
    <w:rsid w:val="00151A07"/>
    <w:rsid w:val="00156135"/>
    <w:rsid w:val="00162DCC"/>
    <w:rsid w:val="00166DBC"/>
    <w:rsid w:val="00170DDB"/>
    <w:rsid w:val="00184E4C"/>
    <w:rsid w:val="0019079B"/>
    <w:rsid w:val="00196785"/>
    <w:rsid w:val="001A2670"/>
    <w:rsid w:val="001A53CE"/>
    <w:rsid w:val="001B05C6"/>
    <w:rsid w:val="001B28C8"/>
    <w:rsid w:val="001B5E43"/>
    <w:rsid w:val="001C194B"/>
    <w:rsid w:val="001C7D79"/>
    <w:rsid w:val="001D5E62"/>
    <w:rsid w:val="001E0275"/>
    <w:rsid w:val="001E2886"/>
    <w:rsid w:val="001E46DB"/>
    <w:rsid w:val="001F2BE7"/>
    <w:rsid w:val="00223D37"/>
    <w:rsid w:val="00225BDF"/>
    <w:rsid w:val="00245BA3"/>
    <w:rsid w:val="00253171"/>
    <w:rsid w:val="00256095"/>
    <w:rsid w:val="00256D97"/>
    <w:rsid w:val="00265657"/>
    <w:rsid w:val="00274912"/>
    <w:rsid w:val="00275FE8"/>
    <w:rsid w:val="002834B6"/>
    <w:rsid w:val="00290B54"/>
    <w:rsid w:val="00297F94"/>
    <w:rsid w:val="002A2E4C"/>
    <w:rsid w:val="002A3CC4"/>
    <w:rsid w:val="002B564E"/>
    <w:rsid w:val="002B7877"/>
    <w:rsid w:val="002C05A5"/>
    <w:rsid w:val="002C754F"/>
    <w:rsid w:val="002D7AA8"/>
    <w:rsid w:val="002E330F"/>
    <w:rsid w:val="002E5F96"/>
    <w:rsid w:val="002F62A1"/>
    <w:rsid w:val="00301F96"/>
    <w:rsid w:val="003144E6"/>
    <w:rsid w:val="00315D7C"/>
    <w:rsid w:val="00316C9F"/>
    <w:rsid w:val="0031701E"/>
    <w:rsid w:val="0032792A"/>
    <w:rsid w:val="003353C9"/>
    <w:rsid w:val="00341083"/>
    <w:rsid w:val="00352E3C"/>
    <w:rsid w:val="003552BD"/>
    <w:rsid w:val="0036030B"/>
    <w:rsid w:val="003641E2"/>
    <w:rsid w:val="00370E6F"/>
    <w:rsid w:val="0037101B"/>
    <w:rsid w:val="003730B8"/>
    <w:rsid w:val="00375149"/>
    <w:rsid w:val="003A1561"/>
    <w:rsid w:val="003C2931"/>
    <w:rsid w:val="003E7478"/>
    <w:rsid w:val="003F01E4"/>
    <w:rsid w:val="003F57B2"/>
    <w:rsid w:val="00407D90"/>
    <w:rsid w:val="00431BB6"/>
    <w:rsid w:val="00440E7F"/>
    <w:rsid w:val="004537A7"/>
    <w:rsid w:val="004561A3"/>
    <w:rsid w:val="00460DDF"/>
    <w:rsid w:val="00461C90"/>
    <w:rsid w:val="00471092"/>
    <w:rsid w:val="004A120F"/>
    <w:rsid w:val="004A32D7"/>
    <w:rsid w:val="004A6295"/>
    <w:rsid w:val="004C6182"/>
    <w:rsid w:val="004C7925"/>
    <w:rsid w:val="004F26A1"/>
    <w:rsid w:val="004F5E3C"/>
    <w:rsid w:val="00567B1A"/>
    <w:rsid w:val="00571971"/>
    <w:rsid w:val="0057422C"/>
    <w:rsid w:val="00575141"/>
    <w:rsid w:val="0059782C"/>
    <w:rsid w:val="005A52A2"/>
    <w:rsid w:val="005C5BF9"/>
    <w:rsid w:val="005D5F2B"/>
    <w:rsid w:val="00614024"/>
    <w:rsid w:val="00632CD2"/>
    <w:rsid w:val="006344CC"/>
    <w:rsid w:val="0063559D"/>
    <w:rsid w:val="0063690B"/>
    <w:rsid w:val="00640309"/>
    <w:rsid w:val="00660075"/>
    <w:rsid w:val="00660F46"/>
    <w:rsid w:val="006811C3"/>
    <w:rsid w:val="006907D5"/>
    <w:rsid w:val="0069557C"/>
    <w:rsid w:val="006C5099"/>
    <w:rsid w:val="006F0964"/>
    <w:rsid w:val="00701240"/>
    <w:rsid w:val="00715D7F"/>
    <w:rsid w:val="007172E4"/>
    <w:rsid w:val="00737090"/>
    <w:rsid w:val="00780795"/>
    <w:rsid w:val="00783F55"/>
    <w:rsid w:val="007916D5"/>
    <w:rsid w:val="0079406F"/>
    <w:rsid w:val="00797111"/>
    <w:rsid w:val="007A0330"/>
    <w:rsid w:val="007A25C0"/>
    <w:rsid w:val="007A2A08"/>
    <w:rsid w:val="007B2299"/>
    <w:rsid w:val="007B2E35"/>
    <w:rsid w:val="007B64D4"/>
    <w:rsid w:val="007C41CE"/>
    <w:rsid w:val="007E3CCC"/>
    <w:rsid w:val="00803D2A"/>
    <w:rsid w:val="008058DF"/>
    <w:rsid w:val="00810049"/>
    <w:rsid w:val="008137A5"/>
    <w:rsid w:val="00832597"/>
    <w:rsid w:val="008371BA"/>
    <w:rsid w:val="00844664"/>
    <w:rsid w:val="008466F0"/>
    <w:rsid w:val="008473FB"/>
    <w:rsid w:val="00850CC4"/>
    <w:rsid w:val="00886388"/>
    <w:rsid w:val="008B3199"/>
    <w:rsid w:val="008C47FB"/>
    <w:rsid w:val="008C4A46"/>
    <w:rsid w:val="008C706D"/>
    <w:rsid w:val="008D5488"/>
    <w:rsid w:val="008E2484"/>
    <w:rsid w:val="008F0B52"/>
    <w:rsid w:val="008F617A"/>
    <w:rsid w:val="00914AC1"/>
    <w:rsid w:val="00921F03"/>
    <w:rsid w:val="0095375C"/>
    <w:rsid w:val="00955B34"/>
    <w:rsid w:val="00965C79"/>
    <w:rsid w:val="00972198"/>
    <w:rsid w:val="00984B1A"/>
    <w:rsid w:val="009851B0"/>
    <w:rsid w:val="00996DA6"/>
    <w:rsid w:val="009A089E"/>
    <w:rsid w:val="009A50FF"/>
    <w:rsid w:val="009B0FA7"/>
    <w:rsid w:val="009B2E19"/>
    <w:rsid w:val="009C6D0D"/>
    <w:rsid w:val="009E2FD2"/>
    <w:rsid w:val="00A076E6"/>
    <w:rsid w:val="00A13844"/>
    <w:rsid w:val="00A27085"/>
    <w:rsid w:val="00A344EF"/>
    <w:rsid w:val="00A41BD0"/>
    <w:rsid w:val="00A47944"/>
    <w:rsid w:val="00A61A41"/>
    <w:rsid w:val="00A6309F"/>
    <w:rsid w:val="00A678C6"/>
    <w:rsid w:val="00A71B93"/>
    <w:rsid w:val="00A730E0"/>
    <w:rsid w:val="00A8460D"/>
    <w:rsid w:val="00A92A3D"/>
    <w:rsid w:val="00AA00A5"/>
    <w:rsid w:val="00AB01E0"/>
    <w:rsid w:val="00AB37A4"/>
    <w:rsid w:val="00AC35CD"/>
    <w:rsid w:val="00AE7479"/>
    <w:rsid w:val="00AF1FA7"/>
    <w:rsid w:val="00B071B6"/>
    <w:rsid w:val="00B13490"/>
    <w:rsid w:val="00B35876"/>
    <w:rsid w:val="00B569FD"/>
    <w:rsid w:val="00B63A33"/>
    <w:rsid w:val="00B677DC"/>
    <w:rsid w:val="00B70E6F"/>
    <w:rsid w:val="00B91BF0"/>
    <w:rsid w:val="00B955C2"/>
    <w:rsid w:val="00BA0282"/>
    <w:rsid w:val="00BB6985"/>
    <w:rsid w:val="00BD0783"/>
    <w:rsid w:val="00BD17EF"/>
    <w:rsid w:val="00BD7743"/>
    <w:rsid w:val="00BF4F97"/>
    <w:rsid w:val="00BF5589"/>
    <w:rsid w:val="00C0095C"/>
    <w:rsid w:val="00C02512"/>
    <w:rsid w:val="00C10172"/>
    <w:rsid w:val="00C25C86"/>
    <w:rsid w:val="00C36D00"/>
    <w:rsid w:val="00C42A4B"/>
    <w:rsid w:val="00C463C1"/>
    <w:rsid w:val="00C46931"/>
    <w:rsid w:val="00C47A89"/>
    <w:rsid w:val="00C73E6B"/>
    <w:rsid w:val="00C85D4E"/>
    <w:rsid w:val="00C9088B"/>
    <w:rsid w:val="00C91BA8"/>
    <w:rsid w:val="00C94FDB"/>
    <w:rsid w:val="00CA2ACF"/>
    <w:rsid w:val="00CB5C9F"/>
    <w:rsid w:val="00CB5CD9"/>
    <w:rsid w:val="00CB74C6"/>
    <w:rsid w:val="00CC2499"/>
    <w:rsid w:val="00CC73CB"/>
    <w:rsid w:val="00CC75FB"/>
    <w:rsid w:val="00CD11DB"/>
    <w:rsid w:val="00CD2037"/>
    <w:rsid w:val="00CD2A65"/>
    <w:rsid w:val="00CE2F8B"/>
    <w:rsid w:val="00D004D1"/>
    <w:rsid w:val="00D02324"/>
    <w:rsid w:val="00D06884"/>
    <w:rsid w:val="00D15579"/>
    <w:rsid w:val="00D45541"/>
    <w:rsid w:val="00D53BFE"/>
    <w:rsid w:val="00D747A1"/>
    <w:rsid w:val="00D85F94"/>
    <w:rsid w:val="00D878DF"/>
    <w:rsid w:val="00DB09F3"/>
    <w:rsid w:val="00DC23E1"/>
    <w:rsid w:val="00DC727C"/>
    <w:rsid w:val="00DD2E1F"/>
    <w:rsid w:val="00DE140A"/>
    <w:rsid w:val="00DF4B57"/>
    <w:rsid w:val="00E04682"/>
    <w:rsid w:val="00E20D4C"/>
    <w:rsid w:val="00E22BAA"/>
    <w:rsid w:val="00E44A34"/>
    <w:rsid w:val="00E52D98"/>
    <w:rsid w:val="00E52DAA"/>
    <w:rsid w:val="00E566ED"/>
    <w:rsid w:val="00E728E5"/>
    <w:rsid w:val="00E731F0"/>
    <w:rsid w:val="00E80E0F"/>
    <w:rsid w:val="00E84228"/>
    <w:rsid w:val="00EC51AC"/>
    <w:rsid w:val="00ED67BE"/>
    <w:rsid w:val="00EE07B1"/>
    <w:rsid w:val="00EF41BE"/>
    <w:rsid w:val="00F11065"/>
    <w:rsid w:val="00F20046"/>
    <w:rsid w:val="00F40307"/>
    <w:rsid w:val="00F571F9"/>
    <w:rsid w:val="00F655AC"/>
    <w:rsid w:val="00F8256F"/>
    <w:rsid w:val="00F95970"/>
    <w:rsid w:val="00FB1B10"/>
    <w:rsid w:val="00FB278F"/>
    <w:rsid w:val="00FB3D7B"/>
    <w:rsid w:val="00FB6F6A"/>
    <w:rsid w:val="00FC67CB"/>
    <w:rsid w:val="00FD61EB"/>
    <w:rsid w:val="00FE245D"/>
    <w:rsid w:val="00FE3344"/>
    <w:rsid w:val="00FF51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FFC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75141"/>
    <w:rPr>
      <w:color w:val="0000FF"/>
      <w:u w:val="single"/>
    </w:rPr>
  </w:style>
  <w:style w:type="paragraph" w:styleId="a3">
    <w:name w:val="Balloon Text"/>
    <w:basedOn w:val="a"/>
    <w:link w:val="a4"/>
    <w:uiPriority w:val="99"/>
    <w:semiHidden/>
    <w:unhideWhenUsed/>
    <w:rsid w:val="007B64D4"/>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7B64D4"/>
    <w:rPr>
      <w:rFonts w:ascii="Tahoma" w:hAnsi="Tahoma" w:cs="Tahoma"/>
      <w:sz w:val="18"/>
      <w:szCs w:val="18"/>
    </w:rPr>
  </w:style>
  <w:style w:type="paragraph" w:styleId="a5">
    <w:name w:val="header"/>
    <w:basedOn w:val="a"/>
    <w:link w:val="a6"/>
    <w:uiPriority w:val="99"/>
    <w:unhideWhenUsed/>
    <w:rsid w:val="00E04682"/>
    <w:pPr>
      <w:tabs>
        <w:tab w:val="center" w:pos="4153"/>
        <w:tab w:val="right" w:pos="8306"/>
      </w:tabs>
      <w:spacing w:after="0" w:line="240" w:lineRule="auto"/>
    </w:pPr>
  </w:style>
  <w:style w:type="character" w:customStyle="1" w:styleId="a6">
    <w:name w:val="כותרת עליונה תו"/>
    <w:basedOn w:val="a0"/>
    <w:link w:val="a5"/>
    <w:uiPriority w:val="99"/>
    <w:rsid w:val="00E04682"/>
  </w:style>
  <w:style w:type="paragraph" w:styleId="a7">
    <w:name w:val="footer"/>
    <w:basedOn w:val="a"/>
    <w:link w:val="a8"/>
    <w:uiPriority w:val="99"/>
    <w:unhideWhenUsed/>
    <w:rsid w:val="00E04682"/>
    <w:pPr>
      <w:tabs>
        <w:tab w:val="center" w:pos="4153"/>
        <w:tab w:val="right" w:pos="8306"/>
      </w:tabs>
      <w:spacing w:after="0" w:line="240" w:lineRule="auto"/>
    </w:pPr>
  </w:style>
  <w:style w:type="character" w:customStyle="1" w:styleId="a8">
    <w:name w:val="כותרת תחתונה תו"/>
    <w:basedOn w:val="a0"/>
    <w:link w:val="a7"/>
    <w:uiPriority w:val="99"/>
    <w:rsid w:val="00E04682"/>
  </w:style>
  <w:style w:type="paragraph" w:styleId="a9">
    <w:name w:val="List Paragraph"/>
    <w:basedOn w:val="a"/>
    <w:uiPriority w:val="34"/>
    <w:qFormat/>
    <w:rsid w:val="00CD2A65"/>
    <w:pPr>
      <w:ind w:left="720"/>
      <w:contextualSpacing/>
    </w:pPr>
  </w:style>
  <w:style w:type="character" w:styleId="aa">
    <w:name w:val="annotation reference"/>
    <w:basedOn w:val="a0"/>
    <w:uiPriority w:val="99"/>
    <w:semiHidden/>
    <w:unhideWhenUsed/>
    <w:rsid w:val="004F26A1"/>
    <w:rPr>
      <w:sz w:val="16"/>
      <w:szCs w:val="16"/>
    </w:rPr>
  </w:style>
  <w:style w:type="paragraph" w:styleId="ab">
    <w:name w:val="annotation text"/>
    <w:basedOn w:val="a"/>
    <w:link w:val="ac"/>
    <w:uiPriority w:val="99"/>
    <w:semiHidden/>
    <w:unhideWhenUsed/>
    <w:rsid w:val="004F26A1"/>
    <w:pPr>
      <w:spacing w:line="240" w:lineRule="auto"/>
    </w:pPr>
    <w:rPr>
      <w:sz w:val="20"/>
      <w:szCs w:val="20"/>
    </w:rPr>
  </w:style>
  <w:style w:type="character" w:customStyle="1" w:styleId="ac">
    <w:name w:val="טקסט הערה תו"/>
    <w:basedOn w:val="a0"/>
    <w:link w:val="ab"/>
    <w:uiPriority w:val="99"/>
    <w:semiHidden/>
    <w:rsid w:val="004F26A1"/>
    <w:rPr>
      <w:sz w:val="20"/>
      <w:szCs w:val="20"/>
    </w:rPr>
  </w:style>
  <w:style w:type="paragraph" w:styleId="ad">
    <w:name w:val="annotation subject"/>
    <w:basedOn w:val="ab"/>
    <w:next w:val="ab"/>
    <w:link w:val="ae"/>
    <w:uiPriority w:val="99"/>
    <w:semiHidden/>
    <w:unhideWhenUsed/>
    <w:rsid w:val="004F26A1"/>
    <w:rPr>
      <w:b/>
      <w:bCs/>
    </w:rPr>
  </w:style>
  <w:style w:type="character" w:customStyle="1" w:styleId="ae">
    <w:name w:val="נושא הערה תו"/>
    <w:basedOn w:val="ac"/>
    <w:link w:val="ad"/>
    <w:uiPriority w:val="99"/>
    <w:semiHidden/>
    <w:rsid w:val="004F26A1"/>
    <w:rPr>
      <w:b/>
      <w:bCs/>
      <w:sz w:val="20"/>
      <w:szCs w:val="20"/>
    </w:rPr>
  </w:style>
  <w:style w:type="character" w:styleId="FollowedHyperlink">
    <w:name w:val="FollowedHyperlink"/>
    <w:basedOn w:val="a0"/>
    <w:uiPriority w:val="99"/>
    <w:semiHidden/>
    <w:unhideWhenUsed/>
    <w:rsid w:val="00B569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4256">
      <w:bodyDiv w:val="1"/>
      <w:marLeft w:val="0"/>
      <w:marRight w:val="0"/>
      <w:marTop w:val="0"/>
      <w:marBottom w:val="0"/>
      <w:divBdr>
        <w:top w:val="none" w:sz="0" w:space="0" w:color="auto"/>
        <w:left w:val="none" w:sz="0" w:space="0" w:color="auto"/>
        <w:bottom w:val="none" w:sz="0" w:space="0" w:color="auto"/>
        <w:right w:val="none" w:sz="0" w:space="0" w:color="auto"/>
      </w:divBdr>
    </w:div>
    <w:div w:id="872764382">
      <w:bodyDiv w:val="1"/>
      <w:marLeft w:val="0"/>
      <w:marRight w:val="0"/>
      <w:marTop w:val="0"/>
      <w:marBottom w:val="0"/>
      <w:divBdr>
        <w:top w:val="none" w:sz="0" w:space="0" w:color="auto"/>
        <w:left w:val="none" w:sz="0" w:space="0" w:color="auto"/>
        <w:bottom w:val="none" w:sz="0" w:space="0" w:color="auto"/>
        <w:right w:val="none" w:sz="0" w:space="0" w:color="auto"/>
      </w:divBdr>
    </w:div>
    <w:div w:id="1112937149">
      <w:bodyDiv w:val="1"/>
      <w:marLeft w:val="0"/>
      <w:marRight w:val="0"/>
      <w:marTop w:val="0"/>
      <w:marBottom w:val="0"/>
      <w:divBdr>
        <w:top w:val="none" w:sz="0" w:space="0" w:color="auto"/>
        <w:left w:val="none" w:sz="0" w:space="0" w:color="auto"/>
        <w:bottom w:val="none" w:sz="0" w:space="0" w:color="auto"/>
        <w:right w:val="none" w:sz="0" w:space="0" w:color="auto"/>
      </w:divBdr>
    </w:div>
    <w:div w:id="1557356728">
      <w:bodyDiv w:val="1"/>
      <w:marLeft w:val="0"/>
      <w:marRight w:val="0"/>
      <w:marTop w:val="0"/>
      <w:marBottom w:val="0"/>
      <w:divBdr>
        <w:top w:val="none" w:sz="0" w:space="0" w:color="auto"/>
        <w:left w:val="none" w:sz="0" w:space="0" w:color="auto"/>
        <w:bottom w:val="none" w:sz="0" w:space="0" w:color="auto"/>
        <w:right w:val="none" w:sz="0" w:space="0" w:color="auto"/>
      </w:divBdr>
    </w:div>
    <w:div w:id="19631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6.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5.png"/><Relationship Id="rId1" Type="http://schemas.openxmlformats.org/officeDocument/2006/relationships/image" Target="media/image4.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7.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3935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2024-03-06T11:23:00Z</dcterms:created>
  <dcterms:modified xsi:type="dcterms:W3CDTF">2024-03-06T11:29:00Z</dcterms:modified>
</cp:coreProperties>
</file>