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B982D" w14:textId="77777777" w:rsidR="00F657F5" w:rsidRDefault="00F657F5" w:rsidP="00F657F5">
      <w:pPr>
        <w:pStyle w:val="regpar"/>
        <w:spacing w:line="300" w:lineRule="atLeast"/>
        <w:ind w:firstLine="0"/>
        <w:jc w:val="center"/>
        <w:rPr>
          <w:rFonts w:ascii="Times New Roman" w:hAnsi="Times New Roman" w:cs="David"/>
          <w:bCs/>
        </w:rPr>
      </w:pPr>
      <w:r>
        <w:rPr>
          <w:noProof/>
        </w:rPr>
        <w:drawing>
          <wp:inline distT="0" distB="0" distL="0" distR="0" wp14:anchorId="73C71C3E" wp14:editId="38936FE8">
            <wp:extent cx="2924175" cy="9715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971550"/>
                    </a:xfrm>
                    <a:prstGeom prst="rect">
                      <a:avLst/>
                    </a:prstGeom>
                    <a:noFill/>
                    <a:ln>
                      <a:noFill/>
                    </a:ln>
                  </pic:spPr>
                </pic:pic>
              </a:graphicData>
            </a:graphic>
          </wp:inline>
        </w:drawing>
      </w:r>
    </w:p>
    <w:p w14:paraId="7609E53D" w14:textId="77777777" w:rsidR="00F657F5" w:rsidRDefault="00F657F5" w:rsidP="00F657F5">
      <w:pPr>
        <w:pStyle w:val="regpar"/>
        <w:spacing w:line="300" w:lineRule="atLeast"/>
        <w:ind w:firstLine="0"/>
        <w:jc w:val="center"/>
        <w:rPr>
          <w:rFonts w:ascii="Times New Roman" w:hAnsi="Times New Roman" w:cs="David"/>
          <w:bCs/>
        </w:rPr>
      </w:pPr>
    </w:p>
    <w:p w14:paraId="74AC4EC4" w14:textId="77777777" w:rsidR="00F657F5" w:rsidRPr="0012431B" w:rsidRDefault="00F657F5" w:rsidP="00F657F5">
      <w:pPr>
        <w:pStyle w:val="regpar"/>
        <w:spacing w:line="300" w:lineRule="atLeast"/>
        <w:ind w:firstLine="0"/>
        <w:jc w:val="center"/>
        <w:rPr>
          <w:rFonts w:ascii="Segoe UI" w:hAnsi="Segoe UI" w:cs="Segoe UI"/>
          <w:bCs/>
          <w:sz w:val="22"/>
          <w:szCs w:val="22"/>
        </w:rPr>
      </w:pPr>
      <w:r w:rsidRPr="0012431B">
        <w:rPr>
          <w:rFonts w:ascii="Segoe UI" w:hAnsi="Segoe UI" w:cs="Segoe UI"/>
          <w:bCs/>
          <w:sz w:val="22"/>
          <w:szCs w:val="22"/>
        </w:rPr>
        <w:t>BANK OF ISRAEL</w:t>
      </w:r>
    </w:p>
    <w:p w14:paraId="1156ADEA" w14:textId="77777777" w:rsidR="00F657F5" w:rsidRPr="0012431B" w:rsidRDefault="00F657F5" w:rsidP="00F657F5">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Office of the Spokesperson and Economic Information</w:t>
      </w:r>
    </w:p>
    <w:p w14:paraId="455AB576" w14:textId="77777777" w:rsidR="00F657F5" w:rsidRPr="0012431B" w:rsidRDefault="00F657F5" w:rsidP="00F657F5">
      <w:pPr>
        <w:pStyle w:val="regpar"/>
        <w:spacing w:line="300" w:lineRule="atLeast"/>
        <w:ind w:firstLine="0"/>
        <w:jc w:val="center"/>
        <w:rPr>
          <w:rFonts w:ascii="Segoe UI" w:hAnsi="Segoe UI" w:cs="Segoe UI"/>
          <w:sz w:val="22"/>
          <w:szCs w:val="22"/>
        </w:rPr>
      </w:pPr>
    </w:p>
    <w:p w14:paraId="43F04656" w14:textId="77777777" w:rsidR="00F657F5" w:rsidRPr="0012431B" w:rsidRDefault="00F657F5" w:rsidP="00F657F5">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Press release</w:t>
      </w:r>
    </w:p>
    <w:p w14:paraId="4082120E" w14:textId="77777777" w:rsidR="00CB5D78" w:rsidRPr="00F657F5" w:rsidRDefault="00CB5D78" w:rsidP="0012349D">
      <w:pPr>
        <w:bidi w:val="0"/>
        <w:jc w:val="right"/>
        <w:rPr>
          <w:rFonts w:ascii="Calibri" w:hAnsi="Calibri" w:cs="Calibri"/>
          <w:b/>
          <w:bCs/>
          <w:sz w:val="26"/>
          <w:szCs w:val="26"/>
        </w:rPr>
      </w:pPr>
    </w:p>
    <w:p w14:paraId="58FB7462" w14:textId="48FB5F4D" w:rsidR="00CB5D78" w:rsidRPr="00F657F5" w:rsidRDefault="0083537E" w:rsidP="00F657F5">
      <w:pPr>
        <w:pStyle w:val="regpar"/>
        <w:spacing w:line="300" w:lineRule="atLeast"/>
        <w:ind w:firstLine="0"/>
        <w:jc w:val="right"/>
        <w:rPr>
          <w:rFonts w:ascii="Segoe UI" w:hAnsi="Segoe UI" w:cs="Segoe UI"/>
          <w:sz w:val="22"/>
          <w:szCs w:val="22"/>
        </w:rPr>
      </w:pPr>
      <w:r w:rsidRPr="00F657F5">
        <w:rPr>
          <w:rFonts w:ascii="Segoe UI" w:hAnsi="Segoe UI" w:cs="Segoe UI"/>
          <w:sz w:val="22"/>
          <w:szCs w:val="22"/>
        </w:rPr>
        <w:t>June 18, 2025</w:t>
      </w:r>
    </w:p>
    <w:p w14:paraId="41ACB083" w14:textId="77777777" w:rsidR="00883627" w:rsidRPr="00F657F5" w:rsidRDefault="00883627" w:rsidP="0094738B">
      <w:pPr>
        <w:pStyle w:val="PressReleaseTitle"/>
        <w:rPr>
          <w:rFonts w:ascii="Calibri" w:hAnsi="Calibri" w:cs="Calibri"/>
        </w:rPr>
      </w:pPr>
    </w:p>
    <w:p w14:paraId="280B1D1E" w14:textId="77777777" w:rsidR="0094738B" w:rsidRPr="00F657F5" w:rsidRDefault="0094738B" w:rsidP="0094738B">
      <w:pPr>
        <w:pStyle w:val="PressReleaseTitle"/>
        <w:rPr>
          <w:rFonts w:ascii="Calibri" w:hAnsi="Calibri" w:cs="Calibri"/>
        </w:rPr>
      </w:pPr>
    </w:p>
    <w:p w14:paraId="4678DD15" w14:textId="16F7F529" w:rsidR="0094738B" w:rsidRPr="00F657F5" w:rsidRDefault="00DD15DC" w:rsidP="00F657F5">
      <w:pPr>
        <w:pStyle w:val="PressReleaseTitle"/>
        <w:rPr>
          <w:rFonts w:ascii="Calibri" w:hAnsi="Calibri" w:cs="Calibri"/>
          <w:sz w:val="32"/>
          <w:szCs w:val="32"/>
        </w:rPr>
      </w:pPr>
      <w:bookmarkStart w:id="0" w:name="_GoBack"/>
      <w:r w:rsidRPr="00F657F5">
        <w:rPr>
          <w:rFonts w:ascii="Calibri" w:hAnsi="Calibri" w:cs="Calibri"/>
          <w:sz w:val="32"/>
          <w:szCs w:val="32"/>
        </w:rPr>
        <w:t xml:space="preserve">Israel’s International Investment Position (IIP), </w:t>
      </w:r>
      <w:r w:rsidR="0083537E" w:rsidRPr="00F657F5">
        <w:rPr>
          <w:rFonts w:ascii="Calibri" w:hAnsi="Calibri" w:cs="Calibri"/>
          <w:sz w:val="32"/>
          <w:szCs w:val="32"/>
        </w:rPr>
        <w:t>first</w:t>
      </w:r>
      <w:r w:rsidR="007A6A15" w:rsidRPr="00F657F5">
        <w:rPr>
          <w:rFonts w:ascii="Calibri" w:hAnsi="Calibri" w:cs="Calibri"/>
          <w:sz w:val="32"/>
          <w:szCs w:val="32"/>
        </w:rPr>
        <w:t xml:space="preserve"> quarter</w:t>
      </w:r>
      <w:r w:rsidR="00FB646A" w:rsidRPr="00F657F5">
        <w:rPr>
          <w:rFonts w:ascii="Calibri" w:hAnsi="Calibri" w:cs="Calibri"/>
          <w:sz w:val="32"/>
          <w:szCs w:val="32"/>
        </w:rPr>
        <w:t xml:space="preserve"> </w:t>
      </w:r>
      <w:r w:rsidR="000C6D17" w:rsidRPr="00F657F5">
        <w:rPr>
          <w:rFonts w:ascii="Calibri" w:hAnsi="Calibri" w:cs="Calibri"/>
          <w:sz w:val="32"/>
          <w:szCs w:val="32"/>
        </w:rPr>
        <w:t xml:space="preserve">of </w:t>
      </w:r>
      <w:r w:rsidR="00510B33" w:rsidRPr="00F657F5">
        <w:rPr>
          <w:rFonts w:ascii="Calibri" w:hAnsi="Calibri" w:cs="Calibri"/>
          <w:sz w:val="32"/>
          <w:szCs w:val="32"/>
        </w:rPr>
        <w:t>202</w:t>
      </w:r>
      <w:r w:rsidR="00905DC2" w:rsidRPr="00F657F5">
        <w:rPr>
          <w:rFonts w:ascii="Calibri" w:hAnsi="Calibri" w:cs="Calibri"/>
          <w:sz w:val="32"/>
          <w:szCs w:val="32"/>
        </w:rPr>
        <w:t>5</w:t>
      </w:r>
    </w:p>
    <w:bookmarkEnd w:id="0"/>
    <w:p w14:paraId="25C639C9" w14:textId="77777777" w:rsidR="00DD15DC" w:rsidRPr="00F657F5" w:rsidRDefault="00DD15DC" w:rsidP="00DD15DC">
      <w:pPr>
        <w:pStyle w:val="regpar"/>
        <w:jc w:val="center"/>
        <w:outlineLvl w:val="0"/>
        <w:rPr>
          <w:rFonts w:ascii="Calibri" w:hAnsi="Calibri" w:cs="Calibri"/>
          <w:sz w:val="22"/>
        </w:rPr>
      </w:pPr>
    </w:p>
    <w:p w14:paraId="5E752E3E" w14:textId="57249775" w:rsidR="00AD4944" w:rsidRPr="00F657F5" w:rsidRDefault="00D157BA" w:rsidP="00F90A2A">
      <w:pPr>
        <w:pStyle w:val="regpar"/>
        <w:numPr>
          <w:ilvl w:val="0"/>
          <w:numId w:val="2"/>
        </w:numPr>
        <w:tabs>
          <w:tab w:val="clear" w:pos="720"/>
          <w:tab w:val="num" w:pos="360"/>
        </w:tabs>
        <w:ind w:left="360"/>
        <w:rPr>
          <w:rFonts w:ascii="Calibri" w:hAnsi="Calibri" w:cs="Calibri"/>
          <w:b/>
          <w:bCs/>
        </w:rPr>
      </w:pPr>
      <w:r w:rsidRPr="00F657F5">
        <w:rPr>
          <w:rFonts w:ascii="Calibri" w:hAnsi="Calibri" w:cs="Calibri"/>
          <w:b/>
          <w:bCs/>
        </w:rPr>
        <w:t>The economy’s o</w:t>
      </w:r>
      <w:r w:rsidR="00926D84" w:rsidRPr="00F657F5">
        <w:rPr>
          <w:rFonts w:ascii="Calibri" w:hAnsi="Calibri" w:cs="Calibri"/>
          <w:b/>
          <w:bCs/>
        </w:rPr>
        <w:t>utstanding liabilities to abroad</w:t>
      </w:r>
      <w:r w:rsidR="002C518C" w:rsidRPr="00F657F5">
        <w:rPr>
          <w:rFonts w:ascii="Calibri" w:hAnsi="Calibri" w:cs="Calibri"/>
          <w:b/>
          <w:bCs/>
        </w:rPr>
        <w:t xml:space="preserve"> </w:t>
      </w:r>
      <w:r w:rsidRPr="00F657F5">
        <w:rPr>
          <w:rFonts w:ascii="Calibri" w:hAnsi="Calibri" w:cs="Calibri"/>
          <w:b/>
          <w:bCs/>
        </w:rPr>
        <w:t>de</w:t>
      </w:r>
      <w:r w:rsidR="007A6A15" w:rsidRPr="00F657F5">
        <w:rPr>
          <w:rFonts w:ascii="Calibri" w:hAnsi="Calibri" w:cs="Calibri"/>
          <w:b/>
          <w:bCs/>
        </w:rPr>
        <w:t>creased</w:t>
      </w:r>
      <w:r w:rsidR="00C71834" w:rsidRPr="00F657F5">
        <w:rPr>
          <w:rFonts w:ascii="Calibri" w:hAnsi="Calibri" w:cs="Calibri"/>
          <w:b/>
          <w:bCs/>
        </w:rPr>
        <w:t xml:space="preserve"> </w:t>
      </w:r>
      <w:r w:rsidR="00926D84" w:rsidRPr="00F657F5">
        <w:rPr>
          <w:rFonts w:ascii="Calibri" w:hAnsi="Calibri" w:cs="Calibri"/>
          <w:b/>
          <w:bCs/>
        </w:rPr>
        <w:t xml:space="preserve">by </w:t>
      </w:r>
      <w:r w:rsidR="009A3450" w:rsidRPr="00F657F5">
        <w:rPr>
          <w:rFonts w:ascii="Calibri" w:hAnsi="Calibri" w:cs="Calibri"/>
          <w:b/>
          <w:bCs/>
        </w:rPr>
        <w:t>approximately $</w:t>
      </w:r>
      <w:r w:rsidRPr="00F657F5">
        <w:rPr>
          <w:rFonts w:ascii="Calibri" w:hAnsi="Calibri" w:cs="Calibri"/>
          <w:b/>
          <w:bCs/>
        </w:rPr>
        <w:t xml:space="preserve">1 </w:t>
      </w:r>
      <w:r w:rsidR="009A3450" w:rsidRPr="00F657F5">
        <w:rPr>
          <w:rFonts w:ascii="Calibri" w:hAnsi="Calibri" w:cs="Calibri"/>
          <w:b/>
          <w:bCs/>
        </w:rPr>
        <w:t>billion (</w:t>
      </w:r>
      <w:r w:rsidR="00D16998" w:rsidRPr="00F657F5">
        <w:rPr>
          <w:rFonts w:ascii="Calibri" w:hAnsi="Calibri" w:cs="Calibri"/>
          <w:b/>
          <w:bCs/>
        </w:rPr>
        <w:t xml:space="preserve">about </w:t>
      </w:r>
      <w:r w:rsidRPr="00F657F5">
        <w:rPr>
          <w:rFonts w:ascii="Calibri" w:hAnsi="Calibri" w:cs="Calibri"/>
          <w:b/>
          <w:bCs/>
        </w:rPr>
        <w:t>0</w:t>
      </w:r>
      <w:r w:rsidR="00AD4944" w:rsidRPr="00F657F5">
        <w:rPr>
          <w:rFonts w:ascii="Calibri" w:hAnsi="Calibri" w:cs="Calibri"/>
          <w:b/>
          <w:bCs/>
        </w:rPr>
        <w:t>.2</w:t>
      </w:r>
      <w:r w:rsidR="006D4D61" w:rsidRPr="00F657F5">
        <w:rPr>
          <w:rFonts w:ascii="Calibri" w:hAnsi="Calibri" w:cs="Calibri"/>
          <w:b/>
          <w:bCs/>
        </w:rPr>
        <w:t xml:space="preserve"> </w:t>
      </w:r>
      <w:r w:rsidR="009A3450" w:rsidRPr="00F657F5">
        <w:rPr>
          <w:rFonts w:ascii="Calibri" w:hAnsi="Calibri" w:cs="Calibri"/>
          <w:b/>
          <w:bCs/>
        </w:rPr>
        <w:t>percent)</w:t>
      </w:r>
      <w:r w:rsidR="000027EA" w:rsidRPr="00F657F5">
        <w:rPr>
          <w:rFonts w:ascii="Calibri" w:hAnsi="Calibri" w:cs="Calibri"/>
          <w:b/>
          <w:bCs/>
        </w:rPr>
        <w:t xml:space="preserve"> in the </w:t>
      </w:r>
      <w:r w:rsidR="0083537E" w:rsidRPr="00F657F5">
        <w:rPr>
          <w:rFonts w:ascii="Calibri" w:hAnsi="Calibri" w:cs="Calibri"/>
          <w:b/>
          <w:bCs/>
        </w:rPr>
        <w:t>first</w:t>
      </w:r>
      <w:r w:rsidR="007A6A15" w:rsidRPr="00F657F5">
        <w:rPr>
          <w:rFonts w:ascii="Calibri" w:hAnsi="Calibri" w:cs="Calibri"/>
          <w:b/>
          <w:bCs/>
        </w:rPr>
        <w:t xml:space="preserve"> quarter</w:t>
      </w:r>
      <w:r w:rsidR="00E074A9" w:rsidRPr="00F657F5">
        <w:rPr>
          <w:rFonts w:ascii="Calibri" w:hAnsi="Calibri" w:cs="Calibri"/>
          <w:b/>
          <w:bCs/>
        </w:rPr>
        <w:t>, to about $</w:t>
      </w:r>
      <w:r w:rsidR="00AD4944" w:rsidRPr="00F657F5">
        <w:rPr>
          <w:rFonts w:ascii="Calibri" w:hAnsi="Calibri" w:cs="Calibri"/>
          <w:b/>
          <w:bCs/>
        </w:rPr>
        <w:t>55</w:t>
      </w:r>
      <w:r w:rsidRPr="00F657F5">
        <w:rPr>
          <w:rFonts w:ascii="Calibri" w:hAnsi="Calibri" w:cs="Calibri"/>
          <w:b/>
          <w:bCs/>
        </w:rPr>
        <w:t>3</w:t>
      </w:r>
      <w:r w:rsidR="00AD4944" w:rsidRPr="00F657F5">
        <w:rPr>
          <w:rFonts w:ascii="Calibri" w:hAnsi="Calibri" w:cs="Calibri"/>
          <w:b/>
          <w:bCs/>
        </w:rPr>
        <w:t xml:space="preserve"> </w:t>
      </w:r>
      <w:r w:rsidR="00E074A9" w:rsidRPr="00F657F5">
        <w:rPr>
          <w:rFonts w:ascii="Calibri" w:hAnsi="Calibri" w:cs="Calibri"/>
          <w:b/>
          <w:bCs/>
        </w:rPr>
        <w:t xml:space="preserve">billion at the end of </w:t>
      </w:r>
      <w:r w:rsidR="006B0FD9" w:rsidRPr="00F657F5">
        <w:rPr>
          <w:rFonts w:ascii="Calibri" w:hAnsi="Calibri" w:cs="Calibri"/>
          <w:b/>
          <w:bCs/>
        </w:rPr>
        <w:t>the quarter</w:t>
      </w:r>
      <w:r w:rsidR="0043764C" w:rsidRPr="00F657F5">
        <w:rPr>
          <w:rFonts w:ascii="Calibri" w:hAnsi="Calibri" w:cs="Calibri"/>
          <w:b/>
          <w:bCs/>
        </w:rPr>
        <w:t>.</w:t>
      </w:r>
      <w:r w:rsidR="006B0FD9" w:rsidRPr="00F657F5">
        <w:rPr>
          <w:rFonts w:ascii="Calibri" w:hAnsi="Calibri" w:cs="Calibri"/>
          <w:b/>
          <w:bCs/>
        </w:rPr>
        <w:t xml:space="preserve"> </w:t>
      </w:r>
      <w:r w:rsidRPr="00F657F5">
        <w:rPr>
          <w:rFonts w:ascii="Calibri" w:hAnsi="Calibri" w:cs="Calibri"/>
          <w:b/>
          <w:bCs/>
        </w:rPr>
        <w:t xml:space="preserve">Nonresidents continued to make net investments in Israel, mainly in the </w:t>
      </w:r>
      <w:r w:rsidR="00F90A2A" w:rsidRPr="00F657F5">
        <w:rPr>
          <w:rFonts w:ascii="Calibri" w:hAnsi="Calibri" w:cs="Calibri"/>
          <w:b/>
          <w:bCs/>
        </w:rPr>
        <w:t xml:space="preserve">tradable </w:t>
      </w:r>
      <w:r w:rsidRPr="00F657F5">
        <w:rPr>
          <w:rFonts w:ascii="Calibri" w:hAnsi="Calibri" w:cs="Calibri"/>
          <w:b/>
          <w:bCs/>
        </w:rPr>
        <w:t xml:space="preserve">securities portfolio. These investments were fully offset by a decline in the prices of </w:t>
      </w:r>
      <w:r w:rsidR="006D4D61" w:rsidRPr="00F657F5">
        <w:rPr>
          <w:rFonts w:ascii="Calibri" w:hAnsi="Calibri" w:cs="Calibri"/>
          <w:b/>
          <w:bCs/>
        </w:rPr>
        <w:t>Israeli securities held by nonresidents</w:t>
      </w:r>
      <w:r w:rsidRPr="00F657F5">
        <w:rPr>
          <w:rFonts w:ascii="Calibri" w:hAnsi="Calibri" w:cs="Calibri"/>
          <w:b/>
          <w:bCs/>
        </w:rPr>
        <w:t>.</w:t>
      </w:r>
    </w:p>
    <w:p w14:paraId="4F9344EA" w14:textId="3782FC06" w:rsidR="00AD4944" w:rsidRPr="00F657F5" w:rsidRDefault="00AD4944" w:rsidP="00A24B74">
      <w:pPr>
        <w:pStyle w:val="regpar"/>
        <w:numPr>
          <w:ilvl w:val="0"/>
          <w:numId w:val="2"/>
        </w:numPr>
        <w:tabs>
          <w:tab w:val="clear" w:pos="720"/>
          <w:tab w:val="num" w:pos="360"/>
        </w:tabs>
        <w:ind w:left="360"/>
        <w:rPr>
          <w:rFonts w:ascii="Calibri" w:hAnsi="Calibri" w:cs="Calibri"/>
          <w:b/>
          <w:bCs/>
        </w:rPr>
      </w:pPr>
      <w:r w:rsidRPr="00F657F5">
        <w:rPr>
          <w:rFonts w:ascii="Calibri" w:hAnsi="Calibri" w:cs="Calibri"/>
          <w:b/>
          <w:bCs/>
        </w:rPr>
        <w:t xml:space="preserve">In the </w:t>
      </w:r>
      <w:r w:rsidR="0083537E" w:rsidRPr="00F657F5">
        <w:rPr>
          <w:rFonts w:ascii="Calibri" w:hAnsi="Calibri" w:cs="Calibri"/>
          <w:b/>
          <w:bCs/>
        </w:rPr>
        <w:t>first</w:t>
      </w:r>
      <w:r w:rsidRPr="00F657F5">
        <w:rPr>
          <w:rFonts w:ascii="Calibri" w:hAnsi="Calibri" w:cs="Calibri"/>
          <w:b/>
          <w:bCs/>
        </w:rPr>
        <w:t xml:space="preserve"> quarter of 202</w:t>
      </w:r>
      <w:r w:rsidR="00905DC2" w:rsidRPr="00F657F5">
        <w:rPr>
          <w:rFonts w:ascii="Calibri" w:hAnsi="Calibri" w:cs="Calibri"/>
          <w:b/>
          <w:bCs/>
        </w:rPr>
        <w:t>5</w:t>
      </w:r>
      <w:r w:rsidRPr="00F657F5">
        <w:rPr>
          <w:rFonts w:ascii="Calibri" w:hAnsi="Calibri" w:cs="Calibri"/>
          <w:b/>
          <w:bCs/>
        </w:rPr>
        <w:t>, the balance of assets held abroad by Israeli residents increased by approximately</w:t>
      </w:r>
      <w:r w:rsidR="00FE372D" w:rsidRPr="00F657F5">
        <w:rPr>
          <w:rFonts w:ascii="Calibri" w:hAnsi="Calibri" w:cs="Calibri"/>
          <w:b/>
          <w:bCs/>
        </w:rPr>
        <w:t xml:space="preserve"> </w:t>
      </w:r>
      <w:r w:rsidRPr="00F657F5">
        <w:rPr>
          <w:rFonts w:ascii="Calibri" w:hAnsi="Calibri" w:cs="Calibri"/>
          <w:b/>
          <w:bCs/>
        </w:rPr>
        <w:t>$</w:t>
      </w:r>
      <w:r w:rsidR="00905DC2" w:rsidRPr="00F657F5">
        <w:rPr>
          <w:rFonts w:ascii="Calibri" w:hAnsi="Calibri" w:cs="Calibri"/>
          <w:b/>
          <w:bCs/>
        </w:rPr>
        <w:t xml:space="preserve">3.3 </w:t>
      </w:r>
      <w:r w:rsidRPr="00F657F5">
        <w:rPr>
          <w:rFonts w:ascii="Calibri" w:hAnsi="Calibri" w:cs="Calibri"/>
          <w:b/>
          <w:bCs/>
        </w:rPr>
        <w:t>billion (about 0.4 percent), to about $77</w:t>
      </w:r>
      <w:r w:rsidR="00F50DA4" w:rsidRPr="00F657F5">
        <w:rPr>
          <w:rFonts w:ascii="Calibri" w:hAnsi="Calibri" w:cs="Calibri"/>
          <w:b/>
          <w:bCs/>
        </w:rPr>
        <w:t>9</w:t>
      </w:r>
      <w:r w:rsidRPr="00F657F5">
        <w:rPr>
          <w:rFonts w:ascii="Calibri" w:hAnsi="Calibri" w:cs="Calibri"/>
          <w:b/>
          <w:bCs/>
        </w:rPr>
        <w:t xml:space="preserve"> billion at the end of </w:t>
      </w:r>
      <w:r w:rsidR="00905DC2" w:rsidRPr="00F657F5">
        <w:rPr>
          <w:rFonts w:ascii="Calibri" w:hAnsi="Calibri" w:cs="Calibri"/>
          <w:b/>
          <w:bCs/>
        </w:rPr>
        <w:t>March</w:t>
      </w:r>
      <w:r w:rsidRPr="00F657F5">
        <w:rPr>
          <w:rFonts w:ascii="Calibri" w:hAnsi="Calibri" w:cs="Calibri"/>
          <w:b/>
          <w:bCs/>
        </w:rPr>
        <w:t xml:space="preserve">. The increase was mainly due to net investments abroad by Israeli residents and </w:t>
      </w:r>
      <w:r w:rsidR="00F50DA4" w:rsidRPr="00F657F5">
        <w:rPr>
          <w:rFonts w:ascii="Calibri" w:hAnsi="Calibri" w:cs="Calibri"/>
          <w:b/>
          <w:bCs/>
        </w:rPr>
        <w:t>weak</w:t>
      </w:r>
      <w:r w:rsidR="008D23F0" w:rsidRPr="00F657F5">
        <w:rPr>
          <w:rFonts w:ascii="Calibri" w:hAnsi="Calibri" w:cs="Calibri"/>
          <w:b/>
          <w:bCs/>
        </w:rPr>
        <w:t xml:space="preserve">ening </w:t>
      </w:r>
      <w:r w:rsidR="00A24B74" w:rsidRPr="00F657F5">
        <w:rPr>
          <w:rFonts w:ascii="Calibri" w:hAnsi="Calibri" w:cs="Calibri"/>
          <w:b/>
          <w:bCs/>
        </w:rPr>
        <w:t xml:space="preserve">of </w:t>
      </w:r>
      <w:r w:rsidR="00F50DA4" w:rsidRPr="00F657F5">
        <w:rPr>
          <w:rFonts w:ascii="Calibri" w:hAnsi="Calibri" w:cs="Calibri"/>
          <w:b/>
          <w:bCs/>
        </w:rPr>
        <w:t xml:space="preserve">the dollar vis-à-vis other currencies. In contrast there was a decline in </w:t>
      </w:r>
      <w:r w:rsidRPr="00F657F5">
        <w:rPr>
          <w:rFonts w:ascii="Calibri" w:hAnsi="Calibri" w:cs="Calibri"/>
          <w:b/>
          <w:bCs/>
        </w:rPr>
        <w:t>the prices of foreign securities held by Israeli residents.</w:t>
      </w:r>
    </w:p>
    <w:p w14:paraId="325A19BE" w14:textId="77777777" w:rsidR="003F2609" w:rsidRPr="00F657F5" w:rsidRDefault="00EA635A" w:rsidP="003F2609">
      <w:pPr>
        <w:pStyle w:val="regpar"/>
        <w:numPr>
          <w:ilvl w:val="0"/>
          <w:numId w:val="2"/>
        </w:numPr>
        <w:tabs>
          <w:tab w:val="clear" w:pos="720"/>
          <w:tab w:val="num" w:pos="360"/>
        </w:tabs>
        <w:ind w:left="360"/>
        <w:rPr>
          <w:rFonts w:ascii="Calibri" w:hAnsi="Calibri" w:cs="Calibri"/>
          <w:b/>
          <w:bCs/>
        </w:rPr>
      </w:pPr>
      <w:r w:rsidRPr="00F657F5">
        <w:rPr>
          <w:rFonts w:ascii="Calibri" w:hAnsi="Calibri" w:cs="Calibri"/>
          <w:b/>
          <w:bCs/>
        </w:rPr>
        <w:t xml:space="preserve">During the first quarter, </w:t>
      </w:r>
      <w:r w:rsidR="003F2609" w:rsidRPr="00F657F5">
        <w:rPr>
          <w:rFonts w:ascii="Calibri" w:hAnsi="Calibri" w:cs="Calibri"/>
          <w:b/>
          <w:bCs/>
        </w:rPr>
        <w:t xml:space="preserve">there were sharp declines in the prices of securities worldwide and in Israel. These declines caused a decline in the balance of the economy’s </w:t>
      </w:r>
      <w:r w:rsidR="00173F17" w:rsidRPr="00F657F5">
        <w:rPr>
          <w:rFonts w:ascii="Calibri" w:hAnsi="Calibri" w:cs="Calibri"/>
          <w:b/>
          <w:bCs/>
        </w:rPr>
        <w:t xml:space="preserve">liabilities </w:t>
      </w:r>
      <w:r w:rsidR="003F2609" w:rsidRPr="00F657F5">
        <w:rPr>
          <w:rFonts w:ascii="Calibri" w:hAnsi="Calibri" w:cs="Calibri"/>
          <w:b/>
          <w:bCs/>
        </w:rPr>
        <w:t>and also reduced the economy’s asset balance.</w:t>
      </w:r>
    </w:p>
    <w:p w14:paraId="1FEBAC53" w14:textId="040AB664" w:rsidR="003F2609" w:rsidRPr="00F657F5" w:rsidRDefault="003F2609" w:rsidP="00163004">
      <w:pPr>
        <w:pStyle w:val="regpar"/>
        <w:numPr>
          <w:ilvl w:val="0"/>
          <w:numId w:val="2"/>
        </w:numPr>
        <w:tabs>
          <w:tab w:val="clear" w:pos="720"/>
          <w:tab w:val="num" w:pos="360"/>
        </w:tabs>
        <w:ind w:left="360"/>
        <w:rPr>
          <w:rFonts w:ascii="Calibri" w:hAnsi="Calibri" w:cs="Calibri"/>
          <w:b/>
          <w:bCs/>
        </w:rPr>
      </w:pPr>
      <w:r w:rsidRPr="00F657F5">
        <w:rPr>
          <w:rFonts w:ascii="Calibri" w:hAnsi="Calibri" w:cs="Calibri"/>
          <w:b/>
          <w:bCs/>
        </w:rPr>
        <w:t>The surplus of assets over liabilities vis-à-vis abroad increased during the first quarter of 2025 by $4.2 billion (1.9 percent), to about $226 billion at its end.</w:t>
      </w:r>
    </w:p>
    <w:p w14:paraId="3E69F270" w14:textId="770E4188" w:rsidR="00200E59" w:rsidRPr="00F657F5" w:rsidRDefault="00200E59" w:rsidP="003F2609">
      <w:pPr>
        <w:pStyle w:val="regpar"/>
        <w:numPr>
          <w:ilvl w:val="0"/>
          <w:numId w:val="2"/>
        </w:numPr>
        <w:tabs>
          <w:tab w:val="clear" w:pos="720"/>
          <w:tab w:val="num" w:pos="360"/>
        </w:tabs>
        <w:ind w:left="360"/>
        <w:rPr>
          <w:rFonts w:ascii="Calibri" w:hAnsi="Calibri" w:cs="Calibri"/>
          <w:b/>
          <w:bCs/>
        </w:rPr>
      </w:pPr>
      <w:r w:rsidRPr="00F657F5">
        <w:rPr>
          <w:rFonts w:ascii="Calibri" w:hAnsi="Calibri" w:cs="Calibri"/>
          <w:b/>
          <w:bCs/>
        </w:rPr>
        <w:t xml:space="preserve">The surplus of assets over liabilities vis-à-vis abroad in debt instruments alone (negative net external debt) </w:t>
      </w:r>
      <w:r w:rsidR="003F2609" w:rsidRPr="00F657F5">
        <w:rPr>
          <w:rFonts w:ascii="Calibri" w:hAnsi="Calibri" w:cs="Calibri"/>
          <w:b/>
          <w:bCs/>
        </w:rPr>
        <w:t>in</w:t>
      </w:r>
      <w:r w:rsidR="008E329E" w:rsidRPr="00F657F5">
        <w:rPr>
          <w:rFonts w:ascii="Calibri" w:hAnsi="Calibri" w:cs="Calibri"/>
          <w:b/>
          <w:bCs/>
        </w:rPr>
        <w:t xml:space="preserve">creased </w:t>
      </w:r>
      <w:r w:rsidR="00387365" w:rsidRPr="00F657F5">
        <w:rPr>
          <w:rFonts w:ascii="Calibri" w:hAnsi="Calibri" w:cs="Calibri"/>
          <w:b/>
          <w:bCs/>
        </w:rPr>
        <w:t>by about $</w:t>
      </w:r>
      <w:r w:rsidR="003F2609" w:rsidRPr="00F657F5">
        <w:rPr>
          <w:rFonts w:ascii="Calibri" w:hAnsi="Calibri" w:cs="Calibri"/>
          <w:b/>
          <w:bCs/>
        </w:rPr>
        <w:t xml:space="preserve">5.8 </w:t>
      </w:r>
      <w:r w:rsidR="00387365" w:rsidRPr="00F657F5">
        <w:rPr>
          <w:rFonts w:ascii="Calibri" w:hAnsi="Calibri" w:cs="Calibri"/>
          <w:b/>
          <w:bCs/>
        </w:rPr>
        <w:t>billion (</w:t>
      </w:r>
      <w:r w:rsidR="00163004" w:rsidRPr="00F657F5">
        <w:rPr>
          <w:rFonts w:ascii="Calibri" w:hAnsi="Calibri" w:cs="Calibri"/>
          <w:b/>
          <w:bCs/>
        </w:rPr>
        <w:t>2.</w:t>
      </w:r>
      <w:r w:rsidR="003F2609" w:rsidRPr="00F657F5">
        <w:rPr>
          <w:rFonts w:ascii="Calibri" w:hAnsi="Calibri" w:cs="Calibri"/>
          <w:b/>
          <w:bCs/>
        </w:rPr>
        <w:t>1</w:t>
      </w:r>
      <w:r w:rsidR="00163004" w:rsidRPr="00F657F5">
        <w:rPr>
          <w:rFonts w:ascii="Calibri" w:hAnsi="Calibri" w:cs="Calibri"/>
          <w:b/>
          <w:bCs/>
        </w:rPr>
        <w:t xml:space="preserve"> </w:t>
      </w:r>
      <w:r w:rsidR="00387365" w:rsidRPr="00F657F5">
        <w:rPr>
          <w:rFonts w:ascii="Calibri" w:hAnsi="Calibri" w:cs="Calibri"/>
          <w:b/>
          <w:bCs/>
        </w:rPr>
        <w:t>percent)</w:t>
      </w:r>
      <w:r w:rsidR="000027EA" w:rsidRPr="00F657F5">
        <w:rPr>
          <w:rFonts w:ascii="Calibri" w:hAnsi="Calibri" w:cs="Calibri"/>
          <w:b/>
          <w:bCs/>
        </w:rPr>
        <w:t xml:space="preserve"> during the </w:t>
      </w:r>
      <w:r w:rsidR="0083537E" w:rsidRPr="00F657F5">
        <w:rPr>
          <w:rFonts w:ascii="Calibri" w:hAnsi="Calibri" w:cs="Calibri"/>
          <w:b/>
          <w:bCs/>
        </w:rPr>
        <w:t>first</w:t>
      </w:r>
      <w:r w:rsidR="007A6A15" w:rsidRPr="00F657F5">
        <w:rPr>
          <w:rFonts w:ascii="Calibri" w:hAnsi="Calibri" w:cs="Calibri"/>
          <w:b/>
          <w:bCs/>
        </w:rPr>
        <w:t xml:space="preserve"> quarter</w:t>
      </w:r>
      <w:r w:rsidR="001743E0" w:rsidRPr="00F657F5">
        <w:rPr>
          <w:rFonts w:ascii="Calibri" w:hAnsi="Calibri" w:cs="Calibri"/>
          <w:b/>
          <w:bCs/>
        </w:rPr>
        <w:t xml:space="preserve">, </w:t>
      </w:r>
      <w:r w:rsidR="00526B66" w:rsidRPr="00F657F5">
        <w:rPr>
          <w:rFonts w:ascii="Calibri" w:hAnsi="Calibri" w:cs="Calibri"/>
          <w:b/>
          <w:bCs/>
        </w:rPr>
        <w:t xml:space="preserve">to </w:t>
      </w:r>
      <w:r w:rsidR="0005434B" w:rsidRPr="00F657F5">
        <w:rPr>
          <w:rFonts w:ascii="Calibri" w:hAnsi="Calibri" w:cs="Calibri"/>
          <w:b/>
          <w:bCs/>
        </w:rPr>
        <w:t xml:space="preserve">approximately </w:t>
      </w:r>
      <w:r w:rsidRPr="00F657F5">
        <w:rPr>
          <w:rFonts w:ascii="Calibri" w:hAnsi="Calibri" w:cs="Calibri"/>
          <w:b/>
          <w:bCs/>
        </w:rPr>
        <w:t>$</w:t>
      </w:r>
      <w:r w:rsidR="003F2609" w:rsidRPr="00F657F5">
        <w:rPr>
          <w:rFonts w:ascii="Calibri" w:hAnsi="Calibri" w:cs="Calibri"/>
          <w:b/>
          <w:bCs/>
        </w:rPr>
        <w:t xml:space="preserve">285 </w:t>
      </w:r>
      <w:r w:rsidR="00DC727C" w:rsidRPr="00F657F5">
        <w:rPr>
          <w:rFonts w:ascii="Calibri" w:hAnsi="Calibri" w:cs="Calibri"/>
          <w:b/>
          <w:bCs/>
        </w:rPr>
        <w:t>billion</w:t>
      </w:r>
      <w:r w:rsidR="00487293" w:rsidRPr="00F657F5">
        <w:rPr>
          <w:rFonts w:ascii="Calibri" w:hAnsi="Calibri" w:cs="Calibri"/>
          <w:b/>
          <w:bCs/>
        </w:rPr>
        <w:t xml:space="preserve"> at </w:t>
      </w:r>
      <w:r w:rsidR="00387365" w:rsidRPr="00F657F5">
        <w:rPr>
          <w:rFonts w:ascii="Calibri" w:hAnsi="Calibri" w:cs="Calibri"/>
          <w:b/>
          <w:bCs/>
        </w:rPr>
        <w:t xml:space="preserve">the end of </w:t>
      </w:r>
      <w:r w:rsidR="003F2609" w:rsidRPr="00F657F5">
        <w:rPr>
          <w:rFonts w:ascii="Calibri" w:hAnsi="Calibri" w:cs="Calibri"/>
          <w:b/>
          <w:bCs/>
        </w:rPr>
        <w:t>first quarter</w:t>
      </w:r>
      <w:r w:rsidR="00542CEF" w:rsidRPr="00F657F5">
        <w:rPr>
          <w:rFonts w:ascii="Calibri" w:hAnsi="Calibri" w:cs="Calibri"/>
          <w:b/>
          <w:bCs/>
        </w:rPr>
        <w:t>.</w:t>
      </w:r>
    </w:p>
    <w:p w14:paraId="01867DB2" w14:textId="7FEBFFA4" w:rsidR="00526B66" w:rsidRPr="00F657F5" w:rsidRDefault="00526B66" w:rsidP="00436D2A">
      <w:pPr>
        <w:pStyle w:val="regpar"/>
        <w:numPr>
          <w:ilvl w:val="0"/>
          <w:numId w:val="2"/>
        </w:numPr>
        <w:tabs>
          <w:tab w:val="clear" w:pos="720"/>
          <w:tab w:val="num" w:pos="360"/>
        </w:tabs>
        <w:ind w:left="360"/>
        <w:rPr>
          <w:rFonts w:ascii="Calibri" w:hAnsi="Calibri" w:cs="Calibri"/>
          <w:b/>
          <w:bCs/>
        </w:rPr>
      </w:pPr>
      <w:r w:rsidRPr="00F657F5">
        <w:rPr>
          <w:rFonts w:ascii="Calibri" w:hAnsi="Calibri" w:cs="Calibri"/>
          <w:b/>
          <w:bCs/>
        </w:rPr>
        <w:t xml:space="preserve">The ratio of gross external debt to GDP </w:t>
      </w:r>
      <w:r w:rsidR="00163004" w:rsidRPr="00F657F5">
        <w:rPr>
          <w:rFonts w:ascii="Calibri" w:hAnsi="Calibri" w:cs="Calibri"/>
          <w:b/>
          <w:bCs/>
        </w:rPr>
        <w:t xml:space="preserve">declined </w:t>
      </w:r>
      <w:r w:rsidR="00D16998" w:rsidRPr="00F657F5">
        <w:rPr>
          <w:rFonts w:ascii="Calibri" w:hAnsi="Calibri" w:cs="Calibri"/>
          <w:b/>
          <w:bCs/>
        </w:rPr>
        <w:t xml:space="preserve">by about </w:t>
      </w:r>
      <w:r w:rsidR="007A6A15" w:rsidRPr="00F657F5">
        <w:rPr>
          <w:rFonts w:ascii="Calibri" w:hAnsi="Calibri" w:cs="Calibri"/>
          <w:b/>
          <w:bCs/>
        </w:rPr>
        <w:t>0.</w:t>
      </w:r>
      <w:r w:rsidR="00436D2A" w:rsidRPr="00F657F5">
        <w:rPr>
          <w:rFonts w:ascii="Calibri" w:hAnsi="Calibri" w:cs="Calibri"/>
          <w:b/>
          <w:bCs/>
        </w:rPr>
        <w:t>4</w:t>
      </w:r>
      <w:r w:rsidR="00D16998" w:rsidRPr="00F657F5">
        <w:rPr>
          <w:rFonts w:ascii="Calibri" w:hAnsi="Calibri" w:cs="Calibri"/>
          <w:b/>
          <w:bCs/>
        </w:rPr>
        <w:t xml:space="preserve"> percentage points </w:t>
      </w:r>
      <w:r w:rsidR="00B119F0" w:rsidRPr="00F657F5">
        <w:rPr>
          <w:rFonts w:ascii="Calibri" w:hAnsi="Calibri" w:cs="Calibri"/>
          <w:b/>
          <w:bCs/>
        </w:rPr>
        <w:t xml:space="preserve">in </w:t>
      </w:r>
      <w:r w:rsidRPr="00F657F5">
        <w:rPr>
          <w:rFonts w:ascii="Calibri" w:hAnsi="Calibri" w:cs="Calibri"/>
          <w:b/>
          <w:bCs/>
        </w:rPr>
        <w:t xml:space="preserve">the </w:t>
      </w:r>
      <w:r w:rsidR="0083537E" w:rsidRPr="00F657F5">
        <w:rPr>
          <w:rFonts w:ascii="Calibri" w:hAnsi="Calibri" w:cs="Calibri"/>
          <w:b/>
          <w:bCs/>
        </w:rPr>
        <w:t>first</w:t>
      </w:r>
      <w:r w:rsidR="007A6A15" w:rsidRPr="00F657F5">
        <w:rPr>
          <w:rFonts w:ascii="Calibri" w:hAnsi="Calibri" w:cs="Calibri"/>
          <w:b/>
          <w:bCs/>
        </w:rPr>
        <w:t xml:space="preserve"> quarter</w:t>
      </w:r>
      <w:r w:rsidRPr="00F657F5">
        <w:rPr>
          <w:rFonts w:ascii="Calibri" w:hAnsi="Calibri" w:cs="Calibri"/>
          <w:b/>
          <w:bCs/>
        </w:rPr>
        <w:t xml:space="preserve">, </w:t>
      </w:r>
      <w:r w:rsidR="00D16998" w:rsidRPr="00F657F5">
        <w:rPr>
          <w:rFonts w:ascii="Calibri" w:hAnsi="Calibri" w:cs="Calibri"/>
          <w:b/>
          <w:bCs/>
        </w:rPr>
        <w:t>to</w:t>
      </w:r>
      <w:r w:rsidR="00B119F0" w:rsidRPr="00F657F5">
        <w:rPr>
          <w:rFonts w:ascii="Calibri" w:hAnsi="Calibri" w:cs="Calibri"/>
          <w:b/>
          <w:bCs/>
        </w:rPr>
        <w:t xml:space="preserve"> </w:t>
      </w:r>
      <w:r w:rsidR="005E0707" w:rsidRPr="00F657F5">
        <w:rPr>
          <w:rFonts w:ascii="Calibri" w:hAnsi="Calibri" w:cs="Calibri"/>
          <w:b/>
          <w:bCs/>
        </w:rPr>
        <w:t xml:space="preserve">about </w:t>
      </w:r>
      <w:r w:rsidR="007A6A15" w:rsidRPr="00F657F5">
        <w:rPr>
          <w:rFonts w:ascii="Calibri" w:hAnsi="Calibri" w:cs="Calibri"/>
          <w:b/>
          <w:bCs/>
        </w:rPr>
        <w:t>2</w:t>
      </w:r>
      <w:r w:rsidR="00163004" w:rsidRPr="00F657F5">
        <w:rPr>
          <w:rFonts w:ascii="Calibri" w:hAnsi="Calibri" w:cs="Calibri"/>
          <w:b/>
          <w:bCs/>
        </w:rPr>
        <w:t>7</w:t>
      </w:r>
      <w:r w:rsidR="00D53A7A" w:rsidRPr="00F657F5">
        <w:rPr>
          <w:rFonts w:ascii="Calibri" w:hAnsi="Calibri" w:cs="Calibri"/>
          <w:b/>
          <w:bCs/>
        </w:rPr>
        <w:t xml:space="preserve"> </w:t>
      </w:r>
      <w:r w:rsidRPr="00F657F5">
        <w:rPr>
          <w:rFonts w:ascii="Calibri" w:hAnsi="Calibri" w:cs="Calibri"/>
          <w:b/>
          <w:bCs/>
        </w:rPr>
        <w:t xml:space="preserve">percent at the end of </w:t>
      </w:r>
      <w:r w:rsidR="00436D2A" w:rsidRPr="00F657F5">
        <w:rPr>
          <w:rFonts w:ascii="Calibri" w:hAnsi="Calibri" w:cs="Calibri"/>
          <w:b/>
          <w:bCs/>
        </w:rPr>
        <w:t>March</w:t>
      </w:r>
      <w:r w:rsidRPr="00F657F5">
        <w:rPr>
          <w:rFonts w:ascii="Calibri" w:hAnsi="Calibri" w:cs="Calibri"/>
          <w:b/>
          <w:bCs/>
        </w:rPr>
        <w:t>.</w:t>
      </w:r>
    </w:p>
    <w:p w14:paraId="2C1FBC90" w14:textId="78E97972" w:rsidR="00CC7A1F" w:rsidRPr="00F657F5" w:rsidRDefault="00CC7A1F" w:rsidP="00CC7A1F">
      <w:pPr>
        <w:pStyle w:val="regpar"/>
        <w:rPr>
          <w:rFonts w:ascii="Calibri" w:hAnsi="Calibri" w:cs="Calibri"/>
          <w:b/>
          <w:bCs/>
        </w:rPr>
      </w:pPr>
    </w:p>
    <w:p w14:paraId="0F7BA786" w14:textId="77777777" w:rsidR="00903E7A" w:rsidRPr="00F657F5" w:rsidRDefault="00200E59" w:rsidP="00200E59">
      <w:pPr>
        <w:pStyle w:val="regpar"/>
        <w:ind w:left="360" w:firstLine="0"/>
        <w:rPr>
          <w:rFonts w:ascii="Calibri" w:hAnsi="Calibri" w:cs="Calibri"/>
          <w:b/>
          <w:bCs/>
        </w:rPr>
      </w:pPr>
      <w:r w:rsidRPr="00F657F5">
        <w:rPr>
          <w:rFonts w:ascii="Calibri" w:hAnsi="Calibri" w:cs="Calibri"/>
          <w:b/>
          <w:bCs/>
        </w:rPr>
        <w:t xml:space="preserve"> </w:t>
      </w:r>
    </w:p>
    <w:p w14:paraId="0F68A601" w14:textId="77777777" w:rsidR="00B736AD" w:rsidRPr="00F657F5" w:rsidRDefault="00B736AD">
      <w:pPr>
        <w:bidi w:val="0"/>
        <w:rPr>
          <w:rFonts w:ascii="Calibri" w:hAnsi="Calibri" w:cs="Calibri"/>
          <w:b/>
          <w:bCs/>
        </w:rPr>
      </w:pPr>
    </w:p>
    <w:p w14:paraId="15D67598" w14:textId="733D3D61" w:rsidR="00903E7A" w:rsidRPr="00F657F5" w:rsidRDefault="00903E7A" w:rsidP="00B736AD">
      <w:pPr>
        <w:bidi w:val="0"/>
        <w:rPr>
          <w:rFonts w:ascii="Calibri" w:hAnsi="Calibri" w:cs="Calibri"/>
          <w:b/>
          <w:bCs/>
        </w:rPr>
      </w:pPr>
      <w:r w:rsidRPr="00F657F5">
        <w:rPr>
          <w:rFonts w:ascii="Calibri" w:hAnsi="Calibri" w:cs="Calibri"/>
          <w:b/>
          <w:bCs/>
        </w:rPr>
        <w:br w:type="page"/>
      </w:r>
    </w:p>
    <w:p w14:paraId="5F6A0300" w14:textId="77777777" w:rsidR="00DD15DC" w:rsidRPr="00F657F5" w:rsidRDefault="00DD15DC" w:rsidP="00200E59">
      <w:pPr>
        <w:pStyle w:val="regpar"/>
        <w:ind w:left="360" w:firstLine="0"/>
        <w:rPr>
          <w:rFonts w:ascii="Calibri" w:hAnsi="Calibri" w:cs="Calibri"/>
          <w:b/>
          <w:bCs/>
        </w:rPr>
      </w:pPr>
    </w:p>
    <w:p w14:paraId="0101F0BB" w14:textId="77777777" w:rsidR="00FD7D38" w:rsidRPr="00F657F5" w:rsidRDefault="00FD7D38" w:rsidP="00597DAB">
      <w:pPr>
        <w:pStyle w:val="af3"/>
        <w:rPr>
          <w:rFonts w:ascii="Calibri" w:hAnsi="Calibri" w:cs="Calibri"/>
          <w:u w:val="none"/>
          <w:rtl/>
        </w:rPr>
      </w:pPr>
      <w:r w:rsidRPr="00F657F5">
        <w:rPr>
          <w:rFonts w:ascii="Calibri" w:hAnsi="Calibri" w:cs="Calibri"/>
          <w:u w:val="none"/>
        </w:rPr>
        <w:t xml:space="preserve">Table 1: Asset and liability balances, and changes </w:t>
      </w:r>
      <w:r w:rsidR="0064729F" w:rsidRPr="00F657F5">
        <w:rPr>
          <w:rFonts w:ascii="Calibri" w:hAnsi="Calibri" w:cs="Calibri"/>
          <w:u w:val="none"/>
        </w:rPr>
        <w:t>in them</w:t>
      </w:r>
    </w:p>
    <w:p w14:paraId="427CE9EF" w14:textId="77777777" w:rsidR="00DD15DC" w:rsidRPr="00F657F5" w:rsidRDefault="00DD15DC" w:rsidP="00DD15DC">
      <w:pPr>
        <w:pStyle w:val="regpar"/>
        <w:ind w:firstLine="0"/>
        <w:rPr>
          <w:rFonts w:ascii="Calibri" w:hAnsi="Calibri" w:cs="Calibri"/>
          <w:b/>
          <w:bCs/>
        </w:rPr>
      </w:pPr>
    </w:p>
    <w:p w14:paraId="787E4603" w14:textId="4D9A6613" w:rsidR="00903E7A" w:rsidRPr="00F657F5" w:rsidRDefault="00894E6B" w:rsidP="00894E6B">
      <w:pPr>
        <w:autoSpaceDE w:val="0"/>
        <w:autoSpaceDN w:val="0"/>
        <w:adjustRightInd w:val="0"/>
        <w:ind w:left="-477"/>
        <w:jc w:val="center"/>
        <w:rPr>
          <w:rFonts w:ascii="Calibri" w:hAnsi="Calibri" w:cs="Calibri"/>
          <w:rtl/>
        </w:rPr>
      </w:pPr>
      <w:r w:rsidRPr="00F657F5">
        <w:rPr>
          <w:rFonts w:ascii="Calibri" w:hAnsi="Calibri" w:cs="Calibri"/>
          <w:noProof/>
          <w:rtl/>
        </w:rPr>
        <w:drawing>
          <wp:inline distT="0" distB="0" distL="0" distR="0" wp14:anchorId="26063C76" wp14:editId="374ABD12">
            <wp:extent cx="6367402" cy="2886075"/>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0931" cy="2896740"/>
                    </a:xfrm>
                    <a:prstGeom prst="rect">
                      <a:avLst/>
                    </a:prstGeom>
                    <a:noFill/>
                    <a:ln>
                      <a:noFill/>
                    </a:ln>
                  </pic:spPr>
                </pic:pic>
              </a:graphicData>
            </a:graphic>
          </wp:inline>
        </w:drawing>
      </w:r>
    </w:p>
    <w:p w14:paraId="3DF992B1" w14:textId="7BC11200" w:rsidR="00894E6B" w:rsidRPr="00F657F5" w:rsidRDefault="00894E6B" w:rsidP="00DD15DC">
      <w:pPr>
        <w:pStyle w:val="regpar"/>
        <w:ind w:firstLine="0"/>
        <w:rPr>
          <w:rFonts w:ascii="Calibri" w:hAnsi="Calibri" w:cs="Calibri"/>
          <w:b/>
          <w:bCs/>
        </w:rPr>
      </w:pPr>
    </w:p>
    <w:p w14:paraId="7A534946" w14:textId="6B1119D3" w:rsidR="00763F37" w:rsidRPr="00F657F5" w:rsidRDefault="00763F37" w:rsidP="003020E4">
      <w:pPr>
        <w:pStyle w:val="regpar"/>
        <w:numPr>
          <w:ilvl w:val="0"/>
          <w:numId w:val="4"/>
        </w:numPr>
        <w:rPr>
          <w:rFonts w:ascii="Calibri" w:hAnsi="Calibri" w:cs="Calibri"/>
          <w:b/>
          <w:bCs/>
        </w:rPr>
      </w:pPr>
      <w:r w:rsidRPr="00F657F5">
        <w:rPr>
          <w:rFonts w:ascii="Calibri" w:hAnsi="Calibri" w:cs="Calibri"/>
          <w:b/>
          <w:bCs/>
        </w:rPr>
        <w:t>The</w:t>
      </w:r>
      <w:r w:rsidR="003020E4" w:rsidRPr="00F657F5">
        <w:rPr>
          <w:rFonts w:ascii="Calibri" w:hAnsi="Calibri" w:cs="Calibri"/>
          <w:b/>
          <w:bCs/>
        </w:rPr>
        <w:t xml:space="preserve"> balance</w:t>
      </w:r>
      <w:r w:rsidRPr="00F657F5">
        <w:rPr>
          <w:rFonts w:ascii="Calibri" w:hAnsi="Calibri" w:cs="Calibri"/>
          <w:b/>
          <w:bCs/>
        </w:rPr>
        <w:t xml:space="preserve"> of Israel</w:t>
      </w:r>
      <w:r w:rsidR="0080040C" w:rsidRPr="00F657F5">
        <w:rPr>
          <w:rFonts w:ascii="Calibri" w:hAnsi="Calibri" w:cs="Calibri"/>
          <w:b/>
          <w:bCs/>
        </w:rPr>
        <w:t>i</w:t>
      </w:r>
      <w:r w:rsidRPr="00F657F5">
        <w:rPr>
          <w:rFonts w:ascii="Calibri" w:hAnsi="Calibri" w:cs="Calibri"/>
          <w:b/>
          <w:bCs/>
        </w:rPr>
        <w:t>s</w:t>
      </w:r>
      <w:r w:rsidR="0080040C" w:rsidRPr="00F657F5">
        <w:rPr>
          <w:rFonts w:ascii="Calibri" w:hAnsi="Calibri" w:cs="Calibri"/>
          <w:b/>
          <w:bCs/>
        </w:rPr>
        <w:t>’</w:t>
      </w:r>
      <w:r w:rsidRPr="00F657F5">
        <w:rPr>
          <w:rFonts w:ascii="Calibri" w:hAnsi="Calibri" w:cs="Calibri"/>
          <w:b/>
          <w:bCs/>
        </w:rPr>
        <w:t xml:space="preserve"> assets abroad</w:t>
      </w:r>
    </w:p>
    <w:p w14:paraId="682EEA94" w14:textId="62C84B79" w:rsidR="00C45BD6" w:rsidRPr="00F657F5" w:rsidRDefault="00793279" w:rsidP="007C4B98">
      <w:pPr>
        <w:pStyle w:val="regpar"/>
        <w:ind w:firstLine="0"/>
        <w:rPr>
          <w:rFonts w:ascii="Calibri" w:hAnsi="Calibri" w:cs="Calibri"/>
        </w:rPr>
      </w:pPr>
      <w:r w:rsidRPr="00F657F5">
        <w:rPr>
          <w:rFonts w:ascii="Calibri" w:hAnsi="Calibri" w:cs="Calibri"/>
        </w:rPr>
        <w:t xml:space="preserve">In the </w:t>
      </w:r>
      <w:r w:rsidR="0083537E" w:rsidRPr="00F657F5">
        <w:rPr>
          <w:rFonts w:ascii="Calibri" w:hAnsi="Calibri" w:cs="Calibri"/>
        </w:rPr>
        <w:t>first</w:t>
      </w:r>
      <w:r w:rsidR="007A6A15" w:rsidRPr="00F657F5">
        <w:rPr>
          <w:rFonts w:ascii="Calibri" w:hAnsi="Calibri" w:cs="Calibri"/>
        </w:rPr>
        <w:t xml:space="preserve"> quarter</w:t>
      </w:r>
      <w:r w:rsidR="00D2632C" w:rsidRPr="00F657F5">
        <w:rPr>
          <w:rFonts w:ascii="Calibri" w:hAnsi="Calibri" w:cs="Calibri"/>
        </w:rPr>
        <w:t xml:space="preserve"> of </w:t>
      </w:r>
      <w:r w:rsidR="007C4B98" w:rsidRPr="00F657F5">
        <w:rPr>
          <w:rFonts w:ascii="Calibri" w:hAnsi="Calibri" w:cs="Calibri"/>
        </w:rPr>
        <w:t>2025</w:t>
      </w:r>
      <w:r w:rsidRPr="00F657F5">
        <w:rPr>
          <w:rFonts w:ascii="Calibri" w:hAnsi="Calibri" w:cs="Calibri"/>
        </w:rPr>
        <w:t xml:space="preserve">, </w:t>
      </w:r>
      <w:r w:rsidR="005D04F7" w:rsidRPr="00F657F5">
        <w:rPr>
          <w:rFonts w:ascii="Calibri" w:hAnsi="Calibri" w:cs="Calibri"/>
        </w:rPr>
        <w:t xml:space="preserve">the </w:t>
      </w:r>
      <w:r w:rsidR="007B399E" w:rsidRPr="00F657F5">
        <w:rPr>
          <w:rFonts w:ascii="Calibri" w:hAnsi="Calibri" w:cs="Calibri"/>
        </w:rPr>
        <w:t xml:space="preserve">value of the </w:t>
      </w:r>
      <w:r w:rsidRPr="00F657F5">
        <w:rPr>
          <w:rFonts w:ascii="Calibri" w:hAnsi="Calibri" w:cs="Calibri"/>
        </w:rPr>
        <w:t xml:space="preserve">assets held abroad by Israeli residents </w:t>
      </w:r>
      <w:r w:rsidR="0043291D" w:rsidRPr="00F657F5">
        <w:rPr>
          <w:rFonts w:ascii="Calibri" w:hAnsi="Calibri" w:cs="Calibri"/>
        </w:rPr>
        <w:t xml:space="preserve">increased </w:t>
      </w:r>
      <w:r w:rsidRPr="00F657F5">
        <w:rPr>
          <w:rFonts w:ascii="Calibri" w:hAnsi="Calibri" w:cs="Calibri"/>
        </w:rPr>
        <w:t>by about $</w:t>
      </w:r>
      <w:r w:rsidR="007C4B98" w:rsidRPr="00F657F5">
        <w:rPr>
          <w:rFonts w:ascii="Calibri" w:hAnsi="Calibri" w:cs="Calibri"/>
        </w:rPr>
        <w:t xml:space="preserve">3.3 </w:t>
      </w:r>
      <w:r w:rsidRPr="00F657F5">
        <w:rPr>
          <w:rFonts w:ascii="Calibri" w:hAnsi="Calibri" w:cs="Calibri"/>
        </w:rPr>
        <w:t>billion (</w:t>
      </w:r>
      <w:r w:rsidR="00D16998" w:rsidRPr="00F657F5">
        <w:rPr>
          <w:rFonts w:ascii="Calibri" w:hAnsi="Calibri" w:cs="Calibri"/>
        </w:rPr>
        <w:t xml:space="preserve">about </w:t>
      </w:r>
      <w:r w:rsidR="00DF0FDD" w:rsidRPr="00F657F5">
        <w:rPr>
          <w:rFonts w:ascii="Calibri" w:hAnsi="Calibri" w:cs="Calibri"/>
        </w:rPr>
        <w:t xml:space="preserve">0.4 </w:t>
      </w:r>
      <w:r w:rsidRPr="00F657F5">
        <w:rPr>
          <w:rFonts w:ascii="Calibri" w:hAnsi="Calibri" w:cs="Calibri"/>
        </w:rPr>
        <w:t>percent)</w:t>
      </w:r>
      <w:r w:rsidR="00870CB5" w:rsidRPr="00F657F5">
        <w:rPr>
          <w:rFonts w:ascii="Calibri" w:hAnsi="Calibri" w:cs="Calibri"/>
        </w:rPr>
        <w:t>,</w:t>
      </w:r>
      <w:r w:rsidRPr="00F657F5">
        <w:rPr>
          <w:rFonts w:ascii="Calibri" w:hAnsi="Calibri" w:cs="Calibri"/>
        </w:rPr>
        <w:t xml:space="preserve"> to </w:t>
      </w:r>
      <w:r w:rsidR="00504BC5" w:rsidRPr="00F657F5">
        <w:rPr>
          <w:rFonts w:ascii="Calibri" w:hAnsi="Calibri" w:cs="Calibri"/>
        </w:rPr>
        <w:t xml:space="preserve">approximately </w:t>
      </w:r>
      <w:r w:rsidRPr="00F657F5">
        <w:rPr>
          <w:rFonts w:ascii="Calibri" w:hAnsi="Calibri" w:cs="Calibri"/>
        </w:rPr>
        <w:t>$</w:t>
      </w:r>
      <w:r w:rsidR="00DF0FDD" w:rsidRPr="00F657F5">
        <w:rPr>
          <w:rFonts w:ascii="Calibri" w:hAnsi="Calibri" w:cs="Calibri"/>
        </w:rPr>
        <w:t>77</w:t>
      </w:r>
      <w:r w:rsidR="007C4B98" w:rsidRPr="00F657F5">
        <w:rPr>
          <w:rFonts w:ascii="Calibri" w:hAnsi="Calibri" w:cs="Calibri"/>
        </w:rPr>
        <w:t xml:space="preserve">9 </w:t>
      </w:r>
      <w:r w:rsidR="00EC7931" w:rsidRPr="00F657F5">
        <w:rPr>
          <w:rFonts w:ascii="Calibri" w:hAnsi="Calibri" w:cs="Calibri"/>
        </w:rPr>
        <w:t>b</w:t>
      </w:r>
      <w:r w:rsidRPr="00F657F5">
        <w:rPr>
          <w:rFonts w:ascii="Calibri" w:hAnsi="Calibri" w:cs="Calibri"/>
        </w:rPr>
        <w:t xml:space="preserve">illion at the end of </w:t>
      </w:r>
      <w:r w:rsidR="007C4B98" w:rsidRPr="00F657F5">
        <w:rPr>
          <w:rFonts w:ascii="Calibri" w:hAnsi="Calibri" w:cs="Calibri"/>
        </w:rPr>
        <w:t>March</w:t>
      </w:r>
      <w:r w:rsidR="00517C50" w:rsidRPr="00F657F5">
        <w:rPr>
          <w:rFonts w:ascii="Calibri" w:hAnsi="Calibri" w:cs="Calibri"/>
        </w:rPr>
        <w:t xml:space="preserve">. </w:t>
      </w:r>
    </w:p>
    <w:p w14:paraId="324830E9" w14:textId="6F8BB7D2" w:rsidR="00C12D14" w:rsidRPr="00F657F5" w:rsidRDefault="00CA56A4" w:rsidP="0078330F">
      <w:pPr>
        <w:pStyle w:val="regpar"/>
        <w:numPr>
          <w:ilvl w:val="0"/>
          <w:numId w:val="6"/>
        </w:numPr>
        <w:ind w:left="426"/>
        <w:rPr>
          <w:rFonts w:ascii="Calibri" w:hAnsi="Calibri" w:cs="Calibri"/>
        </w:rPr>
      </w:pPr>
      <w:r w:rsidRPr="00F657F5">
        <w:rPr>
          <w:rFonts w:ascii="Calibri" w:hAnsi="Calibri" w:cs="Calibri"/>
          <w:b/>
          <w:bCs/>
        </w:rPr>
        <w:t>The value of direct investment</w:t>
      </w:r>
      <w:r w:rsidR="00B15E6B" w:rsidRPr="00F657F5">
        <w:rPr>
          <w:rFonts w:ascii="Calibri" w:hAnsi="Calibri" w:cs="Calibri"/>
          <w:b/>
          <w:bCs/>
        </w:rPr>
        <w:t>s</w:t>
      </w:r>
      <w:r w:rsidRPr="00F657F5">
        <w:rPr>
          <w:rFonts w:ascii="Calibri" w:hAnsi="Calibri" w:cs="Calibri"/>
          <w:b/>
          <w:bCs/>
        </w:rPr>
        <w:t xml:space="preserve"> </w:t>
      </w:r>
      <w:r w:rsidR="00272D24" w:rsidRPr="00F657F5">
        <w:rPr>
          <w:rFonts w:ascii="Calibri" w:hAnsi="Calibri" w:cs="Calibri"/>
        </w:rPr>
        <w:t>increased</w:t>
      </w:r>
      <w:r w:rsidR="00272D24" w:rsidRPr="00F657F5">
        <w:rPr>
          <w:rFonts w:ascii="Calibri" w:hAnsi="Calibri" w:cs="Calibri"/>
          <w:b/>
          <w:bCs/>
        </w:rPr>
        <w:t xml:space="preserve"> </w:t>
      </w:r>
      <w:r w:rsidR="00272D24" w:rsidRPr="00F657F5">
        <w:rPr>
          <w:rFonts w:ascii="Calibri" w:hAnsi="Calibri" w:cs="Calibri"/>
        </w:rPr>
        <w:t>by about $</w:t>
      </w:r>
      <w:r w:rsidR="00DA44D3" w:rsidRPr="00F657F5">
        <w:rPr>
          <w:rFonts w:ascii="Calibri" w:hAnsi="Calibri" w:cs="Calibri"/>
        </w:rPr>
        <w:t>2</w:t>
      </w:r>
      <w:r w:rsidR="0078330F" w:rsidRPr="00F657F5">
        <w:rPr>
          <w:rFonts w:ascii="Calibri" w:hAnsi="Calibri" w:cs="Calibri"/>
        </w:rPr>
        <w:t>.3</w:t>
      </w:r>
      <w:r w:rsidR="00E262B2" w:rsidRPr="00F657F5">
        <w:rPr>
          <w:rFonts w:ascii="Calibri" w:hAnsi="Calibri" w:cs="Calibri"/>
        </w:rPr>
        <w:t xml:space="preserve"> </w:t>
      </w:r>
      <w:r w:rsidR="00272D24" w:rsidRPr="00F657F5">
        <w:rPr>
          <w:rFonts w:ascii="Calibri" w:hAnsi="Calibri" w:cs="Calibri"/>
        </w:rPr>
        <w:t>billion</w:t>
      </w:r>
      <w:r w:rsidR="003039D5" w:rsidRPr="00F657F5">
        <w:rPr>
          <w:rFonts w:ascii="Calibri" w:hAnsi="Calibri" w:cs="Calibri"/>
        </w:rPr>
        <w:t xml:space="preserve"> (approximately</w:t>
      </w:r>
      <w:r w:rsidR="0078330F" w:rsidRPr="00F657F5">
        <w:rPr>
          <w:rFonts w:ascii="Calibri" w:hAnsi="Calibri" w:cs="Calibri"/>
        </w:rPr>
        <w:t xml:space="preserve"> 2 </w:t>
      </w:r>
      <w:r w:rsidR="003039D5" w:rsidRPr="00F657F5">
        <w:rPr>
          <w:rFonts w:ascii="Calibri" w:hAnsi="Calibri" w:cs="Calibri"/>
        </w:rPr>
        <w:t>percent)</w:t>
      </w:r>
      <w:r w:rsidR="000027EA" w:rsidRPr="00F657F5">
        <w:rPr>
          <w:rFonts w:ascii="Calibri" w:hAnsi="Calibri" w:cs="Calibri"/>
        </w:rPr>
        <w:t xml:space="preserve"> in the </w:t>
      </w:r>
      <w:r w:rsidR="0083537E" w:rsidRPr="00F657F5">
        <w:rPr>
          <w:rFonts w:ascii="Calibri" w:hAnsi="Calibri" w:cs="Calibri"/>
        </w:rPr>
        <w:t>first</w:t>
      </w:r>
      <w:r w:rsidR="007A6A15" w:rsidRPr="00F657F5">
        <w:rPr>
          <w:rFonts w:ascii="Calibri" w:hAnsi="Calibri" w:cs="Calibri"/>
        </w:rPr>
        <w:t xml:space="preserve"> quarter</w:t>
      </w:r>
      <w:r w:rsidR="00272D24" w:rsidRPr="00F657F5">
        <w:rPr>
          <w:rFonts w:ascii="Calibri" w:hAnsi="Calibri" w:cs="Calibri"/>
        </w:rPr>
        <w:t xml:space="preserve">, </w:t>
      </w:r>
      <w:r w:rsidRPr="00F657F5">
        <w:rPr>
          <w:rFonts w:ascii="Calibri" w:hAnsi="Calibri" w:cs="Calibri"/>
        </w:rPr>
        <w:t xml:space="preserve">mainly </w:t>
      </w:r>
      <w:r w:rsidR="00FC69CC" w:rsidRPr="00F657F5">
        <w:rPr>
          <w:rFonts w:ascii="Calibri" w:hAnsi="Calibri" w:cs="Calibri"/>
        </w:rPr>
        <w:t xml:space="preserve">as </w:t>
      </w:r>
      <w:r w:rsidRPr="00F657F5">
        <w:rPr>
          <w:rFonts w:ascii="Calibri" w:hAnsi="Calibri" w:cs="Calibri"/>
        </w:rPr>
        <w:t xml:space="preserve">a result of </w:t>
      </w:r>
      <w:r w:rsidR="00DA44D3" w:rsidRPr="00F657F5">
        <w:rPr>
          <w:rFonts w:ascii="Calibri" w:hAnsi="Calibri" w:cs="Calibri"/>
        </w:rPr>
        <w:t>net investments by Israeli residents</w:t>
      </w:r>
      <w:r w:rsidR="00272D24" w:rsidRPr="00F657F5">
        <w:rPr>
          <w:rFonts w:ascii="Calibri" w:hAnsi="Calibri" w:cs="Calibri"/>
        </w:rPr>
        <w:t>.</w:t>
      </w:r>
    </w:p>
    <w:p w14:paraId="67B91732" w14:textId="5D01AE69" w:rsidR="009C5B2C" w:rsidRPr="00F657F5" w:rsidRDefault="00C12D14" w:rsidP="0078330F">
      <w:pPr>
        <w:pStyle w:val="regpar"/>
        <w:numPr>
          <w:ilvl w:val="0"/>
          <w:numId w:val="6"/>
        </w:numPr>
        <w:ind w:left="426"/>
        <w:rPr>
          <w:rFonts w:ascii="Calibri" w:hAnsi="Calibri" w:cs="Calibri"/>
        </w:rPr>
      </w:pPr>
      <w:r w:rsidRPr="00F657F5">
        <w:rPr>
          <w:rFonts w:ascii="Calibri" w:hAnsi="Calibri" w:cs="Calibri"/>
          <w:b/>
          <w:bCs/>
        </w:rPr>
        <w:t>The value of the securities portfolio</w:t>
      </w:r>
      <w:r w:rsidRPr="00F657F5">
        <w:rPr>
          <w:rFonts w:ascii="Calibri" w:hAnsi="Calibri" w:cs="Calibri"/>
        </w:rPr>
        <w:t xml:space="preserve"> </w:t>
      </w:r>
      <w:r w:rsidR="0078330F" w:rsidRPr="00F657F5">
        <w:rPr>
          <w:rFonts w:ascii="Calibri" w:hAnsi="Calibri" w:cs="Calibri"/>
        </w:rPr>
        <w:t>de</w:t>
      </w:r>
      <w:r w:rsidR="004B42F6" w:rsidRPr="00F657F5">
        <w:rPr>
          <w:rFonts w:ascii="Calibri" w:hAnsi="Calibri" w:cs="Calibri"/>
        </w:rPr>
        <w:t xml:space="preserve">creased </w:t>
      </w:r>
      <w:r w:rsidR="00DA44D3" w:rsidRPr="00F657F5">
        <w:rPr>
          <w:rFonts w:ascii="Calibri" w:hAnsi="Calibri" w:cs="Calibri"/>
        </w:rPr>
        <w:t xml:space="preserve">during the </w:t>
      </w:r>
      <w:r w:rsidR="0083537E" w:rsidRPr="00F657F5">
        <w:rPr>
          <w:rFonts w:ascii="Calibri" w:hAnsi="Calibri" w:cs="Calibri"/>
        </w:rPr>
        <w:t>first</w:t>
      </w:r>
      <w:r w:rsidR="00DA44D3" w:rsidRPr="00F657F5">
        <w:rPr>
          <w:rFonts w:ascii="Calibri" w:hAnsi="Calibri" w:cs="Calibri"/>
        </w:rPr>
        <w:t xml:space="preserve"> quarter </w:t>
      </w:r>
      <w:r w:rsidRPr="00F657F5">
        <w:rPr>
          <w:rFonts w:ascii="Calibri" w:hAnsi="Calibri" w:cs="Calibri"/>
        </w:rPr>
        <w:t>by about $</w:t>
      </w:r>
      <w:r w:rsidR="0078330F" w:rsidRPr="00F657F5">
        <w:rPr>
          <w:rFonts w:ascii="Calibri" w:hAnsi="Calibri" w:cs="Calibri"/>
        </w:rPr>
        <w:t>8.9 b</w:t>
      </w:r>
      <w:r w:rsidRPr="00F657F5">
        <w:rPr>
          <w:rFonts w:ascii="Calibri" w:hAnsi="Calibri" w:cs="Calibri"/>
        </w:rPr>
        <w:t>illion (</w:t>
      </w:r>
      <w:r w:rsidR="004D4A21" w:rsidRPr="00F657F5">
        <w:rPr>
          <w:rFonts w:ascii="Calibri" w:hAnsi="Calibri" w:cs="Calibri"/>
        </w:rPr>
        <w:t xml:space="preserve">about </w:t>
      </w:r>
      <w:r w:rsidR="0078330F" w:rsidRPr="00F657F5">
        <w:rPr>
          <w:rFonts w:ascii="Calibri" w:hAnsi="Calibri" w:cs="Calibri"/>
        </w:rPr>
        <w:t xml:space="preserve">3.1 </w:t>
      </w:r>
      <w:r w:rsidRPr="00F657F5">
        <w:rPr>
          <w:rFonts w:ascii="Calibri" w:hAnsi="Calibri" w:cs="Calibri"/>
        </w:rPr>
        <w:t>percent)</w:t>
      </w:r>
      <w:r w:rsidR="000027EA" w:rsidRPr="00F657F5">
        <w:rPr>
          <w:rFonts w:ascii="Calibri" w:hAnsi="Calibri" w:cs="Calibri"/>
        </w:rPr>
        <w:t xml:space="preserve">, </w:t>
      </w:r>
      <w:r w:rsidRPr="00F657F5">
        <w:rPr>
          <w:rFonts w:ascii="Calibri" w:hAnsi="Calibri" w:cs="Calibri"/>
        </w:rPr>
        <w:t xml:space="preserve">mainly as a result of </w:t>
      </w:r>
      <w:r w:rsidR="0078330F" w:rsidRPr="00F657F5">
        <w:rPr>
          <w:rFonts w:ascii="Calibri" w:hAnsi="Calibri" w:cs="Calibri"/>
        </w:rPr>
        <w:t xml:space="preserve">a decline in prices of </w:t>
      </w:r>
      <w:r w:rsidR="00DA44D3" w:rsidRPr="00F657F5">
        <w:rPr>
          <w:rFonts w:ascii="Calibri" w:hAnsi="Calibri" w:cs="Calibri"/>
        </w:rPr>
        <w:t xml:space="preserve">foreign securities </w:t>
      </w:r>
      <w:r w:rsidR="0078330F" w:rsidRPr="00F657F5">
        <w:rPr>
          <w:rFonts w:ascii="Calibri" w:hAnsi="Calibri" w:cs="Calibri"/>
        </w:rPr>
        <w:t xml:space="preserve">held </w:t>
      </w:r>
      <w:r w:rsidR="00DA44D3" w:rsidRPr="00F657F5">
        <w:rPr>
          <w:rFonts w:ascii="Calibri" w:hAnsi="Calibri" w:cs="Calibri"/>
        </w:rPr>
        <w:t>by Israeli residents</w:t>
      </w:r>
      <w:r w:rsidR="00D2771E" w:rsidRPr="00F657F5">
        <w:rPr>
          <w:rFonts w:ascii="Calibri" w:hAnsi="Calibri" w:cs="Calibri"/>
        </w:rPr>
        <w:t xml:space="preserve"> totaling about $</w:t>
      </w:r>
      <w:r w:rsidR="0078330F" w:rsidRPr="00F657F5">
        <w:rPr>
          <w:rFonts w:ascii="Calibri" w:hAnsi="Calibri" w:cs="Calibri"/>
        </w:rPr>
        <w:t xml:space="preserve">8.3 </w:t>
      </w:r>
      <w:r w:rsidR="00D2771E" w:rsidRPr="00F657F5">
        <w:rPr>
          <w:rFonts w:ascii="Calibri" w:hAnsi="Calibri" w:cs="Calibri"/>
        </w:rPr>
        <w:t>billion</w:t>
      </w:r>
      <w:r w:rsidR="00DA44D3" w:rsidRPr="00F657F5">
        <w:rPr>
          <w:rFonts w:ascii="Calibri" w:hAnsi="Calibri" w:cs="Calibri"/>
        </w:rPr>
        <w:t xml:space="preserve">, and </w:t>
      </w:r>
      <w:r w:rsidR="0078330F" w:rsidRPr="00F657F5">
        <w:rPr>
          <w:rFonts w:ascii="Calibri" w:hAnsi="Calibri" w:cs="Calibri"/>
        </w:rPr>
        <w:t xml:space="preserve">of net realizations by Israeli residents of foreign securities </w:t>
      </w:r>
      <w:r w:rsidR="00AB7F65" w:rsidRPr="00F657F5">
        <w:rPr>
          <w:rFonts w:ascii="Calibri" w:hAnsi="Calibri" w:cs="Calibri"/>
        </w:rPr>
        <w:t xml:space="preserve">totaling </w:t>
      </w:r>
      <w:r w:rsidR="004B42F6" w:rsidRPr="00F657F5">
        <w:rPr>
          <w:rFonts w:ascii="Calibri" w:hAnsi="Calibri" w:cs="Calibri"/>
        </w:rPr>
        <w:t>approximately $</w:t>
      </w:r>
      <w:r w:rsidR="0078330F" w:rsidRPr="00F657F5">
        <w:rPr>
          <w:rFonts w:ascii="Calibri" w:hAnsi="Calibri" w:cs="Calibri"/>
        </w:rPr>
        <w:t xml:space="preserve">1 </w:t>
      </w:r>
      <w:r w:rsidR="004B42F6" w:rsidRPr="00F657F5">
        <w:rPr>
          <w:rFonts w:ascii="Calibri" w:hAnsi="Calibri" w:cs="Calibri"/>
        </w:rPr>
        <w:t>billion</w:t>
      </w:r>
      <w:r w:rsidR="003B086C" w:rsidRPr="00F657F5">
        <w:rPr>
          <w:rFonts w:ascii="Calibri" w:hAnsi="Calibri" w:cs="Calibri"/>
        </w:rPr>
        <w:t>.</w:t>
      </w:r>
      <w:r w:rsidR="00772E92" w:rsidRPr="00F657F5">
        <w:rPr>
          <w:rFonts w:ascii="Calibri" w:hAnsi="Calibri" w:cs="Calibri"/>
        </w:rPr>
        <w:t xml:space="preserve"> </w:t>
      </w:r>
      <w:r w:rsidR="00445B51" w:rsidRPr="00F657F5">
        <w:rPr>
          <w:rFonts w:ascii="Calibri" w:hAnsi="Calibri" w:cs="Calibri"/>
        </w:rPr>
        <w:t>(Figure 1).</w:t>
      </w:r>
    </w:p>
    <w:p w14:paraId="248CE78F" w14:textId="77777777" w:rsidR="0060740C" w:rsidRPr="00F657F5" w:rsidRDefault="0060740C" w:rsidP="0078330F">
      <w:pPr>
        <w:pStyle w:val="regpar"/>
        <w:numPr>
          <w:ilvl w:val="0"/>
          <w:numId w:val="6"/>
        </w:numPr>
        <w:ind w:left="426"/>
        <w:rPr>
          <w:rFonts w:ascii="Calibri" w:hAnsi="Calibri" w:cs="Calibri"/>
        </w:rPr>
      </w:pPr>
    </w:p>
    <w:p w14:paraId="0F5EBD6E" w14:textId="5D16F815" w:rsidR="00BB001C" w:rsidRPr="00F657F5" w:rsidRDefault="00BB001C" w:rsidP="0060740C">
      <w:pPr>
        <w:bidi w:val="0"/>
        <w:rPr>
          <w:rFonts w:ascii="Calibri" w:hAnsi="Calibri" w:cs="Calibri"/>
        </w:rPr>
      </w:pPr>
    </w:p>
    <w:p w14:paraId="2BC538B9" w14:textId="302E107C" w:rsidR="008C65E9" w:rsidRPr="00F657F5" w:rsidRDefault="008C65E9" w:rsidP="008C65E9">
      <w:pPr>
        <w:bidi w:val="0"/>
        <w:jc w:val="center"/>
        <w:rPr>
          <w:rFonts w:ascii="Calibri" w:hAnsi="Calibri" w:cs="Calibri"/>
        </w:rPr>
      </w:pPr>
      <w:r w:rsidRPr="00F657F5">
        <w:rPr>
          <w:rFonts w:ascii="Calibri" w:hAnsi="Calibri" w:cs="Calibri"/>
          <w:noProof/>
        </w:rPr>
        <w:drawing>
          <wp:inline distT="0" distB="0" distL="0" distR="0" wp14:anchorId="1361A1F0" wp14:editId="5EC63C3B">
            <wp:extent cx="3950335" cy="2575766"/>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61374" cy="2582964"/>
                    </a:xfrm>
                    <a:prstGeom prst="rect">
                      <a:avLst/>
                    </a:prstGeom>
                    <a:noFill/>
                  </pic:spPr>
                </pic:pic>
              </a:graphicData>
            </a:graphic>
          </wp:inline>
        </w:drawing>
      </w:r>
    </w:p>
    <w:p w14:paraId="4095D6DD" w14:textId="77777777" w:rsidR="00BB001C" w:rsidRPr="00F657F5" w:rsidRDefault="00132C46" w:rsidP="00BB001C">
      <w:pPr>
        <w:bidi w:val="0"/>
        <w:rPr>
          <w:rFonts w:ascii="Calibri" w:hAnsi="Calibri" w:cs="Calibri"/>
        </w:rPr>
      </w:pPr>
      <w:r w:rsidRPr="00F657F5">
        <w:rPr>
          <w:rFonts w:ascii="Calibri" w:hAnsi="Calibri" w:cs="Calibri"/>
          <w:noProof/>
        </w:rPr>
        <mc:AlternateContent>
          <mc:Choice Requires="wps">
            <w:drawing>
              <wp:anchor distT="45720" distB="45720" distL="114300" distR="114300" simplePos="0" relativeHeight="251664384" behindDoc="0" locked="0" layoutInCell="1" allowOverlap="1" wp14:anchorId="31971734" wp14:editId="378AEE10">
                <wp:simplePos x="0" y="0"/>
                <wp:positionH relativeFrom="column">
                  <wp:posOffset>668655</wp:posOffset>
                </wp:positionH>
                <wp:positionV relativeFrom="paragraph">
                  <wp:posOffset>15240</wp:posOffset>
                </wp:positionV>
                <wp:extent cx="2869565" cy="219075"/>
                <wp:effectExtent l="0" t="0" r="698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9565" cy="219075"/>
                        </a:xfrm>
                        <a:prstGeom prst="rect">
                          <a:avLst/>
                        </a:prstGeom>
                        <a:solidFill>
                          <a:srgbClr val="FFFFFF"/>
                        </a:solidFill>
                        <a:ln w="9525">
                          <a:noFill/>
                          <a:miter lim="800000"/>
                          <a:headEnd/>
                          <a:tailEnd/>
                        </a:ln>
                      </wps:spPr>
                      <wps:txbx>
                        <w:txbxContent>
                          <w:p w14:paraId="11029CF5" w14:textId="77777777" w:rsidR="00132C46" w:rsidRPr="008B6A3C" w:rsidRDefault="00132C46" w:rsidP="00494280">
                            <w:pPr>
                              <w:bidi w:val="0"/>
                              <w:rPr>
                                <w:sz w:val="18"/>
                                <w:szCs w:val="18"/>
                                <w:vertAlign w:val="superscript"/>
                              </w:rPr>
                            </w:pPr>
                            <w:r>
                              <w:rPr>
                                <w:sz w:val="18"/>
                                <w:szCs w:val="18"/>
                              </w:rPr>
                              <w:t xml:space="preserve">Source: </w:t>
                            </w:r>
                            <w:r w:rsidRPr="00132C46">
                              <w:rPr>
                                <w:sz w:val="18"/>
                                <w:szCs w:val="18"/>
                              </w:rPr>
                              <w:t>Bank of Israel data</w:t>
                            </w:r>
                            <w:r w:rsidR="00494280">
                              <w:rPr>
                                <w:sz w:val="18"/>
                                <w:szCs w:val="18"/>
                              </w:rPr>
                              <w:t xml:space="preserve"> and processing</w:t>
                            </w:r>
                            <w:r w:rsidR="00BA72C9">
                              <w:rPr>
                                <w:sz w:val="18"/>
                                <w:szCs w:val="18"/>
                                <w:vertAlign w:val="superscript"/>
                              </w:rPr>
                              <w:t>1</w:t>
                            </w:r>
                            <w:r w:rsidR="00BA72C9">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971734" id="_x0000_t202" coordsize="21600,21600" o:spt="202" path="m,l,21600r21600,l21600,xe">
                <v:stroke joinstyle="miter"/>
                <v:path gradientshapeok="t" o:connecttype="rect"/>
              </v:shapetype>
              <v:shape id="Text Box 2" o:spid="_x0000_s1026" type="#_x0000_t202" style="position:absolute;margin-left:52.65pt;margin-top:1.2pt;width:225.95pt;height:17.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" stroked="f">
                <v:textbox>
                  <w:txbxContent>
                    <w:p w14:paraId="11029CF5" w14:textId="77777777" w:rsidR="00132C46" w:rsidRPr="008B6A3C" w:rsidRDefault="00132C46" w:rsidP="00494280">
                      <w:pPr>
                        <w:bidi w:val="0"/>
                        <w:rPr>
                          <w:sz w:val="18"/>
                          <w:szCs w:val="18"/>
                          <w:vertAlign w:val="superscript"/>
                        </w:rPr>
                      </w:pPr>
                      <w:r>
                        <w:rPr>
                          <w:sz w:val="18"/>
                          <w:szCs w:val="18"/>
                        </w:rPr>
                        <w:t xml:space="preserve">Source: </w:t>
                      </w:r>
                      <w:r w:rsidRPr="00132C46">
                        <w:rPr>
                          <w:sz w:val="18"/>
                          <w:szCs w:val="18"/>
                        </w:rPr>
                        <w:t>Bank of Israel data</w:t>
                      </w:r>
                      <w:r w:rsidR="00494280">
                        <w:rPr>
                          <w:sz w:val="18"/>
                          <w:szCs w:val="18"/>
                        </w:rPr>
                        <w:t xml:space="preserve"> and processing</w:t>
                      </w:r>
                      <w:r w:rsidR="00BA72C9">
                        <w:rPr>
                          <w:sz w:val="18"/>
                          <w:szCs w:val="18"/>
                          <w:vertAlign w:val="superscript"/>
                        </w:rPr>
                        <w:t>1</w:t>
                      </w:r>
                      <w:r w:rsidR="00BA72C9">
                        <w:rPr>
                          <w:sz w:val="18"/>
                          <w:szCs w:val="18"/>
                        </w:rPr>
                        <w:t>.</w:t>
                      </w:r>
                    </w:p>
                  </w:txbxContent>
                </v:textbox>
              </v:shape>
            </w:pict>
          </mc:Fallback>
        </mc:AlternateContent>
      </w:r>
    </w:p>
    <w:p w14:paraId="4F60B513" w14:textId="77777777" w:rsidR="00BB001C" w:rsidRPr="00F657F5" w:rsidRDefault="00BB001C" w:rsidP="00BB001C">
      <w:pPr>
        <w:bidi w:val="0"/>
        <w:rPr>
          <w:rFonts w:ascii="Calibri" w:hAnsi="Calibri" w:cs="Calibri"/>
        </w:rPr>
      </w:pPr>
    </w:p>
    <w:p w14:paraId="4C0F7D1B" w14:textId="2412200E" w:rsidR="0056142B" w:rsidRPr="00F657F5" w:rsidRDefault="00DD15DC" w:rsidP="001955E6">
      <w:pPr>
        <w:pStyle w:val="regpar"/>
        <w:numPr>
          <w:ilvl w:val="0"/>
          <w:numId w:val="7"/>
        </w:numPr>
        <w:ind w:left="426"/>
        <w:rPr>
          <w:rFonts w:ascii="Calibri" w:hAnsi="Calibri" w:cs="Calibri"/>
        </w:rPr>
      </w:pPr>
      <w:r w:rsidRPr="00F657F5">
        <w:rPr>
          <w:rFonts w:ascii="Calibri" w:hAnsi="Calibri" w:cs="Calibri"/>
          <w:b/>
          <w:bCs/>
        </w:rPr>
        <w:lastRenderedPageBreak/>
        <w:t xml:space="preserve">The value of other investments </w:t>
      </w:r>
      <w:r w:rsidRPr="00F657F5">
        <w:rPr>
          <w:rFonts w:ascii="Calibri" w:hAnsi="Calibri" w:cs="Calibri"/>
        </w:rPr>
        <w:t xml:space="preserve">abroad </w:t>
      </w:r>
      <w:r w:rsidR="00E63313" w:rsidRPr="00F657F5">
        <w:rPr>
          <w:rFonts w:ascii="Calibri" w:hAnsi="Calibri" w:cs="Calibri"/>
        </w:rPr>
        <w:t>increased</w:t>
      </w:r>
      <w:r w:rsidR="00E87E87" w:rsidRPr="00F657F5">
        <w:rPr>
          <w:rFonts w:ascii="Calibri" w:hAnsi="Calibri" w:cs="Calibri"/>
        </w:rPr>
        <w:t xml:space="preserve"> during the first quarter by about $6.7 billion (4.1 percent), mainly as a result of net investments totaling about $4.4 billion. Israeli residents (including banks) deposited a net $6 billion in deposits abroad</w:t>
      </w:r>
      <w:r w:rsidR="005C4BAB" w:rsidRPr="00F657F5">
        <w:rPr>
          <w:rFonts w:ascii="Calibri" w:hAnsi="Calibri" w:cs="Calibri"/>
        </w:rPr>
        <w:t xml:space="preserve">. </w:t>
      </w:r>
      <w:r w:rsidR="0000797D" w:rsidRPr="00F657F5">
        <w:rPr>
          <w:rFonts w:ascii="Calibri" w:hAnsi="Calibri" w:cs="Calibri"/>
        </w:rPr>
        <w:t xml:space="preserve">Most of the </w:t>
      </w:r>
      <w:r w:rsidR="00E87E87" w:rsidRPr="00F657F5">
        <w:rPr>
          <w:rFonts w:ascii="Calibri" w:hAnsi="Calibri" w:cs="Calibri"/>
        </w:rPr>
        <w:t xml:space="preserve">deposits </w:t>
      </w:r>
      <w:r w:rsidR="0000797D" w:rsidRPr="00F657F5">
        <w:rPr>
          <w:rFonts w:ascii="Calibri" w:hAnsi="Calibri" w:cs="Calibri"/>
        </w:rPr>
        <w:t xml:space="preserve">were made </w:t>
      </w:r>
      <w:r w:rsidR="00E87E87" w:rsidRPr="00F657F5">
        <w:rPr>
          <w:rFonts w:ascii="Calibri" w:hAnsi="Calibri" w:cs="Calibri"/>
        </w:rPr>
        <w:t>by the government, which issued bonds abroad during the quarter</w:t>
      </w:r>
      <w:r w:rsidR="00692A35" w:rsidRPr="00F657F5">
        <w:rPr>
          <w:rFonts w:ascii="Calibri" w:hAnsi="Calibri" w:cs="Calibri"/>
        </w:rPr>
        <w:t>. In contrast, there was a</w:t>
      </w:r>
      <w:r w:rsidR="001955E6" w:rsidRPr="00F657F5">
        <w:rPr>
          <w:rFonts w:ascii="Calibri" w:hAnsi="Calibri" w:cs="Calibri"/>
        </w:rPr>
        <w:t xml:space="preserve"> </w:t>
      </w:r>
      <w:r w:rsidR="00692A35" w:rsidRPr="00F657F5">
        <w:rPr>
          <w:rFonts w:ascii="Calibri" w:hAnsi="Calibri" w:cs="Calibri"/>
        </w:rPr>
        <w:t>de</w:t>
      </w:r>
      <w:r w:rsidR="001955E6" w:rsidRPr="00F657F5">
        <w:rPr>
          <w:rFonts w:ascii="Calibri" w:hAnsi="Calibri" w:cs="Calibri"/>
        </w:rPr>
        <w:t>c</w:t>
      </w:r>
      <w:r w:rsidR="00692A35" w:rsidRPr="00F657F5">
        <w:rPr>
          <w:rFonts w:ascii="Calibri" w:hAnsi="Calibri" w:cs="Calibri"/>
        </w:rPr>
        <w:t xml:space="preserve">line in </w:t>
      </w:r>
      <w:r w:rsidR="0043692B" w:rsidRPr="00F657F5">
        <w:rPr>
          <w:rFonts w:ascii="Calibri" w:hAnsi="Calibri" w:cs="Calibri"/>
        </w:rPr>
        <w:t>customers’</w:t>
      </w:r>
      <w:r w:rsidR="00D2771E" w:rsidRPr="00F657F5">
        <w:rPr>
          <w:rFonts w:ascii="Calibri" w:hAnsi="Calibri" w:cs="Calibri"/>
        </w:rPr>
        <w:t xml:space="preserve"> credit to nonresidents, totaling $2</w:t>
      </w:r>
      <w:r w:rsidR="00692A35" w:rsidRPr="00F657F5">
        <w:rPr>
          <w:rFonts w:ascii="Calibri" w:hAnsi="Calibri" w:cs="Calibri"/>
        </w:rPr>
        <w:t xml:space="preserve"> billion.</w:t>
      </w:r>
    </w:p>
    <w:p w14:paraId="08BEE0EA" w14:textId="2E8F40F0" w:rsidR="005F7902" w:rsidRPr="00F657F5" w:rsidRDefault="00D34C57" w:rsidP="00A24B74">
      <w:pPr>
        <w:pStyle w:val="regpar"/>
        <w:numPr>
          <w:ilvl w:val="0"/>
          <w:numId w:val="7"/>
        </w:numPr>
        <w:ind w:left="426"/>
        <w:rPr>
          <w:rFonts w:ascii="Calibri" w:hAnsi="Calibri" w:cs="Calibri"/>
        </w:rPr>
      </w:pPr>
      <w:r w:rsidRPr="00F657F5">
        <w:rPr>
          <w:rFonts w:ascii="Calibri" w:hAnsi="Calibri" w:cs="Calibri"/>
          <w:b/>
          <w:bCs/>
        </w:rPr>
        <w:t xml:space="preserve">The value of </w:t>
      </w:r>
      <w:r w:rsidR="001D32F9" w:rsidRPr="00F657F5">
        <w:rPr>
          <w:rFonts w:ascii="Calibri" w:hAnsi="Calibri" w:cs="Calibri"/>
          <w:b/>
          <w:bCs/>
        </w:rPr>
        <w:t xml:space="preserve">the </w:t>
      </w:r>
      <w:r w:rsidRPr="00F657F5">
        <w:rPr>
          <w:rFonts w:ascii="Calibri" w:hAnsi="Calibri" w:cs="Calibri"/>
          <w:b/>
          <w:bCs/>
        </w:rPr>
        <w:t>reserve</w:t>
      </w:r>
      <w:r w:rsidR="00DA4066" w:rsidRPr="00F657F5">
        <w:rPr>
          <w:rFonts w:ascii="Calibri" w:hAnsi="Calibri" w:cs="Calibri"/>
          <w:b/>
          <w:bCs/>
        </w:rPr>
        <w:t xml:space="preserve"> assets</w:t>
      </w:r>
      <w:r w:rsidR="00DA4066" w:rsidRPr="00F657F5">
        <w:rPr>
          <w:rFonts w:ascii="Calibri" w:hAnsi="Calibri" w:cs="Calibri"/>
        </w:rPr>
        <w:t xml:space="preserve"> </w:t>
      </w:r>
      <w:r w:rsidR="0036706F" w:rsidRPr="00F657F5">
        <w:rPr>
          <w:rFonts w:ascii="Calibri" w:hAnsi="Calibri" w:cs="Calibri"/>
        </w:rPr>
        <w:t>in</w:t>
      </w:r>
      <w:r w:rsidR="002210FA" w:rsidRPr="00F657F5">
        <w:rPr>
          <w:rFonts w:ascii="Calibri" w:hAnsi="Calibri" w:cs="Calibri"/>
        </w:rPr>
        <w:t>creas</w:t>
      </w:r>
      <w:r w:rsidR="00E63313" w:rsidRPr="00F657F5">
        <w:rPr>
          <w:rFonts w:ascii="Calibri" w:hAnsi="Calibri" w:cs="Calibri"/>
        </w:rPr>
        <w:t xml:space="preserve">ed </w:t>
      </w:r>
      <w:r w:rsidR="0079583C" w:rsidRPr="00F657F5">
        <w:rPr>
          <w:rFonts w:ascii="Calibri" w:hAnsi="Calibri" w:cs="Calibri"/>
        </w:rPr>
        <w:t>by about $</w:t>
      </w:r>
      <w:r w:rsidR="0036706F" w:rsidRPr="00F657F5">
        <w:rPr>
          <w:rFonts w:ascii="Calibri" w:hAnsi="Calibri" w:cs="Calibri"/>
        </w:rPr>
        <w:t xml:space="preserve">4.2 </w:t>
      </w:r>
      <w:r w:rsidR="0079583C" w:rsidRPr="00F657F5">
        <w:rPr>
          <w:rFonts w:ascii="Calibri" w:hAnsi="Calibri" w:cs="Calibri"/>
        </w:rPr>
        <w:t>billion (</w:t>
      </w:r>
      <w:r w:rsidR="009727DF" w:rsidRPr="00F657F5">
        <w:rPr>
          <w:rFonts w:ascii="Calibri" w:hAnsi="Calibri" w:cs="Calibri"/>
        </w:rPr>
        <w:t xml:space="preserve">about </w:t>
      </w:r>
      <w:r w:rsidR="005F7902" w:rsidRPr="00F657F5">
        <w:rPr>
          <w:rFonts w:ascii="Calibri" w:hAnsi="Calibri" w:cs="Calibri"/>
        </w:rPr>
        <w:t>2</w:t>
      </w:r>
      <w:r w:rsidR="0036706F" w:rsidRPr="00F657F5">
        <w:rPr>
          <w:rFonts w:ascii="Calibri" w:hAnsi="Calibri" w:cs="Calibri"/>
        </w:rPr>
        <w:t xml:space="preserve"> </w:t>
      </w:r>
      <w:r w:rsidR="0079583C" w:rsidRPr="00F657F5">
        <w:rPr>
          <w:rFonts w:ascii="Calibri" w:hAnsi="Calibri" w:cs="Calibri"/>
        </w:rPr>
        <w:t>perc</w:t>
      </w:r>
      <w:r w:rsidR="00D204CA" w:rsidRPr="00F657F5">
        <w:rPr>
          <w:rFonts w:ascii="Calibri" w:hAnsi="Calibri" w:cs="Calibri"/>
        </w:rPr>
        <w:t>e</w:t>
      </w:r>
      <w:r w:rsidR="0079583C" w:rsidRPr="00F657F5">
        <w:rPr>
          <w:rFonts w:ascii="Calibri" w:hAnsi="Calibri" w:cs="Calibri"/>
        </w:rPr>
        <w:t>nt)</w:t>
      </w:r>
      <w:r w:rsidR="000027EA" w:rsidRPr="00F657F5">
        <w:rPr>
          <w:rFonts w:ascii="Calibri" w:hAnsi="Calibri" w:cs="Calibri"/>
        </w:rPr>
        <w:t xml:space="preserve"> during the </w:t>
      </w:r>
      <w:r w:rsidR="0083537E" w:rsidRPr="00F657F5">
        <w:rPr>
          <w:rFonts w:ascii="Calibri" w:hAnsi="Calibri" w:cs="Calibri"/>
        </w:rPr>
        <w:t>first</w:t>
      </w:r>
      <w:r w:rsidR="007A6A15" w:rsidRPr="00F657F5">
        <w:rPr>
          <w:rFonts w:ascii="Calibri" w:hAnsi="Calibri" w:cs="Calibri"/>
        </w:rPr>
        <w:t xml:space="preserve"> quarter</w:t>
      </w:r>
      <w:r w:rsidR="007F3AB4" w:rsidRPr="00F657F5">
        <w:rPr>
          <w:rFonts w:ascii="Calibri" w:hAnsi="Calibri" w:cs="Calibri"/>
        </w:rPr>
        <w:t xml:space="preserve">, </w:t>
      </w:r>
      <w:r w:rsidR="00281D82" w:rsidRPr="00F657F5">
        <w:rPr>
          <w:rFonts w:ascii="Calibri" w:hAnsi="Calibri" w:cs="Calibri"/>
        </w:rPr>
        <w:t xml:space="preserve">to </w:t>
      </w:r>
      <w:r w:rsidR="005E7885" w:rsidRPr="00F657F5">
        <w:rPr>
          <w:rFonts w:ascii="Calibri" w:hAnsi="Calibri" w:cs="Calibri"/>
        </w:rPr>
        <w:t xml:space="preserve">about </w:t>
      </w:r>
      <w:r w:rsidRPr="00F657F5">
        <w:rPr>
          <w:rFonts w:ascii="Calibri" w:hAnsi="Calibri" w:cs="Calibri"/>
        </w:rPr>
        <w:t>$</w:t>
      </w:r>
      <w:r w:rsidR="005F7902" w:rsidRPr="00F657F5">
        <w:rPr>
          <w:rFonts w:ascii="Calibri" w:hAnsi="Calibri" w:cs="Calibri"/>
        </w:rPr>
        <w:t>21</w:t>
      </w:r>
      <w:r w:rsidR="0036706F" w:rsidRPr="00F657F5">
        <w:rPr>
          <w:rFonts w:ascii="Calibri" w:hAnsi="Calibri" w:cs="Calibri"/>
        </w:rPr>
        <w:t>9</w:t>
      </w:r>
      <w:r w:rsidR="001623A5" w:rsidRPr="00F657F5">
        <w:rPr>
          <w:rFonts w:ascii="Calibri" w:hAnsi="Calibri" w:cs="Calibri"/>
        </w:rPr>
        <w:t xml:space="preserve"> </w:t>
      </w:r>
      <w:r w:rsidR="00335A9E" w:rsidRPr="00F657F5">
        <w:rPr>
          <w:rFonts w:ascii="Calibri" w:hAnsi="Calibri" w:cs="Calibri"/>
        </w:rPr>
        <w:t>b</w:t>
      </w:r>
      <w:r w:rsidRPr="00F657F5">
        <w:rPr>
          <w:rFonts w:ascii="Calibri" w:hAnsi="Calibri" w:cs="Calibri"/>
        </w:rPr>
        <w:t>illion at the end of</w:t>
      </w:r>
      <w:r w:rsidR="005E761E" w:rsidRPr="00F657F5">
        <w:rPr>
          <w:rFonts w:ascii="Calibri" w:hAnsi="Calibri" w:cs="Calibri"/>
        </w:rPr>
        <w:t xml:space="preserve"> </w:t>
      </w:r>
      <w:r w:rsidR="0036706F" w:rsidRPr="00F657F5">
        <w:rPr>
          <w:rFonts w:ascii="Calibri" w:hAnsi="Calibri" w:cs="Calibri"/>
        </w:rPr>
        <w:t>March</w:t>
      </w:r>
      <w:r w:rsidRPr="00F657F5">
        <w:rPr>
          <w:rFonts w:ascii="Calibri" w:hAnsi="Calibri" w:cs="Calibri"/>
        </w:rPr>
        <w:t>.</w:t>
      </w:r>
      <w:r w:rsidR="00A82D15" w:rsidRPr="00F657F5">
        <w:rPr>
          <w:rFonts w:ascii="Calibri" w:hAnsi="Calibri" w:cs="Calibri"/>
        </w:rPr>
        <w:t xml:space="preserve"> </w:t>
      </w:r>
      <w:r w:rsidR="00281D82" w:rsidRPr="00F657F5">
        <w:rPr>
          <w:rFonts w:ascii="Calibri" w:hAnsi="Calibri" w:cs="Calibri"/>
        </w:rPr>
        <w:t xml:space="preserve">The </w:t>
      </w:r>
      <w:r w:rsidR="0036706F" w:rsidRPr="00F657F5">
        <w:rPr>
          <w:rFonts w:ascii="Calibri" w:hAnsi="Calibri" w:cs="Calibri"/>
        </w:rPr>
        <w:t xml:space="preserve">increase </w:t>
      </w:r>
      <w:r w:rsidR="005F7902" w:rsidRPr="00F657F5">
        <w:rPr>
          <w:rFonts w:ascii="Calibri" w:hAnsi="Calibri" w:cs="Calibri"/>
        </w:rPr>
        <w:t xml:space="preserve">in the balance derived </w:t>
      </w:r>
      <w:r w:rsidR="00E63313" w:rsidRPr="00F657F5">
        <w:rPr>
          <w:rFonts w:ascii="Calibri" w:hAnsi="Calibri" w:cs="Calibri"/>
        </w:rPr>
        <w:t>m</w:t>
      </w:r>
      <w:r w:rsidR="003A2DAE" w:rsidRPr="00F657F5">
        <w:rPr>
          <w:rFonts w:ascii="Calibri" w:hAnsi="Calibri" w:cs="Calibri"/>
        </w:rPr>
        <w:t>ainly</w:t>
      </w:r>
      <w:r w:rsidR="00E63313" w:rsidRPr="00F657F5">
        <w:rPr>
          <w:rFonts w:ascii="Calibri" w:hAnsi="Calibri" w:cs="Calibri"/>
        </w:rPr>
        <w:t xml:space="preserve"> </w:t>
      </w:r>
      <w:r w:rsidR="005F7902" w:rsidRPr="00F657F5">
        <w:rPr>
          <w:rFonts w:ascii="Calibri" w:hAnsi="Calibri" w:cs="Calibri"/>
        </w:rPr>
        <w:t xml:space="preserve">from the </w:t>
      </w:r>
      <w:r w:rsidR="004B25E1" w:rsidRPr="00F657F5">
        <w:rPr>
          <w:rFonts w:ascii="Calibri" w:hAnsi="Calibri" w:cs="Calibri"/>
        </w:rPr>
        <w:t xml:space="preserve">weakening </w:t>
      </w:r>
      <w:r w:rsidR="005F7902" w:rsidRPr="00F657F5">
        <w:rPr>
          <w:rFonts w:ascii="Calibri" w:hAnsi="Calibri" w:cs="Calibri"/>
        </w:rPr>
        <w:t xml:space="preserve">of the dollar </w:t>
      </w:r>
      <w:r w:rsidR="004B25E1" w:rsidRPr="00F657F5">
        <w:rPr>
          <w:rFonts w:ascii="Calibri" w:hAnsi="Calibri" w:cs="Calibri"/>
        </w:rPr>
        <w:t xml:space="preserve">vis-à-vis other currencies worldwide, </w:t>
      </w:r>
      <w:r w:rsidR="005F7902" w:rsidRPr="00F657F5">
        <w:rPr>
          <w:rFonts w:ascii="Calibri" w:hAnsi="Calibri" w:cs="Calibri"/>
        </w:rPr>
        <w:t xml:space="preserve">which </w:t>
      </w:r>
      <w:r w:rsidR="00346765" w:rsidRPr="00F657F5">
        <w:rPr>
          <w:rFonts w:ascii="Calibri" w:hAnsi="Calibri" w:cs="Calibri"/>
        </w:rPr>
        <w:t xml:space="preserve">led to </w:t>
      </w:r>
      <w:r w:rsidR="001955E6" w:rsidRPr="00F657F5">
        <w:rPr>
          <w:rFonts w:ascii="Calibri" w:hAnsi="Calibri" w:cs="Calibri"/>
        </w:rPr>
        <w:t xml:space="preserve">an increase </w:t>
      </w:r>
      <w:r w:rsidR="005F7902" w:rsidRPr="00F657F5">
        <w:rPr>
          <w:rFonts w:ascii="Calibri" w:hAnsi="Calibri" w:cs="Calibri"/>
        </w:rPr>
        <w:t xml:space="preserve">in </w:t>
      </w:r>
      <w:r w:rsidR="00783C12" w:rsidRPr="00F657F5">
        <w:rPr>
          <w:rFonts w:ascii="Calibri" w:hAnsi="Calibri" w:cs="Calibri"/>
        </w:rPr>
        <w:t xml:space="preserve">the </w:t>
      </w:r>
      <w:r w:rsidR="005F7902" w:rsidRPr="00F657F5">
        <w:rPr>
          <w:rFonts w:ascii="Calibri" w:hAnsi="Calibri" w:cs="Calibri"/>
        </w:rPr>
        <w:t xml:space="preserve">value of the </w:t>
      </w:r>
      <w:r w:rsidR="00783C12" w:rsidRPr="00F657F5">
        <w:rPr>
          <w:rFonts w:ascii="Calibri" w:hAnsi="Calibri" w:cs="Calibri"/>
        </w:rPr>
        <w:t xml:space="preserve">reserve </w:t>
      </w:r>
      <w:r w:rsidR="005F7902" w:rsidRPr="00F657F5">
        <w:rPr>
          <w:rFonts w:ascii="Calibri" w:hAnsi="Calibri" w:cs="Calibri"/>
        </w:rPr>
        <w:t>assets totaling about $</w:t>
      </w:r>
      <w:r w:rsidR="001955E6" w:rsidRPr="00F657F5">
        <w:rPr>
          <w:rFonts w:ascii="Calibri" w:hAnsi="Calibri" w:cs="Calibri"/>
        </w:rPr>
        <w:t xml:space="preserve">4.2 </w:t>
      </w:r>
      <w:r w:rsidR="005F7902" w:rsidRPr="00F657F5">
        <w:rPr>
          <w:rFonts w:ascii="Calibri" w:hAnsi="Calibri" w:cs="Calibri"/>
        </w:rPr>
        <w:t>billion. In addition,</w:t>
      </w:r>
      <w:r w:rsidR="009B798A" w:rsidRPr="00F657F5">
        <w:rPr>
          <w:rFonts w:ascii="Calibri" w:hAnsi="Calibri" w:cs="Calibri"/>
        </w:rPr>
        <w:t xml:space="preserve"> </w:t>
      </w:r>
      <w:r w:rsidR="001955E6" w:rsidRPr="00F657F5">
        <w:rPr>
          <w:rFonts w:ascii="Calibri" w:hAnsi="Calibri" w:cs="Calibri"/>
        </w:rPr>
        <w:t xml:space="preserve">government activities </w:t>
      </w:r>
      <w:r w:rsidR="00A24B74" w:rsidRPr="00F657F5">
        <w:rPr>
          <w:rFonts w:ascii="Calibri" w:hAnsi="Calibri" w:cs="Calibri"/>
        </w:rPr>
        <w:t xml:space="preserve">contributed </w:t>
      </w:r>
      <w:r w:rsidR="001955E6" w:rsidRPr="00F657F5">
        <w:rPr>
          <w:rFonts w:ascii="Calibri" w:hAnsi="Calibri" w:cs="Calibri"/>
        </w:rPr>
        <w:t xml:space="preserve">to an increase of $1.7 billion. </w:t>
      </w:r>
      <w:r w:rsidR="00937E3A" w:rsidRPr="00F657F5">
        <w:rPr>
          <w:rFonts w:ascii="Calibri" w:hAnsi="Calibri" w:cs="Calibri"/>
        </w:rPr>
        <w:t>I</w:t>
      </w:r>
      <w:r w:rsidR="001955E6" w:rsidRPr="00F657F5">
        <w:rPr>
          <w:rFonts w:ascii="Calibri" w:hAnsi="Calibri" w:cs="Calibri"/>
        </w:rPr>
        <w:t>n contrast, foreign securit</w:t>
      </w:r>
      <w:r w:rsidR="00A24B74" w:rsidRPr="00F657F5">
        <w:rPr>
          <w:rFonts w:ascii="Calibri" w:hAnsi="Calibri" w:cs="Calibri"/>
        </w:rPr>
        <w:t xml:space="preserve">y </w:t>
      </w:r>
      <w:r w:rsidR="001955E6" w:rsidRPr="00F657F5">
        <w:rPr>
          <w:rFonts w:ascii="Calibri" w:hAnsi="Calibri" w:cs="Calibri"/>
        </w:rPr>
        <w:t>price decline</w:t>
      </w:r>
      <w:r w:rsidR="00937E3A" w:rsidRPr="00F657F5">
        <w:rPr>
          <w:rFonts w:ascii="Calibri" w:hAnsi="Calibri" w:cs="Calibri"/>
        </w:rPr>
        <w:t>s led to a decrease of $1.6 billion in reserve</w:t>
      </w:r>
      <w:r w:rsidR="00A24B74" w:rsidRPr="00F657F5">
        <w:rPr>
          <w:rFonts w:ascii="Calibri" w:hAnsi="Calibri" w:cs="Calibri"/>
        </w:rPr>
        <w:t xml:space="preserve"> </w:t>
      </w:r>
      <w:r w:rsidR="00937E3A" w:rsidRPr="00F657F5">
        <w:rPr>
          <w:rFonts w:ascii="Calibri" w:hAnsi="Calibri" w:cs="Calibri"/>
        </w:rPr>
        <w:t>asset values.</w:t>
      </w:r>
      <w:r w:rsidR="00FE372D" w:rsidRPr="00F657F5">
        <w:rPr>
          <w:rFonts w:ascii="Calibri" w:hAnsi="Calibri" w:cs="Calibri"/>
        </w:rPr>
        <w:t xml:space="preserve"> </w:t>
      </w:r>
    </w:p>
    <w:p w14:paraId="5F8D6763" w14:textId="1268DF5E" w:rsidR="00DD15DC" w:rsidRPr="00F657F5" w:rsidRDefault="00DD15DC" w:rsidP="00E25021">
      <w:pPr>
        <w:pStyle w:val="regpar"/>
        <w:numPr>
          <w:ilvl w:val="0"/>
          <w:numId w:val="7"/>
        </w:numPr>
        <w:ind w:left="432"/>
        <w:rPr>
          <w:rFonts w:ascii="Calibri" w:hAnsi="Calibri" w:cs="Calibri"/>
        </w:rPr>
      </w:pPr>
      <w:r w:rsidRPr="00F657F5">
        <w:rPr>
          <w:rFonts w:ascii="Calibri" w:hAnsi="Calibri" w:cs="Calibri"/>
          <w:b/>
          <w:bCs/>
        </w:rPr>
        <w:t xml:space="preserve">The composition of </w:t>
      </w:r>
      <w:r w:rsidR="00405EEE" w:rsidRPr="00F657F5">
        <w:rPr>
          <w:rFonts w:ascii="Calibri" w:hAnsi="Calibri" w:cs="Calibri"/>
          <w:b/>
          <w:bCs/>
        </w:rPr>
        <w:t>Israelis’</w:t>
      </w:r>
      <w:r w:rsidRPr="00F657F5">
        <w:rPr>
          <w:rFonts w:ascii="Calibri" w:hAnsi="Calibri" w:cs="Calibri"/>
          <w:b/>
          <w:bCs/>
        </w:rPr>
        <w:t xml:space="preserve"> securities portfolio abroad</w:t>
      </w:r>
      <w:r w:rsidR="00137AAC" w:rsidRPr="00F657F5">
        <w:rPr>
          <w:rFonts w:ascii="Calibri" w:hAnsi="Calibri" w:cs="Calibri"/>
        </w:rPr>
        <w:t>:</w:t>
      </w:r>
      <w:r w:rsidR="00AA63FF" w:rsidRPr="00F657F5">
        <w:rPr>
          <w:rFonts w:ascii="Calibri" w:hAnsi="Calibri" w:cs="Calibri"/>
        </w:rPr>
        <w:t xml:space="preserve"> </w:t>
      </w:r>
      <w:r w:rsidR="0020142C" w:rsidRPr="00F657F5">
        <w:rPr>
          <w:rFonts w:ascii="Calibri" w:hAnsi="Calibri" w:cs="Calibri"/>
        </w:rPr>
        <w:t xml:space="preserve">During </w:t>
      </w:r>
      <w:r w:rsidR="00AA63FF" w:rsidRPr="00F657F5">
        <w:rPr>
          <w:rFonts w:ascii="Calibri" w:hAnsi="Calibri" w:cs="Calibri"/>
        </w:rPr>
        <w:t>t</w:t>
      </w:r>
      <w:r w:rsidR="00C95E5D" w:rsidRPr="00F657F5">
        <w:rPr>
          <w:rFonts w:ascii="Calibri" w:hAnsi="Calibri" w:cs="Calibri"/>
        </w:rPr>
        <w:t xml:space="preserve">he </w:t>
      </w:r>
      <w:r w:rsidR="0083537E" w:rsidRPr="00F657F5">
        <w:rPr>
          <w:rFonts w:ascii="Calibri" w:hAnsi="Calibri" w:cs="Calibri"/>
        </w:rPr>
        <w:t>first</w:t>
      </w:r>
      <w:r w:rsidR="007A6A15" w:rsidRPr="00F657F5">
        <w:rPr>
          <w:rFonts w:ascii="Calibri" w:hAnsi="Calibri" w:cs="Calibri"/>
        </w:rPr>
        <w:t xml:space="preserve"> quarter</w:t>
      </w:r>
      <w:r w:rsidR="00C95E5D" w:rsidRPr="00F657F5">
        <w:rPr>
          <w:rFonts w:ascii="Calibri" w:hAnsi="Calibri" w:cs="Calibri"/>
        </w:rPr>
        <w:t xml:space="preserve">, </w:t>
      </w:r>
      <w:r w:rsidR="005B25FD" w:rsidRPr="00F657F5">
        <w:rPr>
          <w:rFonts w:ascii="Calibri" w:hAnsi="Calibri" w:cs="Calibri"/>
        </w:rPr>
        <w:t xml:space="preserve">the </w:t>
      </w:r>
      <w:r w:rsidR="00864530" w:rsidRPr="00F657F5">
        <w:rPr>
          <w:rFonts w:ascii="Calibri" w:hAnsi="Calibri" w:cs="Calibri"/>
        </w:rPr>
        <w:t xml:space="preserve">share of </w:t>
      </w:r>
      <w:r w:rsidR="009727DF" w:rsidRPr="00F657F5">
        <w:rPr>
          <w:rFonts w:ascii="Calibri" w:hAnsi="Calibri" w:cs="Calibri"/>
        </w:rPr>
        <w:t xml:space="preserve">equity instruments in </w:t>
      </w:r>
      <w:r w:rsidR="00864530" w:rsidRPr="00F657F5">
        <w:rPr>
          <w:rFonts w:ascii="Calibri" w:hAnsi="Calibri" w:cs="Calibri"/>
        </w:rPr>
        <w:t xml:space="preserve">Israeli residents’ </w:t>
      </w:r>
      <w:r w:rsidR="009727DF" w:rsidRPr="00F657F5">
        <w:rPr>
          <w:rFonts w:ascii="Calibri" w:hAnsi="Calibri" w:cs="Calibri"/>
        </w:rPr>
        <w:t>portfolio</w:t>
      </w:r>
      <w:r w:rsidR="00864530" w:rsidRPr="00F657F5">
        <w:rPr>
          <w:rFonts w:ascii="Calibri" w:hAnsi="Calibri" w:cs="Calibri"/>
        </w:rPr>
        <w:t xml:space="preserve"> abroad</w:t>
      </w:r>
      <w:r w:rsidR="009727DF" w:rsidRPr="00F657F5">
        <w:rPr>
          <w:rFonts w:ascii="Calibri" w:hAnsi="Calibri" w:cs="Calibri"/>
        </w:rPr>
        <w:t xml:space="preserve"> </w:t>
      </w:r>
      <w:r w:rsidR="00D41724" w:rsidRPr="00F657F5">
        <w:rPr>
          <w:rFonts w:ascii="Calibri" w:hAnsi="Calibri" w:cs="Calibri"/>
        </w:rPr>
        <w:t xml:space="preserve">remained </w:t>
      </w:r>
      <w:r w:rsidR="00672616" w:rsidRPr="00F657F5">
        <w:rPr>
          <w:rFonts w:ascii="Calibri" w:hAnsi="Calibri" w:cs="Calibri"/>
        </w:rPr>
        <w:t>unchanged</w:t>
      </w:r>
      <w:r w:rsidR="00EC7C36" w:rsidRPr="00F657F5">
        <w:rPr>
          <w:rFonts w:ascii="Calibri" w:hAnsi="Calibri" w:cs="Calibri"/>
        </w:rPr>
        <w:t xml:space="preserve">, and </w:t>
      </w:r>
      <w:r w:rsidR="00E25021" w:rsidRPr="00F657F5">
        <w:rPr>
          <w:rFonts w:ascii="Calibri" w:hAnsi="Calibri" w:cs="Calibri"/>
        </w:rPr>
        <w:t xml:space="preserve">at the end of March it </w:t>
      </w:r>
      <w:r w:rsidR="00EC7C36" w:rsidRPr="00F657F5">
        <w:rPr>
          <w:rFonts w:ascii="Calibri" w:hAnsi="Calibri" w:cs="Calibri"/>
        </w:rPr>
        <w:t>was</w:t>
      </w:r>
      <w:r w:rsidR="009727DF" w:rsidRPr="00F657F5">
        <w:rPr>
          <w:rFonts w:ascii="Calibri" w:hAnsi="Calibri" w:cs="Calibri"/>
        </w:rPr>
        <w:t xml:space="preserve"> </w:t>
      </w:r>
      <w:r w:rsidR="002D5391" w:rsidRPr="00F657F5">
        <w:rPr>
          <w:rFonts w:ascii="Calibri" w:hAnsi="Calibri" w:cs="Calibri"/>
        </w:rPr>
        <w:t>4</w:t>
      </w:r>
      <w:r w:rsidR="00E25021" w:rsidRPr="00F657F5">
        <w:rPr>
          <w:rFonts w:ascii="Calibri" w:hAnsi="Calibri" w:cs="Calibri"/>
        </w:rPr>
        <w:t>6</w:t>
      </w:r>
      <w:r w:rsidR="009727DF" w:rsidRPr="00F657F5">
        <w:rPr>
          <w:rFonts w:ascii="Calibri" w:hAnsi="Calibri" w:cs="Calibri"/>
        </w:rPr>
        <w:t xml:space="preserve"> percent. A</w:t>
      </w:r>
      <w:r w:rsidR="005B25FD" w:rsidRPr="00F657F5">
        <w:rPr>
          <w:rFonts w:ascii="Calibri" w:hAnsi="Calibri" w:cs="Calibri"/>
        </w:rPr>
        <w:t>ccordingly</w:t>
      </w:r>
      <w:r w:rsidR="00AF55F1" w:rsidRPr="00F657F5">
        <w:rPr>
          <w:rFonts w:ascii="Calibri" w:hAnsi="Calibri" w:cs="Calibri"/>
        </w:rPr>
        <w:t>,</w:t>
      </w:r>
      <w:r w:rsidR="005B25FD" w:rsidRPr="00F657F5">
        <w:rPr>
          <w:rFonts w:ascii="Calibri" w:hAnsi="Calibri" w:cs="Calibri"/>
        </w:rPr>
        <w:t xml:space="preserve"> the </w:t>
      </w:r>
      <w:r w:rsidR="00C848BB" w:rsidRPr="00F657F5">
        <w:rPr>
          <w:rFonts w:ascii="Calibri" w:hAnsi="Calibri" w:cs="Calibri"/>
        </w:rPr>
        <w:t xml:space="preserve">share </w:t>
      </w:r>
      <w:r w:rsidR="00AF5646" w:rsidRPr="00F657F5">
        <w:rPr>
          <w:rFonts w:ascii="Calibri" w:hAnsi="Calibri" w:cs="Calibri"/>
        </w:rPr>
        <w:t>of</w:t>
      </w:r>
      <w:r w:rsidR="00864530" w:rsidRPr="00F657F5">
        <w:rPr>
          <w:rFonts w:ascii="Calibri" w:hAnsi="Calibri" w:cs="Calibri"/>
        </w:rPr>
        <w:t xml:space="preserve"> debt </w:t>
      </w:r>
      <w:r w:rsidR="00AF5646" w:rsidRPr="00F657F5">
        <w:rPr>
          <w:rFonts w:ascii="Calibri" w:hAnsi="Calibri" w:cs="Calibri"/>
        </w:rPr>
        <w:t>instruments</w:t>
      </w:r>
      <w:r w:rsidR="00864530" w:rsidRPr="00F657F5">
        <w:rPr>
          <w:rFonts w:ascii="Calibri" w:hAnsi="Calibri" w:cs="Calibri"/>
        </w:rPr>
        <w:t xml:space="preserve"> </w:t>
      </w:r>
      <w:r w:rsidR="009C018D" w:rsidRPr="00F657F5">
        <w:rPr>
          <w:rFonts w:ascii="Calibri" w:hAnsi="Calibri" w:cs="Calibri"/>
        </w:rPr>
        <w:t xml:space="preserve">was </w:t>
      </w:r>
      <w:r w:rsidR="00E25021" w:rsidRPr="00F657F5">
        <w:rPr>
          <w:rFonts w:ascii="Calibri" w:hAnsi="Calibri" w:cs="Calibri"/>
        </w:rPr>
        <w:t>54</w:t>
      </w:r>
      <w:r w:rsidR="00310434" w:rsidRPr="00F657F5">
        <w:rPr>
          <w:rFonts w:ascii="Calibri" w:hAnsi="Calibri" w:cs="Calibri"/>
        </w:rPr>
        <w:t xml:space="preserve"> </w:t>
      </w:r>
      <w:r w:rsidR="00AF5646" w:rsidRPr="00F657F5">
        <w:rPr>
          <w:rFonts w:ascii="Calibri" w:hAnsi="Calibri" w:cs="Calibri"/>
        </w:rPr>
        <w:t>percent</w:t>
      </w:r>
      <w:r w:rsidR="00310434" w:rsidRPr="00F657F5">
        <w:rPr>
          <w:rFonts w:ascii="Calibri" w:hAnsi="Calibri" w:cs="Calibri"/>
        </w:rPr>
        <w:t xml:space="preserve"> at the end of</w:t>
      </w:r>
      <w:r w:rsidR="002D07A8" w:rsidRPr="00F657F5">
        <w:rPr>
          <w:rFonts w:ascii="Calibri" w:hAnsi="Calibri" w:cs="Calibri"/>
        </w:rPr>
        <w:t xml:space="preserve"> </w:t>
      </w:r>
      <w:r w:rsidR="00EC7C36" w:rsidRPr="00F657F5">
        <w:rPr>
          <w:rFonts w:ascii="Calibri" w:hAnsi="Calibri" w:cs="Calibri"/>
        </w:rPr>
        <w:t>the quarter</w:t>
      </w:r>
      <w:r w:rsidR="00864530" w:rsidRPr="00F657F5">
        <w:rPr>
          <w:rFonts w:ascii="Calibri" w:hAnsi="Calibri" w:cs="Calibri"/>
        </w:rPr>
        <w:t xml:space="preserve">. </w:t>
      </w:r>
    </w:p>
    <w:p w14:paraId="4EC417A8" w14:textId="77777777" w:rsidR="007C7EAD" w:rsidRPr="00F657F5" w:rsidRDefault="007C7EAD" w:rsidP="007C7EAD">
      <w:pPr>
        <w:pStyle w:val="regpar"/>
        <w:ind w:left="426" w:firstLine="0"/>
        <w:rPr>
          <w:rFonts w:ascii="Calibri" w:hAnsi="Calibri" w:cs="Calibri"/>
        </w:rPr>
      </w:pPr>
    </w:p>
    <w:p w14:paraId="53CC67F0" w14:textId="77777777" w:rsidR="007C7EAD" w:rsidRPr="00F657F5" w:rsidRDefault="007C7EAD" w:rsidP="007C7EAD">
      <w:pPr>
        <w:pStyle w:val="regpar"/>
        <w:ind w:left="426" w:firstLine="0"/>
        <w:rPr>
          <w:rFonts w:ascii="Calibri" w:hAnsi="Calibri" w:cs="Calibri"/>
        </w:rPr>
      </w:pPr>
    </w:p>
    <w:p w14:paraId="63BC4F35" w14:textId="77777777" w:rsidR="00763F37" w:rsidRPr="00F657F5" w:rsidRDefault="00763F37" w:rsidP="00763F37">
      <w:pPr>
        <w:pStyle w:val="regpar"/>
        <w:numPr>
          <w:ilvl w:val="0"/>
          <w:numId w:val="4"/>
        </w:numPr>
        <w:rPr>
          <w:rFonts w:ascii="Calibri" w:hAnsi="Calibri" w:cs="Calibri"/>
          <w:b/>
          <w:bCs/>
        </w:rPr>
      </w:pPr>
      <w:r w:rsidRPr="00F657F5">
        <w:rPr>
          <w:rFonts w:ascii="Calibri" w:hAnsi="Calibri" w:cs="Calibri"/>
          <w:b/>
          <w:bCs/>
        </w:rPr>
        <w:t>Israel’s liabilities to abroad</w:t>
      </w:r>
    </w:p>
    <w:p w14:paraId="4A37891B" w14:textId="77777777" w:rsidR="00763F37" w:rsidRPr="00F657F5" w:rsidRDefault="00763F37" w:rsidP="00DD15DC">
      <w:pPr>
        <w:pStyle w:val="regpar"/>
        <w:ind w:firstLine="0"/>
        <w:rPr>
          <w:rFonts w:ascii="Calibri" w:hAnsi="Calibri" w:cs="Calibri"/>
        </w:rPr>
      </w:pPr>
    </w:p>
    <w:p w14:paraId="4F93BD61" w14:textId="125551D7" w:rsidR="00812508" w:rsidRPr="00F657F5" w:rsidRDefault="00DD15DC" w:rsidP="004C7A63">
      <w:pPr>
        <w:pStyle w:val="regpar"/>
        <w:ind w:firstLine="0"/>
        <w:rPr>
          <w:rFonts w:ascii="Calibri" w:hAnsi="Calibri" w:cs="Calibri"/>
        </w:rPr>
      </w:pPr>
      <w:r w:rsidRPr="00F657F5">
        <w:rPr>
          <w:rFonts w:ascii="Calibri" w:hAnsi="Calibri" w:cs="Calibri"/>
        </w:rPr>
        <w:t xml:space="preserve">The balance of Israel's liabilities to abroad </w:t>
      </w:r>
      <w:r w:rsidR="004B6B25" w:rsidRPr="00F657F5">
        <w:rPr>
          <w:rFonts w:ascii="Calibri" w:hAnsi="Calibri" w:cs="Calibri"/>
        </w:rPr>
        <w:t>de</w:t>
      </w:r>
      <w:r w:rsidR="002210FA" w:rsidRPr="00F657F5">
        <w:rPr>
          <w:rFonts w:ascii="Calibri" w:hAnsi="Calibri" w:cs="Calibri"/>
        </w:rPr>
        <w:t>creased</w:t>
      </w:r>
      <w:r w:rsidR="00280DD3" w:rsidRPr="00F657F5">
        <w:rPr>
          <w:rFonts w:ascii="Calibri" w:hAnsi="Calibri" w:cs="Calibri"/>
        </w:rPr>
        <w:t xml:space="preserve"> </w:t>
      </w:r>
      <w:r w:rsidRPr="00F657F5">
        <w:rPr>
          <w:rFonts w:ascii="Calibri" w:hAnsi="Calibri" w:cs="Calibri"/>
        </w:rPr>
        <w:t>by about $</w:t>
      </w:r>
      <w:r w:rsidR="00CD34A3" w:rsidRPr="00F657F5">
        <w:rPr>
          <w:rFonts w:ascii="Calibri" w:hAnsi="Calibri" w:cs="Calibri"/>
        </w:rPr>
        <w:t xml:space="preserve">1 </w:t>
      </w:r>
      <w:r w:rsidRPr="00F657F5">
        <w:rPr>
          <w:rFonts w:ascii="Calibri" w:hAnsi="Calibri" w:cs="Calibri"/>
        </w:rPr>
        <w:t>billion (</w:t>
      </w:r>
      <w:r w:rsidR="00C25A15" w:rsidRPr="00F657F5">
        <w:rPr>
          <w:rFonts w:ascii="Calibri" w:hAnsi="Calibri" w:cs="Calibri"/>
        </w:rPr>
        <w:t xml:space="preserve">about </w:t>
      </w:r>
      <w:r w:rsidR="00CD34A3" w:rsidRPr="00F657F5">
        <w:rPr>
          <w:rFonts w:ascii="Calibri" w:hAnsi="Calibri" w:cs="Calibri"/>
        </w:rPr>
        <w:t>0</w:t>
      </w:r>
      <w:r w:rsidR="002D5391" w:rsidRPr="00F657F5">
        <w:rPr>
          <w:rFonts w:ascii="Calibri" w:hAnsi="Calibri" w:cs="Calibri"/>
        </w:rPr>
        <w:t xml:space="preserve">.2 </w:t>
      </w:r>
      <w:r w:rsidRPr="00F657F5">
        <w:rPr>
          <w:rFonts w:ascii="Calibri" w:hAnsi="Calibri" w:cs="Calibri"/>
        </w:rPr>
        <w:t>percent)</w:t>
      </w:r>
      <w:r w:rsidR="00C95E5D" w:rsidRPr="00F657F5">
        <w:rPr>
          <w:rFonts w:ascii="Calibri" w:hAnsi="Calibri" w:cs="Calibri"/>
        </w:rPr>
        <w:t xml:space="preserve"> </w:t>
      </w:r>
      <w:r w:rsidR="002A4692" w:rsidRPr="00F657F5">
        <w:rPr>
          <w:rFonts w:ascii="Calibri" w:hAnsi="Calibri" w:cs="Calibri"/>
        </w:rPr>
        <w:t xml:space="preserve">during </w:t>
      </w:r>
      <w:r w:rsidR="00C95E5D" w:rsidRPr="00F657F5">
        <w:rPr>
          <w:rFonts w:ascii="Calibri" w:hAnsi="Calibri" w:cs="Calibri"/>
        </w:rPr>
        <w:t xml:space="preserve">the </w:t>
      </w:r>
      <w:r w:rsidR="0083537E" w:rsidRPr="00F657F5">
        <w:rPr>
          <w:rFonts w:ascii="Calibri" w:hAnsi="Calibri" w:cs="Calibri"/>
        </w:rPr>
        <w:t>first</w:t>
      </w:r>
      <w:r w:rsidR="007A6A15" w:rsidRPr="00F657F5">
        <w:rPr>
          <w:rFonts w:ascii="Calibri" w:hAnsi="Calibri" w:cs="Calibri"/>
        </w:rPr>
        <w:t xml:space="preserve"> quarter</w:t>
      </w:r>
      <w:r w:rsidRPr="00F657F5">
        <w:rPr>
          <w:rFonts w:ascii="Calibri" w:hAnsi="Calibri" w:cs="Calibri"/>
        </w:rPr>
        <w:t xml:space="preserve">, to </w:t>
      </w:r>
      <w:r w:rsidR="00BB4475" w:rsidRPr="00F657F5">
        <w:rPr>
          <w:rFonts w:ascii="Calibri" w:hAnsi="Calibri" w:cs="Calibri"/>
        </w:rPr>
        <w:t xml:space="preserve">approximately </w:t>
      </w:r>
      <w:r w:rsidRPr="00F657F5">
        <w:rPr>
          <w:rFonts w:ascii="Calibri" w:hAnsi="Calibri" w:cs="Calibri"/>
        </w:rPr>
        <w:t>$</w:t>
      </w:r>
      <w:r w:rsidR="002D5391" w:rsidRPr="00F657F5">
        <w:rPr>
          <w:rFonts w:ascii="Calibri" w:hAnsi="Calibri" w:cs="Calibri"/>
        </w:rPr>
        <w:t>55</w:t>
      </w:r>
      <w:r w:rsidR="00CD34A3" w:rsidRPr="00F657F5">
        <w:rPr>
          <w:rFonts w:ascii="Calibri" w:hAnsi="Calibri" w:cs="Calibri"/>
        </w:rPr>
        <w:t>3</w:t>
      </w:r>
      <w:r w:rsidR="00F258AF" w:rsidRPr="00F657F5">
        <w:rPr>
          <w:rFonts w:ascii="Calibri" w:hAnsi="Calibri" w:cs="Calibri"/>
        </w:rPr>
        <w:t xml:space="preserve"> </w:t>
      </w:r>
      <w:r w:rsidRPr="00F657F5">
        <w:rPr>
          <w:rFonts w:ascii="Calibri" w:hAnsi="Calibri" w:cs="Calibri"/>
        </w:rPr>
        <w:t xml:space="preserve">billion at the end of </w:t>
      </w:r>
      <w:r w:rsidR="005D3B75" w:rsidRPr="00F657F5">
        <w:rPr>
          <w:rFonts w:ascii="Calibri" w:hAnsi="Calibri" w:cs="Calibri"/>
        </w:rPr>
        <w:t>the quarter</w:t>
      </w:r>
      <w:r w:rsidR="00F9554B" w:rsidRPr="00F657F5">
        <w:rPr>
          <w:rFonts w:ascii="Calibri" w:hAnsi="Calibri" w:cs="Calibri"/>
        </w:rPr>
        <w:t>.</w:t>
      </w:r>
      <w:r w:rsidR="005E7885" w:rsidRPr="00F657F5">
        <w:rPr>
          <w:rFonts w:ascii="Calibri" w:hAnsi="Calibri" w:cs="Calibri"/>
        </w:rPr>
        <w:t xml:space="preserve"> </w:t>
      </w:r>
      <w:r w:rsidR="009D2FAE" w:rsidRPr="00F657F5">
        <w:rPr>
          <w:rFonts w:ascii="Calibri" w:hAnsi="Calibri" w:cs="Calibri"/>
        </w:rPr>
        <w:t xml:space="preserve">The </w:t>
      </w:r>
      <w:r w:rsidR="00CD34A3" w:rsidRPr="00F657F5">
        <w:rPr>
          <w:rFonts w:ascii="Calibri" w:hAnsi="Calibri" w:cs="Calibri"/>
        </w:rPr>
        <w:t>de</w:t>
      </w:r>
      <w:r w:rsidR="002210FA" w:rsidRPr="00F657F5">
        <w:rPr>
          <w:rFonts w:ascii="Calibri" w:hAnsi="Calibri" w:cs="Calibri"/>
        </w:rPr>
        <w:t>creas</w:t>
      </w:r>
      <w:r w:rsidR="00D41724" w:rsidRPr="00F657F5">
        <w:rPr>
          <w:rFonts w:ascii="Calibri" w:hAnsi="Calibri" w:cs="Calibri"/>
        </w:rPr>
        <w:t>e</w:t>
      </w:r>
      <w:r w:rsidR="009727DF" w:rsidRPr="00F657F5">
        <w:rPr>
          <w:rFonts w:ascii="Calibri" w:hAnsi="Calibri" w:cs="Calibri"/>
        </w:rPr>
        <w:t xml:space="preserve"> was</w:t>
      </w:r>
      <w:r w:rsidR="005F32E1" w:rsidRPr="00F657F5">
        <w:rPr>
          <w:rFonts w:ascii="Calibri" w:hAnsi="Calibri" w:cs="Calibri"/>
        </w:rPr>
        <w:t xml:space="preserve"> </w:t>
      </w:r>
      <w:r w:rsidR="005D3B75" w:rsidRPr="00F657F5">
        <w:rPr>
          <w:rFonts w:ascii="Calibri" w:hAnsi="Calibri" w:cs="Calibri"/>
        </w:rPr>
        <w:t xml:space="preserve">mainly </w:t>
      </w:r>
      <w:r w:rsidR="009727DF" w:rsidRPr="00F657F5">
        <w:rPr>
          <w:rFonts w:ascii="Calibri" w:hAnsi="Calibri" w:cs="Calibri"/>
        </w:rPr>
        <w:t xml:space="preserve">due to </w:t>
      </w:r>
      <w:r w:rsidR="00F258AF" w:rsidRPr="00F657F5">
        <w:rPr>
          <w:rFonts w:ascii="Calibri" w:hAnsi="Calibri" w:cs="Calibri"/>
        </w:rPr>
        <w:t>a</w:t>
      </w:r>
      <w:r w:rsidR="00CD34A3" w:rsidRPr="00F657F5">
        <w:rPr>
          <w:rFonts w:ascii="Calibri" w:hAnsi="Calibri" w:cs="Calibri"/>
        </w:rPr>
        <w:t xml:space="preserve"> decline </w:t>
      </w:r>
      <w:r w:rsidR="00F258AF" w:rsidRPr="00F657F5">
        <w:rPr>
          <w:rFonts w:ascii="Calibri" w:hAnsi="Calibri" w:cs="Calibri"/>
        </w:rPr>
        <w:t>in prices of Israeli secur</w:t>
      </w:r>
      <w:r w:rsidR="00454DA5" w:rsidRPr="00F657F5">
        <w:rPr>
          <w:rFonts w:ascii="Calibri" w:hAnsi="Calibri" w:cs="Calibri"/>
        </w:rPr>
        <w:t>ities held by nonresidents</w:t>
      </w:r>
      <w:r w:rsidR="00CD34A3" w:rsidRPr="00F657F5">
        <w:rPr>
          <w:rFonts w:ascii="Calibri" w:hAnsi="Calibri" w:cs="Calibri"/>
        </w:rPr>
        <w:t>. This decline was partly offset by net investments by nonresi</w:t>
      </w:r>
      <w:r w:rsidR="004C7A63" w:rsidRPr="00F657F5">
        <w:rPr>
          <w:rFonts w:ascii="Calibri" w:hAnsi="Calibri" w:cs="Calibri"/>
        </w:rPr>
        <w:t>d</w:t>
      </w:r>
      <w:r w:rsidR="00CD34A3" w:rsidRPr="00F657F5">
        <w:rPr>
          <w:rFonts w:ascii="Calibri" w:hAnsi="Calibri" w:cs="Calibri"/>
        </w:rPr>
        <w:t>ents in Israel.</w:t>
      </w:r>
    </w:p>
    <w:p w14:paraId="165F7FE1" w14:textId="3181CCBE" w:rsidR="00346978" w:rsidRPr="00F657F5" w:rsidRDefault="004A53A2" w:rsidP="00C6274F">
      <w:pPr>
        <w:pStyle w:val="regpar"/>
        <w:numPr>
          <w:ilvl w:val="0"/>
          <w:numId w:val="8"/>
        </w:numPr>
        <w:ind w:left="426"/>
        <w:rPr>
          <w:rFonts w:ascii="Calibri" w:hAnsi="Calibri" w:cs="Calibri"/>
        </w:rPr>
      </w:pPr>
      <w:r w:rsidRPr="00F657F5">
        <w:rPr>
          <w:rFonts w:ascii="Calibri" w:hAnsi="Calibri" w:cs="Calibri"/>
          <w:b/>
          <w:bCs/>
        </w:rPr>
        <w:t>The value of direct investments in the economy</w:t>
      </w:r>
      <w:r w:rsidRPr="00F657F5">
        <w:rPr>
          <w:rFonts w:ascii="Calibri" w:hAnsi="Calibri" w:cs="Calibri"/>
        </w:rPr>
        <w:t xml:space="preserve"> </w:t>
      </w:r>
      <w:r w:rsidR="00FC3574" w:rsidRPr="00F657F5">
        <w:rPr>
          <w:rFonts w:ascii="Calibri" w:hAnsi="Calibri" w:cs="Calibri"/>
        </w:rPr>
        <w:t>increased</w:t>
      </w:r>
      <w:r w:rsidRPr="00F657F5">
        <w:rPr>
          <w:rFonts w:ascii="Calibri" w:hAnsi="Calibri" w:cs="Calibri"/>
        </w:rPr>
        <w:t xml:space="preserve"> </w:t>
      </w:r>
      <w:r w:rsidR="00C80B77" w:rsidRPr="00F657F5">
        <w:rPr>
          <w:rFonts w:ascii="Calibri" w:hAnsi="Calibri" w:cs="Calibri"/>
        </w:rPr>
        <w:t xml:space="preserve">by </w:t>
      </w:r>
      <w:r w:rsidR="009727DF" w:rsidRPr="00F657F5">
        <w:rPr>
          <w:rFonts w:ascii="Calibri" w:hAnsi="Calibri" w:cs="Calibri"/>
        </w:rPr>
        <w:t xml:space="preserve">about </w:t>
      </w:r>
      <w:r w:rsidR="00C80B77" w:rsidRPr="00F657F5">
        <w:rPr>
          <w:rFonts w:ascii="Calibri" w:hAnsi="Calibri" w:cs="Calibri"/>
        </w:rPr>
        <w:t>$</w:t>
      </w:r>
      <w:r w:rsidR="00331D39" w:rsidRPr="00F657F5">
        <w:rPr>
          <w:rFonts w:ascii="Calibri" w:hAnsi="Calibri" w:cs="Calibri"/>
        </w:rPr>
        <w:t>1 b</w:t>
      </w:r>
      <w:r w:rsidR="00B26262" w:rsidRPr="00F657F5">
        <w:rPr>
          <w:rFonts w:ascii="Calibri" w:hAnsi="Calibri" w:cs="Calibri"/>
        </w:rPr>
        <w:t xml:space="preserve">illion </w:t>
      </w:r>
      <w:r w:rsidRPr="00F657F5">
        <w:rPr>
          <w:rFonts w:ascii="Calibri" w:hAnsi="Calibri" w:cs="Calibri"/>
        </w:rPr>
        <w:t>(</w:t>
      </w:r>
      <w:r w:rsidR="000027EA" w:rsidRPr="00F657F5">
        <w:rPr>
          <w:rFonts w:ascii="Calibri" w:hAnsi="Calibri" w:cs="Calibri"/>
        </w:rPr>
        <w:t xml:space="preserve">about </w:t>
      </w:r>
      <w:r w:rsidR="00331D39" w:rsidRPr="00F657F5">
        <w:rPr>
          <w:rFonts w:ascii="Calibri" w:hAnsi="Calibri" w:cs="Calibri"/>
        </w:rPr>
        <w:t>0.</w:t>
      </w:r>
      <w:r w:rsidR="00C6274F" w:rsidRPr="00F657F5">
        <w:rPr>
          <w:rFonts w:ascii="Calibri" w:hAnsi="Calibri" w:cs="Calibri"/>
          <w:rtl/>
        </w:rPr>
        <w:t>4</w:t>
      </w:r>
      <w:r w:rsidR="00331D39" w:rsidRPr="00F657F5">
        <w:rPr>
          <w:rFonts w:ascii="Calibri" w:hAnsi="Calibri" w:cs="Calibri"/>
        </w:rPr>
        <w:t xml:space="preserve"> </w:t>
      </w:r>
      <w:r w:rsidRPr="00F657F5">
        <w:rPr>
          <w:rFonts w:ascii="Calibri" w:hAnsi="Calibri" w:cs="Calibri"/>
        </w:rPr>
        <w:t>percent)</w:t>
      </w:r>
      <w:r w:rsidR="000027EA" w:rsidRPr="00F657F5">
        <w:rPr>
          <w:rFonts w:ascii="Calibri" w:hAnsi="Calibri" w:cs="Calibri"/>
        </w:rPr>
        <w:t xml:space="preserve"> during the </w:t>
      </w:r>
      <w:r w:rsidR="0083537E" w:rsidRPr="00F657F5">
        <w:rPr>
          <w:rFonts w:ascii="Calibri" w:hAnsi="Calibri" w:cs="Calibri"/>
        </w:rPr>
        <w:t>first</w:t>
      </w:r>
      <w:r w:rsidR="007A6A15" w:rsidRPr="00F657F5">
        <w:rPr>
          <w:rFonts w:ascii="Calibri" w:hAnsi="Calibri" w:cs="Calibri"/>
        </w:rPr>
        <w:t xml:space="preserve"> quarter</w:t>
      </w:r>
      <w:r w:rsidR="009727DF" w:rsidRPr="00F657F5">
        <w:rPr>
          <w:rFonts w:ascii="Calibri" w:hAnsi="Calibri" w:cs="Calibri"/>
        </w:rPr>
        <w:t>,</w:t>
      </w:r>
      <w:r w:rsidR="00AF7AC8" w:rsidRPr="00F657F5">
        <w:rPr>
          <w:rFonts w:ascii="Calibri" w:hAnsi="Calibri" w:cs="Calibri"/>
        </w:rPr>
        <w:t xml:space="preserve"> </w:t>
      </w:r>
      <w:r w:rsidR="009727DF" w:rsidRPr="00F657F5">
        <w:rPr>
          <w:rFonts w:ascii="Calibri" w:hAnsi="Calibri" w:cs="Calibri"/>
        </w:rPr>
        <w:t>due to</w:t>
      </w:r>
      <w:r w:rsidR="00FC3574" w:rsidRPr="00F657F5">
        <w:rPr>
          <w:rFonts w:ascii="Calibri" w:hAnsi="Calibri" w:cs="Calibri"/>
        </w:rPr>
        <w:t xml:space="preserve"> </w:t>
      </w:r>
      <w:r w:rsidR="00C31354" w:rsidRPr="00F657F5">
        <w:rPr>
          <w:rFonts w:ascii="Calibri" w:hAnsi="Calibri" w:cs="Calibri"/>
        </w:rPr>
        <w:t>net investments by nonresidents totaling about $</w:t>
      </w:r>
      <w:r w:rsidR="00C6274F" w:rsidRPr="00F657F5">
        <w:rPr>
          <w:rFonts w:ascii="Calibri" w:hAnsi="Calibri" w:cs="Calibri"/>
          <w:rtl/>
        </w:rPr>
        <w:t>4.4</w:t>
      </w:r>
      <w:r w:rsidR="00C6274F" w:rsidRPr="00F657F5">
        <w:rPr>
          <w:rFonts w:ascii="Calibri" w:hAnsi="Calibri" w:cs="Calibri"/>
        </w:rPr>
        <w:t xml:space="preserve"> </w:t>
      </w:r>
      <w:r w:rsidR="00C31354" w:rsidRPr="00F657F5">
        <w:rPr>
          <w:rFonts w:ascii="Calibri" w:hAnsi="Calibri" w:cs="Calibri"/>
        </w:rPr>
        <w:t>billion</w:t>
      </w:r>
      <w:r w:rsidR="00C6274F" w:rsidRPr="00F657F5">
        <w:rPr>
          <w:rFonts w:ascii="Calibri" w:hAnsi="Calibri" w:cs="Calibri"/>
        </w:rPr>
        <w:t>, which was offset by a decline in the prices of Israeli equities held by nonresident parties at interest (Figure 2).</w:t>
      </w:r>
      <w:r w:rsidR="0093651E" w:rsidRPr="00F657F5">
        <w:rPr>
          <w:rFonts w:ascii="Calibri" w:hAnsi="Calibri" w:cs="Calibri"/>
        </w:rPr>
        <w:t xml:space="preserve"> </w:t>
      </w:r>
    </w:p>
    <w:p w14:paraId="15C38DFD" w14:textId="0830EB74" w:rsidR="0054539B" w:rsidRPr="00F657F5" w:rsidRDefault="007C1496" w:rsidP="00323A5A">
      <w:pPr>
        <w:pStyle w:val="regpar"/>
        <w:numPr>
          <w:ilvl w:val="0"/>
          <w:numId w:val="8"/>
        </w:numPr>
        <w:ind w:left="426"/>
        <w:rPr>
          <w:rFonts w:ascii="Calibri" w:hAnsi="Calibri" w:cs="Calibri"/>
        </w:rPr>
      </w:pPr>
      <w:r w:rsidRPr="00F657F5">
        <w:rPr>
          <w:rFonts w:ascii="Calibri" w:hAnsi="Calibri" w:cs="Calibri"/>
          <w:b/>
          <w:bCs/>
        </w:rPr>
        <w:t>The value of the securities portfolio</w:t>
      </w:r>
      <w:r w:rsidRPr="00F657F5">
        <w:rPr>
          <w:rFonts w:ascii="Calibri" w:hAnsi="Calibri" w:cs="Calibri"/>
        </w:rPr>
        <w:t xml:space="preserve"> </w:t>
      </w:r>
      <w:r w:rsidR="002210FA" w:rsidRPr="00F657F5">
        <w:rPr>
          <w:rFonts w:ascii="Calibri" w:hAnsi="Calibri" w:cs="Calibri"/>
        </w:rPr>
        <w:t>increased</w:t>
      </w:r>
      <w:r w:rsidR="00BB3547" w:rsidRPr="00F657F5">
        <w:rPr>
          <w:rFonts w:ascii="Calibri" w:hAnsi="Calibri" w:cs="Calibri"/>
        </w:rPr>
        <w:t xml:space="preserve"> </w:t>
      </w:r>
      <w:r w:rsidRPr="00F657F5">
        <w:rPr>
          <w:rFonts w:ascii="Calibri" w:hAnsi="Calibri" w:cs="Calibri"/>
        </w:rPr>
        <w:t>by</w:t>
      </w:r>
      <w:r w:rsidR="009727DF" w:rsidRPr="00F657F5">
        <w:rPr>
          <w:rFonts w:ascii="Calibri" w:hAnsi="Calibri" w:cs="Calibri"/>
        </w:rPr>
        <w:t xml:space="preserve"> about</w:t>
      </w:r>
      <w:r w:rsidRPr="00F657F5">
        <w:rPr>
          <w:rFonts w:ascii="Calibri" w:hAnsi="Calibri" w:cs="Calibri"/>
        </w:rPr>
        <w:t xml:space="preserve"> $</w:t>
      </w:r>
      <w:r w:rsidR="00FF1C4F" w:rsidRPr="00F657F5">
        <w:rPr>
          <w:rFonts w:ascii="Calibri" w:hAnsi="Calibri" w:cs="Calibri"/>
        </w:rPr>
        <w:t xml:space="preserve">0.9 </w:t>
      </w:r>
      <w:r w:rsidR="00DE4C60" w:rsidRPr="00F657F5">
        <w:rPr>
          <w:rFonts w:ascii="Calibri" w:hAnsi="Calibri" w:cs="Calibri"/>
        </w:rPr>
        <w:t>billion (</w:t>
      </w:r>
      <w:r w:rsidR="009727DF" w:rsidRPr="00F657F5">
        <w:rPr>
          <w:rFonts w:ascii="Calibri" w:hAnsi="Calibri" w:cs="Calibri"/>
        </w:rPr>
        <w:t xml:space="preserve">about </w:t>
      </w:r>
      <w:r w:rsidR="00FF1C4F" w:rsidRPr="00F657F5">
        <w:rPr>
          <w:rFonts w:ascii="Calibri" w:hAnsi="Calibri" w:cs="Calibri"/>
        </w:rPr>
        <w:t xml:space="preserve">0.4 </w:t>
      </w:r>
      <w:r w:rsidRPr="00F657F5">
        <w:rPr>
          <w:rFonts w:ascii="Calibri" w:hAnsi="Calibri" w:cs="Calibri"/>
        </w:rPr>
        <w:t xml:space="preserve">percent) </w:t>
      </w:r>
      <w:r w:rsidR="006F61B6" w:rsidRPr="00F657F5">
        <w:rPr>
          <w:rFonts w:ascii="Calibri" w:hAnsi="Calibri" w:cs="Calibri"/>
        </w:rPr>
        <w:t>in</w:t>
      </w:r>
      <w:r w:rsidRPr="00F657F5">
        <w:rPr>
          <w:rFonts w:ascii="Calibri" w:hAnsi="Calibri" w:cs="Calibri"/>
        </w:rPr>
        <w:t xml:space="preserve"> the </w:t>
      </w:r>
      <w:r w:rsidR="0083537E" w:rsidRPr="00F657F5">
        <w:rPr>
          <w:rFonts w:ascii="Calibri" w:hAnsi="Calibri" w:cs="Calibri"/>
        </w:rPr>
        <w:t>first</w:t>
      </w:r>
      <w:r w:rsidR="007A6A15" w:rsidRPr="00F657F5">
        <w:rPr>
          <w:rFonts w:ascii="Calibri" w:hAnsi="Calibri" w:cs="Calibri"/>
        </w:rPr>
        <w:t xml:space="preserve"> quarter</w:t>
      </w:r>
      <w:r w:rsidR="00FF1C4F" w:rsidRPr="00F657F5">
        <w:rPr>
          <w:rFonts w:ascii="Calibri" w:hAnsi="Calibri" w:cs="Calibri"/>
        </w:rPr>
        <w:t xml:space="preserve">. Nonresidents invested about a net $2.2 billion in Israeli equities and invested about a net $6.3 billion in Israeli bonds (due to an offering abroad by the </w:t>
      </w:r>
      <w:r w:rsidR="0084308A" w:rsidRPr="00F657F5">
        <w:rPr>
          <w:rFonts w:ascii="Calibri" w:hAnsi="Calibri" w:cs="Calibri"/>
        </w:rPr>
        <w:t xml:space="preserve">government). In contrast, these </w:t>
      </w:r>
      <w:r w:rsidR="0043692B" w:rsidRPr="00F657F5">
        <w:rPr>
          <w:rFonts w:ascii="Calibri" w:hAnsi="Calibri" w:cs="Calibri"/>
        </w:rPr>
        <w:t>investments</w:t>
      </w:r>
      <w:r w:rsidR="0084308A" w:rsidRPr="00F657F5">
        <w:rPr>
          <w:rFonts w:ascii="Calibri" w:hAnsi="Calibri" w:cs="Calibri"/>
        </w:rPr>
        <w:t xml:space="preserve"> were offset by a decline in</w:t>
      </w:r>
      <w:r w:rsidR="00F77C37" w:rsidRPr="00F657F5">
        <w:rPr>
          <w:rFonts w:ascii="Calibri" w:hAnsi="Calibri" w:cs="Calibri"/>
        </w:rPr>
        <w:t xml:space="preserve"> the prices of </w:t>
      </w:r>
      <w:r w:rsidR="0084308A" w:rsidRPr="00F657F5">
        <w:rPr>
          <w:rFonts w:ascii="Calibri" w:hAnsi="Calibri" w:cs="Calibri"/>
        </w:rPr>
        <w:t>Israeli equities totaling about $6</w:t>
      </w:r>
      <w:r w:rsidR="00323A5A" w:rsidRPr="00F657F5">
        <w:rPr>
          <w:rFonts w:ascii="Calibri" w:hAnsi="Calibri" w:cs="Calibri"/>
        </w:rPr>
        <w:t xml:space="preserve"> </w:t>
      </w:r>
      <w:r w:rsidR="0084308A" w:rsidRPr="00F657F5">
        <w:rPr>
          <w:rFonts w:ascii="Calibri" w:hAnsi="Calibri" w:cs="Calibri"/>
        </w:rPr>
        <w:t>billion.</w:t>
      </w:r>
    </w:p>
    <w:p w14:paraId="3FC5D896" w14:textId="355E2741" w:rsidR="000050DA" w:rsidRPr="00F657F5" w:rsidRDefault="00DD15DC" w:rsidP="00741132">
      <w:pPr>
        <w:pStyle w:val="regpar"/>
        <w:numPr>
          <w:ilvl w:val="0"/>
          <w:numId w:val="8"/>
        </w:numPr>
        <w:ind w:left="432" w:firstLine="0"/>
        <w:rPr>
          <w:rFonts w:ascii="Calibri" w:hAnsi="Calibri" w:cs="Calibri"/>
        </w:rPr>
      </w:pPr>
      <w:r w:rsidRPr="00F657F5">
        <w:rPr>
          <w:rFonts w:ascii="Calibri" w:hAnsi="Calibri" w:cs="Calibri"/>
          <w:b/>
          <w:bCs/>
        </w:rPr>
        <w:t xml:space="preserve">The value of </w:t>
      </w:r>
      <w:r w:rsidRPr="00F657F5">
        <w:rPr>
          <w:rFonts w:ascii="Calibri" w:hAnsi="Calibri" w:cs="Calibri"/>
          <w:b/>
        </w:rPr>
        <w:t>nonresidents' financial portfolio on the Tel Aviv Stock Exchange</w:t>
      </w:r>
      <w:r w:rsidR="00980A0E" w:rsidRPr="00F657F5">
        <w:rPr>
          <w:rFonts w:ascii="Calibri" w:hAnsi="Calibri" w:cs="Calibri"/>
          <w:b/>
        </w:rPr>
        <w:t>,</w:t>
      </w:r>
      <w:r w:rsidR="00980A0E" w:rsidRPr="00F657F5">
        <w:rPr>
          <w:rFonts w:ascii="Calibri" w:hAnsi="Calibri" w:cs="Calibri"/>
          <w:bCs/>
        </w:rPr>
        <w:t xml:space="preserve"> </w:t>
      </w:r>
      <w:r w:rsidR="0084308A" w:rsidRPr="00F657F5">
        <w:rPr>
          <w:rFonts w:ascii="Calibri" w:hAnsi="Calibri" w:cs="Calibri"/>
          <w:bCs/>
        </w:rPr>
        <w:t>(</w:t>
      </w:r>
      <w:r w:rsidR="00980A0E" w:rsidRPr="00F657F5">
        <w:rPr>
          <w:rFonts w:ascii="Calibri" w:hAnsi="Calibri" w:cs="Calibri"/>
          <w:bCs/>
        </w:rPr>
        <w:t xml:space="preserve">which makes up a part of nonresidents’ investments in </w:t>
      </w:r>
      <w:r w:rsidR="00243AAE" w:rsidRPr="00F657F5">
        <w:rPr>
          <w:rFonts w:ascii="Calibri" w:hAnsi="Calibri" w:cs="Calibri"/>
          <w:bCs/>
        </w:rPr>
        <w:t>Israel</w:t>
      </w:r>
      <w:r w:rsidR="00980A0E" w:rsidRPr="00F657F5">
        <w:rPr>
          <w:rFonts w:ascii="Calibri" w:hAnsi="Calibri" w:cs="Calibri"/>
          <w:bCs/>
        </w:rPr>
        <w:t>,</w:t>
      </w:r>
      <w:r w:rsidR="0084308A" w:rsidRPr="00F657F5">
        <w:rPr>
          <w:rFonts w:ascii="Calibri" w:hAnsi="Calibri" w:cs="Calibri"/>
          <w:bCs/>
        </w:rPr>
        <w:t>)</w:t>
      </w:r>
      <w:r w:rsidRPr="00F657F5">
        <w:rPr>
          <w:rFonts w:ascii="Calibri" w:hAnsi="Calibri" w:cs="Calibri"/>
          <w:bCs/>
        </w:rPr>
        <w:t xml:space="preserve"> </w:t>
      </w:r>
      <w:r w:rsidR="00A82CAA" w:rsidRPr="00F657F5">
        <w:rPr>
          <w:rFonts w:ascii="Calibri" w:hAnsi="Calibri" w:cs="Calibri"/>
          <w:bCs/>
        </w:rPr>
        <w:t>increased</w:t>
      </w:r>
      <w:r w:rsidR="009D1D91" w:rsidRPr="00F657F5">
        <w:rPr>
          <w:rFonts w:ascii="Calibri" w:hAnsi="Calibri" w:cs="Calibri"/>
          <w:bCs/>
        </w:rPr>
        <w:t xml:space="preserve"> </w:t>
      </w:r>
      <w:r w:rsidR="00A82CAA" w:rsidRPr="00F657F5">
        <w:rPr>
          <w:rFonts w:ascii="Calibri" w:hAnsi="Calibri" w:cs="Calibri"/>
          <w:bCs/>
        </w:rPr>
        <w:t>by about $</w:t>
      </w:r>
      <w:r w:rsidR="0084308A" w:rsidRPr="00F657F5">
        <w:rPr>
          <w:rFonts w:ascii="Calibri" w:hAnsi="Calibri" w:cs="Calibri"/>
          <w:bCs/>
        </w:rPr>
        <w:t xml:space="preserve">2.6 </w:t>
      </w:r>
      <w:r w:rsidR="00A82CAA" w:rsidRPr="00F657F5">
        <w:rPr>
          <w:rFonts w:ascii="Calibri" w:hAnsi="Calibri" w:cs="Calibri"/>
          <w:bCs/>
        </w:rPr>
        <w:t>billion i</w:t>
      </w:r>
      <w:r w:rsidR="00D7126E" w:rsidRPr="00F657F5">
        <w:rPr>
          <w:rFonts w:ascii="Calibri" w:hAnsi="Calibri" w:cs="Calibri"/>
          <w:bCs/>
        </w:rPr>
        <w:t xml:space="preserve">n the </w:t>
      </w:r>
      <w:r w:rsidR="0083537E" w:rsidRPr="00F657F5">
        <w:rPr>
          <w:rFonts w:ascii="Calibri" w:hAnsi="Calibri" w:cs="Calibri"/>
          <w:bCs/>
        </w:rPr>
        <w:t>first</w:t>
      </w:r>
      <w:r w:rsidR="007A6A15" w:rsidRPr="00F657F5">
        <w:rPr>
          <w:rFonts w:ascii="Calibri" w:hAnsi="Calibri" w:cs="Calibri"/>
          <w:bCs/>
        </w:rPr>
        <w:t xml:space="preserve"> quarter</w:t>
      </w:r>
      <w:r w:rsidR="000050DA" w:rsidRPr="00F657F5">
        <w:rPr>
          <w:rFonts w:ascii="Calibri" w:hAnsi="Calibri" w:cs="Calibri"/>
          <w:bCs/>
        </w:rPr>
        <w:t xml:space="preserve"> of 202</w:t>
      </w:r>
      <w:r w:rsidR="0084308A" w:rsidRPr="00F657F5">
        <w:rPr>
          <w:rFonts w:ascii="Calibri" w:hAnsi="Calibri" w:cs="Calibri"/>
          <w:bCs/>
        </w:rPr>
        <w:t>5</w:t>
      </w:r>
      <w:r w:rsidRPr="00F657F5">
        <w:rPr>
          <w:rFonts w:ascii="Calibri" w:hAnsi="Calibri" w:cs="Calibri"/>
          <w:bCs/>
        </w:rPr>
        <w:t>, to about $</w:t>
      </w:r>
      <w:r w:rsidR="000050DA" w:rsidRPr="00F657F5">
        <w:rPr>
          <w:rFonts w:ascii="Calibri" w:hAnsi="Calibri" w:cs="Calibri"/>
          <w:bCs/>
        </w:rPr>
        <w:t>7</w:t>
      </w:r>
      <w:r w:rsidR="0084308A" w:rsidRPr="00F657F5">
        <w:rPr>
          <w:rFonts w:ascii="Calibri" w:hAnsi="Calibri" w:cs="Calibri"/>
          <w:bCs/>
        </w:rPr>
        <w:t>9</w:t>
      </w:r>
      <w:r w:rsidR="000050DA" w:rsidRPr="00F657F5">
        <w:rPr>
          <w:rFonts w:ascii="Calibri" w:hAnsi="Calibri" w:cs="Calibri"/>
          <w:bCs/>
        </w:rPr>
        <w:t xml:space="preserve"> </w:t>
      </w:r>
      <w:r w:rsidR="00295790" w:rsidRPr="00F657F5">
        <w:rPr>
          <w:rFonts w:ascii="Calibri" w:hAnsi="Calibri" w:cs="Calibri"/>
          <w:bCs/>
        </w:rPr>
        <w:t>b</w:t>
      </w:r>
      <w:r w:rsidRPr="00F657F5">
        <w:rPr>
          <w:rFonts w:ascii="Calibri" w:hAnsi="Calibri" w:cs="Calibri"/>
          <w:bCs/>
        </w:rPr>
        <w:t>illion at the end of</w:t>
      </w:r>
      <w:r w:rsidR="00295790" w:rsidRPr="00F657F5">
        <w:rPr>
          <w:rFonts w:ascii="Calibri" w:hAnsi="Calibri" w:cs="Calibri"/>
          <w:bCs/>
        </w:rPr>
        <w:t xml:space="preserve"> </w:t>
      </w:r>
      <w:r w:rsidR="0084308A" w:rsidRPr="00F657F5">
        <w:rPr>
          <w:rFonts w:ascii="Calibri" w:hAnsi="Calibri" w:cs="Calibri"/>
          <w:bCs/>
        </w:rPr>
        <w:t>March</w:t>
      </w:r>
      <w:r w:rsidR="00980A0E" w:rsidRPr="00F657F5">
        <w:rPr>
          <w:rFonts w:ascii="Calibri" w:hAnsi="Calibri" w:cs="Calibri"/>
          <w:bCs/>
        </w:rPr>
        <w:t>.</w:t>
      </w:r>
      <w:r w:rsidR="00FE372D" w:rsidRPr="00F657F5">
        <w:rPr>
          <w:rFonts w:ascii="Calibri" w:hAnsi="Calibri" w:cs="Calibri"/>
          <w:bCs/>
        </w:rPr>
        <w:t xml:space="preserve"> </w:t>
      </w:r>
      <w:r w:rsidR="000050DA" w:rsidRPr="00F657F5">
        <w:rPr>
          <w:rFonts w:ascii="Calibri" w:hAnsi="Calibri" w:cs="Calibri"/>
          <w:bCs/>
        </w:rPr>
        <w:t xml:space="preserve">The increase in the value of the portfolio derived </w:t>
      </w:r>
      <w:r w:rsidR="00AC05F2" w:rsidRPr="00F657F5">
        <w:rPr>
          <w:rFonts w:ascii="Calibri" w:hAnsi="Calibri" w:cs="Calibri"/>
          <w:bCs/>
        </w:rPr>
        <w:t>mainly f</w:t>
      </w:r>
      <w:r w:rsidR="000050DA" w:rsidRPr="00F657F5">
        <w:rPr>
          <w:rFonts w:ascii="Calibri" w:hAnsi="Calibri" w:cs="Calibri"/>
          <w:bCs/>
        </w:rPr>
        <w:t>r</w:t>
      </w:r>
      <w:r w:rsidR="00AC05F2" w:rsidRPr="00F657F5">
        <w:rPr>
          <w:rFonts w:ascii="Calibri" w:hAnsi="Calibri" w:cs="Calibri"/>
          <w:bCs/>
        </w:rPr>
        <w:t>o</w:t>
      </w:r>
      <w:r w:rsidR="000050DA" w:rsidRPr="00F657F5">
        <w:rPr>
          <w:rFonts w:ascii="Calibri" w:hAnsi="Calibri" w:cs="Calibri"/>
          <w:bCs/>
        </w:rPr>
        <w:t xml:space="preserve">m </w:t>
      </w:r>
      <w:r w:rsidR="00741132" w:rsidRPr="00F657F5">
        <w:rPr>
          <w:rFonts w:ascii="Calibri" w:hAnsi="Calibri" w:cs="Calibri"/>
          <w:bCs/>
        </w:rPr>
        <w:t>net investments by nonresident</w:t>
      </w:r>
      <w:r w:rsidR="001E022B" w:rsidRPr="00F657F5">
        <w:rPr>
          <w:rFonts w:ascii="Calibri" w:hAnsi="Calibri" w:cs="Calibri"/>
          <w:bCs/>
        </w:rPr>
        <w:t>s</w:t>
      </w:r>
      <w:r w:rsidR="00741132" w:rsidRPr="00F657F5">
        <w:rPr>
          <w:rFonts w:ascii="Calibri" w:hAnsi="Calibri" w:cs="Calibri"/>
          <w:bCs/>
        </w:rPr>
        <w:t xml:space="preserve"> </w:t>
      </w:r>
      <w:r w:rsidR="000050DA" w:rsidRPr="00F657F5">
        <w:rPr>
          <w:rFonts w:ascii="Calibri" w:hAnsi="Calibri" w:cs="Calibri"/>
          <w:bCs/>
        </w:rPr>
        <w:t>(Figure 3</w:t>
      </w:r>
      <w:r w:rsidR="00F52F57" w:rsidRPr="00F657F5">
        <w:rPr>
          <w:rFonts w:ascii="Calibri" w:hAnsi="Calibri" w:cs="Calibri"/>
          <w:bCs/>
        </w:rPr>
        <w:t xml:space="preserve"> and Figure 4</w:t>
      </w:r>
      <w:r w:rsidR="000050DA" w:rsidRPr="00F657F5">
        <w:rPr>
          <w:rFonts w:ascii="Calibri" w:hAnsi="Calibri" w:cs="Calibri"/>
          <w:bCs/>
        </w:rPr>
        <w:t>).</w:t>
      </w:r>
    </w:p>
    <w:p w14:paraId="2DC75B17" w14:textId="66C05E86" w:rsidR="007A40A1" w:rsidRPr="00F657F5" w:rsidRDefault="007A40A1" w:rsidP="00477DCC">
      <w:pPr>
        <w:pStyle w:val="regpar"/>
        <w:ind w:firstLine="0"/>
        <w:rPr>
          <w:rFonts w:ascii="Calibri" w:hAnsi="Calibri" w:cs="Calibri"/>
        </w:rPr>
      </w:pPr>
      <w:r w:rsidRPr="00F657F5">
        <w:rPr>
          <w:rFonts w:ascii="Calibri" w:hAnsi="Calibri" w:cs="Calibri"/>
          <w:noProof/>
        </w:rPr>
        <w:drawing>
          <wp:anchor distT="0" distB="0" distL="114300" distR="114300" simplePos="0" relativeHeight="251685888" behindDoc="0" locked="0" layoutInCell="1" allowOverlap="1" wp14:anchorId="672CCEA8" wp14:editId="59FACC1B">
            <wp:simplePos x="0" y="0"/>
            <wp:positionH relativeFrom="column">
              <wp:posOffset>2792730</wp:posOffset>
            </wp:positionH>
            <wp:positionV relativeFrom="paragraph">
              <wp:posOffset>207818</wp:posOffset>
            </wp:positionV>
            <wp:extent cx="2892425" cy="1885315"/>
            <wp:effectExtent l="0" t="0" r="3175" b="635"/>
            <wp:wrapSquare wrapText="bothSides"/>
            <wp:docPr id="192" name="תמונה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2425" cy="1885315"/>
                    </a:xfrm>
                    <a:prstGeom prst="rect">
                      <a:avLst/>
                    </a:prstGeom>
                    <a:noFill/>
                  </pic:spPr>
                </pic:pic>
              </a:graphicData>
            </a:graphic>
            <wp14:sizeRelH relativeFrom="margin">
              <wp14:pctWidth>0</wp14:pctWidth>
            </wp14:sizeRelH>
            <wp14:sizeRelV relativeFrom="margin">
              <wp14:pctHeight>0</wp14:pctHeight>
            </wp14:sizeRelV>
          </wp:anchor>
        </w:drawing>
      </w:r>
      <w:r w:rsidRPr="00F657F5">
        <w:rPr>
          <w:rFonts w:ascii="Calibri" w:hAnsi="Calibri" w:cs="Calibri"/>
          <w:noProof/>
        </w:rPr>
        <w:drawing>
          <wp:anchor distT="0" distB="0" distL="114300" distR="114300" simplePos="0" relativeHeight="251684864" behindDoc="0" locked="0" layoutInCell="1" allowOverlap="1" wp14:anchorId="747F73F5" wp14:editId="3F07E423">
            <wp:simplePos x="0" y="0"/>
            <wp:positionH relativeFrom="column">
              <wp:posOffset>-309880</wp:posOffset>
            </wp:positionH>
            <wp:positionV relativeFrom="paragraph">
              <wp:posOffset>207645</wp:posOffset>
            </wp:positionV>
            <wp:extent cx="3097530" cy="1889760"/>
            <wp:effectExtent l="0" t="0" r="7620" b="0"/>
            <wp:wrapSquare wrapText="bothSides"/>
            <wp:docPr id="31" name="תמונה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97530" cy="1889760"/>
                    </a:xfrm>
                    <a:prstGeom prst="rect">
                      <a:avLst/>
                    </a:prstGeom>
                    <a:noFill/>
                  </pic:spPr>
                </pic:pic>
              </a:graphicData>
            </a:graphic>
            <wp14:sizeRelH relativeFrom="margin">
              <wp14:pctWidth>0</wp14:pctWidth>
            </wp14:sizeRelH>
            <wp14:sizeRelV relativeFrom="margin">
              <wp14:pctHeight>0</wp14:pctHeight>
            </wp14:sizeRelV>
          </wp:anchor>
        </w:drawing>
      </w:r>
    </w:p>
    <w:p w14:paraId="552E8821" w14:textId="626ABF3F" w:rsidR="009C3057" w:rsidRPr="00F657F5" w:rsidRDefault="00811E95" w:rsidP="00452111">
      <w:pPr>
        <w:pStyle w:val="regpar"/>
        <w:ind w:firstLine="0"/>
        <w:rPr>
          <w:rFonts w:ascii="Calibri" w:hAnsi="Calibri" w:cs="Calibri"/>
          <w:b/>
          <w:bCs/>
        </w:rPr>
      </w:pPr>
      <w:r w:rsidRPr="00F657F5">
        <w:rPr>
          <w:rFonts w:ascii="Calibri" w:hAnsi="Calibri" w:cs="Calibri"/>
          <w:b/>
          <w:bCs/>
          <w:noProof/>
        </w:rPr>
        <w:lastRenderedPageBreak/>
        <mc:AlternateContent>
          <mc:Choice Requires="wps">
            <w:drawing>
              <wp:anchor distT="45720" distB="45720" distL="114300" distR="114300" simplePos="0" relativeHeight="251670528" behindDoc="0" locked="0" layoutInCell="1" allowOverlap="1" wp14:anchorId="50F41D84" wp14:editId="6FC6BC84">
                <wp:simplePos x="0" y="0"/>
                <wp:positionH relativeFrom="page">
                  <wp:posOffset>1009650</wp:posOffset>
                </wp:positionH>
                <wp:positionV relativeFrom="paragraph">
                  <wp:posOffset>133350</wp:posOffset>
                </wp:positionV>
                <wp:extent cx="4812665" cy="285750"/>
                <wp:effectExtent l="0" t="0" r="698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665" cy="285750"/>
                        </a:xfrm>
                        <a:prstGeom prst="rect">
                          <a:avLst/>
                        </a:prstGeom>
                        <a:solidFill>
                          <a:srgbClr val="FFFFFF"/>
                        </a:solidFill>
                        <a:ln w="9525">
                          <a:noFill/>
                          <a:miter lim="800000"/>
                          <a:headEnd/>
                          <a:tailEnd/>
                        </a:ln>
                      </wps:spPr>
                      <wps:txbx>
                        <w:txbxContent>
                          <w:p w14:paraId="7C5811C0" w14:textId="77777777" w:rsidR="00811E95" w:rsidRPr="0054314B" w:rsidRDefault="00811E95" w:rsidP="00494280">
                            <w:pPr>
                              <w:bidi w:val="0"/>
                              <w:rPr>
                                <w:sz w:val="18"/>
                                <w:szCs w:val="18"/>
                                <w:vertAlign w:val="superscript"/>
                              </w:rPr>
                            </w:pPr>
                            <w:r w:rsidRPr="00811E95">
                              <w:rPr>
                                <w:sz w:val="18"/>
                                <w:szCs w:val="18"/>
                              </w:rPr>
                              <w:t>Source: Israel</w:t>
                            </w:r>
                            <w:r>
                              <w:rPr>
                                <w:sz w:val="18"/>
                                <w:szCs w:val="18"/>
                              </w:rPr>
                              <w:t xml:space="preserve"> Sec</w:t>
                            </w:r>
                            <w:r w:rsidRPr="00811E95">
                              <w:rPr>
                                <w:sz w:val="18"/>
                                <w:szCs w:val="18"/>
                              </w:rPr>
                              <w:t>urities Authority,</w:t>
                            </w:r>
                            <w:r w:rsidR="00BA72C9">
                              <w:rPr>
                                <w:sz w:val="18"/>
                                <w:szCs w:val="18"/>
                              </w:rPr>
                              <w:t xml:space="preserve"> and</w:t>
                            </w:r>
                            <w:r w:rsidRPr="00811E95">
                              <w:rPr>
                                <w:sz w:val="18"/>
                                <w:szCs w:val="18"/>
                              </w:rPr>
                              <w:t xml:space="preserve"> Bank of Israel data</w:t>
                            </w:r>
                            <w:r w:rsidR="00494280">
                              <w:rPr>
                                <w:sz w:val="18"/>
                                <w:szCs w:val="18"/>
                              </w:rPr>
                              <w:t xml:space="preserve"> and processing</w:t>
                            </w:r>
                            <w:r w:rsidR="00BA72C9">
                              <w:rPr>
                                <w:sz w:val="18"/>
                                <w:szCs w:val="18"/>
                                <w:vertAlign w:val="superscript"/>
                              </w:rPr>
                              <w:t>1</w:t>
                            </w:r>
                            <w:r w:rsidR="00BA72C9">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41D84" id="_x0000_s1027" type="#_x0000_t202" style="position:absolute;left:0;text-align:left;margin-left:79.5pt;margin-top:10.5pt;width:378.95pt;height:22.5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" stroked="f">
                <v:textbox>
                  <w:txbxContent>
                    <w:p w14:paraId="7C5811C0" w14:textId="77777777" w:rsidR="00811E95" w:rsidRPr="0054314B" w:rsidRDefault="00811E95" w:rsidP="00494280">
                      <w:pPr>
                        <w:bidi w:val="0"/>
                        <w:rPr>
                          <w:sz w:val="18"/>
                          <w:szCs w:val="18"/>
                          <w:vertAlign w:val="superscript"/>
                        </w:rPr>
                      </w:pPr>
                      <w:r w:rsidRPr="00811E95">
                        <w:rPr>
                          <w:sz w:val="18"/>
                          <w:szCs w:val="18"/>
                        </w:rPr>
                        <w:t>Source: Israel</w:t>
                      </w:r>
                      <w:r>
                        <w:rPr>
                          <w:sz w:val="18"/>
                          <w:szCs w:val="18"/>
                        </w:rPr>
                        <w:t xml:space="preserve"> Sec</w:t>
                      </w:r>
                      <w:r w:rsidRPr="00811E95">
                        <w:rPr>
                          <w:sz w:val="18"/>
                          <w:szCs w:val="18"/>
                        </w:rPr>
                        <w:t>urities Authority,</w:t>
                      </w:r>
                      <w:r w:rsidR="00BA72C9">
                        <w:rPr>
                          <w:sz w:val="18"/>
                          <w:szCs w:val="18"/>
                        </w:rPr>
                        <w:t xml:space="preserve"> and</w:t>
                      </w:r>
                      <w:r w:rsidRPr="00811E95">
                        <w:rPr>
                          <w:sz w:val="18"/>
                          <w:szCs w:val="18"/>
                        </w:rPr>
                        <w:t xml:space="preserve"> Bank of Israel data</w:t>
                      </w:r>
                      <w:r w:rsidR="00494280">
                        <w:rPr>
                          <w:sz w:val="18"/>
                          <w:szCs w:val="18"/>
                        </w:rPr>
                        <w:t xml:space="preserve"> and processing</w:t>
                      </w:r>
                      <w:r w:rsidR="00BA72C9">
                        <w:rPr>
                          <w:sz w:val="18"/>
                          <w:szCs w:val="18"/>
                          <w:vertAlign w:val="superscript"/>
                        </w:rPr>
                        <w:t>1</w:t>
                      </w:r>
                      <w:r w:rsidR="00BA72C9">
                        <w:rPr>
                          <w:sz w:val="18"/>
                          <w:szCs w:val="18"/>
                        </w:rPr>
                        <w:t>.</w:t>
                      </w:r>
                    </w:p>
                  </w:txbxContent>
                </v:textbox>
                <w10:wrap anchorx="page"/>
              </v:shape>
            </w:pict>
          </mc:Fallback>
        </mc:AlternateContent>
      </w:r>
    </w:p>
    <w:p w14:paraId="75294402" w14:textId="77777777" w:rsidR="009C3057" w:rsidRPr="00F657F5" w:rsidRDefault="009C3057" w:rsidP="00452111">
      <w:pPr>
        <w:pStyle w:val="regpar"/>
        <w:ind w:firstLine="0"/>
        <w:rPr>
          <w:rFonts w:ascii="Calibri" w:hAnsi="Calibri" w:cs="Calibri"/>
          <w:b/>
          <w:bCs/>
        </w:rPr>
      </w:pPr>
    </w:p>
    <w:p w14:paraId="4B2301C1" w14:textId="77777777" w:rsidR="00BA72C9" w:rsidRPr="00F657F5" w:rsidRDefault="00BA72C9" w:rsidP="009277E3">
      <w:pPr>
        <w:pStyle w:val="regpar"/>
        <w:ind w:firstLine="0"/>
        <w:outlineLvl w:val="0"/>
        <w:rPr>
          <w:rFonts w:ascii="Calibri" w:hAnsi="Calibri" w:cs="Calibri"/>
          <w:b/>
          <w:bCs/>
        </w:rPr>
      </w:pPr>
    </w:p>
    <w:p w14:paraId="0B206F8F" w14:textId="31C23A8D" w:rsidR="000050DA" w:rsidRPr="00F657F5" w:rsidRDefault="007409AC" w:rsidP="001C34E4">
      <w:pPr>
        <w:pStyle w:val="regpar"/>
        <w:ind w:firstLine="0"/>
        <w:outlineLvl w:val="0"/>
        <w:rPr>
          <w:rFonts w:ascii="Calibri" w:hAnsi="Calibri" w:cs="Calibri"/>
        </w:rPr>
      </w:pPr>
      <w:r w:rsidRPr="00F657F5">
        <w:rPr>
          <w:rFonts w:ascii="Calibri" w:hAnsi="Calibri" w:cs="Calibri"/>
          <w:b/>
          <w:bCs/>
        </w:rPr>
        <w:t xml:space="preserve">The value of other investments in the economy </w:t>
      </w:r>
      <w:r w:rsidR="00955714" w:rsidRPr="00F657F5">
        <w:rPr>
          <w:rFonts w:ascii="Calibri" w:hAnsi="Calibri" w:cs="Calibri"/>
        </w:rPr>
        <w:t>de</w:t>
      </w:r>
      <w:r w:rsidR="00A82CAA" w:rsidRPr="00F657F5">
        <w:rPr>
          <w:rFonts w:ascii="Calibri" w:hAnsi="Calibri" w:cs="Calibri"/>
        </w:rPr>
        <w:t>creased</w:t>
      </w:r>
      <w:r w:rsidR="00171EC4" w:rsidRPr="00F657F5">
        <w:rPr>
          <w:rFonts w:ascii="Calibri" w:hAnsi="Calibri" w:cs="Calibri"/>
        </w:rPr>
        <w:t xml:space="preserve"> </w:t>
      </w:r>
      <w:r w:rsidR="00DC5C52" w:rsidRPr="00F657F5">
        <w:rPr>
          <w:rFonts w:ascii="Calibri" w:hAnsi="Calibri" w:cs="Calibri"/>
        </w:rPr>
        <w:t>by about $</w:t>
      </w:r>
      <w:r w:rsidR="00955714" w:rsidRPr="00F657F5">
        <w:rPr>
          <w:rFonts w:ascii="Calibri" w:hAnsi="Calibri" w:cs="Calibri"/>
        </w:rPr>
        <w:t xml:space="preserve">2.9 </w:t>
      </w:r>
      <w:r w:rsidR="00DC5C52" w:rsidRPr="00F657F5">
        <w:rPr>
          <w:rFonts w:ascii="Calibri" w:hAnsi="Calibri" w:cs="Calibri"/>
        </w:rPr>
        <w:t>billion (</w:t>
      </w:r>
      <w:r w:rsidR="00685643" w:rsidRPr="00F657F5">
        <w:rPr>
          <w:rFonts w:ascii="Calibri" w:hAnsi="Calibri" w:cs="Calibri"/>
        </w:rPr>
        <w:t xml:space="preserve">about </w:t>
      </w:r>
      <w:r w:rsidR="00955714" w:rsidRPr="00F657F5">
        <w:rPr>
          <w:rFonts w:ascii="Calibri" w:hAnsi="Calibri" w:cs="Calibri"/>
        </w:rPr>
        <w:t>4</w:t>
      </w:r>
      <w:r w:rsidR="00A82CAA" w:rsidRPr="00F657F5">
        <w:rPr>
          <w:rFonts w:ascii="Calibri" w:hAnsi="Calibri" w:cs="Calibri"/>
        </w:rPr>
        <w:t>.</w:t>
      </w:r>
      <w:r w:rsidR="000050DA" w:rsidRPr="00F657F5">
        <w:rPr>
          <w:rFonts w:ascii="Calibri" w:hAnsi="Calibri" w:cs="Calibri"/>
        </w:rPr>
        <w:t>1</w:t>
      </w:r>
      <w:r w:rsidR="00171EC4" w:rsidRPr="00F657F5">
        <w:rPr>
          <w:rFonts w:ascii="Calibri" w:hAnsi="Calibri" w:cs="Calibri"/>
        </w:rPr>
        <w:t xml:space="preserve"> </w:t>
      </w:r>
      <w:r w:rsidR="00DC5C52" w:rsidRPr="00F657F5">
        <w:rPr>
          <w:rFonts w:ascii="Calibri" w:hAnsi="Calibri" w:cs="Calibri"/>
        </w:rPr>
        <w:t xml:space="preserve">percent) in the </w:t>
      </w:r>
      <w:r w:rsidR="0083537E" w:rsidRPr="00F657F5">
        <w:rPr>
          <w:rFonts w:ascii="Calibri" w:hAnsi="Calibri" w:cs="Calibri"/>
        </w:rPr>
        <w:t>first</w:t>
      </w:r>
      <w:r w:rsidR="007A6A15" w:rsidRPr="00F657F5">
        <w:rPr>
          <w:rFonts w:ascii="Calibri" w:hAnsi="Calibri" w:cs="Calibri"/>
        </w:rPr>
        <w:t xml:space="preserve"> quarter</w:t>
      </w:r>
      <w:r w:rsidR="00DC5C52" w:rsidRPr="00F657F5">
        <w:rPr>
          <w:rFonts w:ascii="Calibri" w:hAnsi="Calibri" w:cs="Calibri"/>
        </w:rPr>
        <w:t xml:space="preserve">, to </w:t>
      </w:r>
      <w:r w:rsidR="00174485" w:rsidRPr="00F657F5">
        <w:rPr>
          <w:rFonts w:ascii="Calibri" w:hAnsi="Calibri" w:cs="Calibri"/>
        </w:rPr>
        <w:t xml:space="preserve">about </w:t>
      </w:r>
      <w:r w:rsidR="00DC5C52" w:rsidRPr="00F657F5">
        <w:rPr>
          <w:rFonts w:ascii="Calibri" w:hAnsi="Calibri" w:cs="Calibri"/>
        </w:rPr>
        <w:t>$</w:t>
      </w:r>
      <w:r w:rsidR="007E5E06" w:rsidRPr="00F657F5">
        <w:rPr>
          <w:rFonts w:ascii="Calibri" w:hAnsi="Calibri" w:cs="Calibri"/>
        </w:rPr>
        <w:t xml:space="preserve">67 </w:t>
      </w:r>
      <w:r w:rsidR="002E2EF8" w:rsidRPr="00F657F5">
        <w:rPr>
          <w:rFonts w:ascii="Calibri" w:hAnsi="Calibri" w:cs="Calibri"/>
        </w:rPr>
        <w:t>b</w:t>
      </w:r>
      <w:r w:rsidR="00DC5C52" w:rsidRPr="00F657F5">
        <w:rPr>
          <w:rFonts w:ascii="Calibri" w:hAnsi="Calibri" w:cs="Calibri"/>
        </w:rPr>
        <w:t xml:space="preserve">illion. The </w:t>
      </w:r>
      <w:r w:rsidR="007E5E06" w:rsidRPr="00F657F5">
        <w:rPr>
          <w:rFonts w:ascii="Calibri" w:hAnsi="Calibri" w:cs="Calibri"/>
        </w:rPr>
        <w:t>de</w:t>
      </w:r>
      <w:r w:rsidR="00A82CAA" w:rsidRPr="00F657F5">
        <w:rPr>
          <w:rFonts w:ascii="Calibri" w:hAnsi="Calibri" w:cs="Calibri"/>
        </w:rPr>
        <w:t>creas</w:t>
      </w:r>
      <w:r w:rsidR="005F798D" w:rsidRPr="00F657F5">
        <w:rPr>
          <w:rFonts w:ascii="Calibri" w:hAnsi="Calibri" w:cs="Calibri"/>
        </w:rPr>
        <w:t xml:space="preserve">e </w:t>
      </w:r>
      <w:r w:rsidR="00B17571" w:rsidRPr="00F657F5">
        <w:rPr>
          <w:rFonts w:ascii="Calibri" w:hAnsi="Calibri" w:cs="Calibri"/>
        </w:rPr>
        <w:t xml:space="preserve">derived </w:t>
      </w:r>
      <w:r w:rsidR="00DC5C52" w:rsidRPr="00F657F5">
        <w:rPr>
          <w:rFonts w:ascii="Calibri" w:hAnsi="Calibri" w:cs="Calibri"/>
        </w:rPr>
        <w:t xml:space="preserve">mainly </w:t>
      </w:r>
      <w:r w:rsidR="00B17571" w:rsidRPr="00F657F5">
        <w:rPr>
          <w:rFonts w:ascii="Calibri" w:hAnsi="Calibri" w:cs="Calibri"/>
        </w:rPr>
        <w:t xml:space="preserve">from </w:t>
      </w:r>
      <w:r w:rsidR="000050DA" w:rsidRPr="00F657F5">
        <w:rPr>
          <w:rFonts w:ascii="Calibri" w:hAnsi="Calibri" w:cs="Calibri"/>
        </w:rPr>
        <w:t>a</w:t>
      </w:r>
      <w:r w:rsidR="007E5E06" w:rsidRPr="00F657F5">
        <w:rPr>
          <w:rFonts w:ascii="Calibri" w:hAnsi="Calibri" w:cs="Calibri"/>
        </w:rPr>
        <w:t xml:space="preserve"> decline </w:t>
      </w:r>
      <w:r w:rsidR="000050DA" w:rsidRPr="00F657F5">
        <w:rPr>
          <w:rFonts w:ascii="Calibri" w:hAnsi="Calibri" w:cs="Calibri"/>
        </w:rPr>
        <w:t xml:space="preserve">in suppliers’ credit totaling </w:t>
      </w:r>
      <w:r w:rsidR="00B17571" w:rsidRPr="00F657F5">
        <w:rPr>
          <w:rFonts w:ascii="Calibri" w:hAnsi="Calibri" w:cs="Calibri"/>
        </w:rPr>
        <w:t xml:space="preserve">approximately </w:t>
      </w:r>
      <w:r w:rsidR="000050DA" w:rsidRPr="00F657F5">
        <w:rPr>
          <w:rFonts w:ascii="Calibri" w:hAnsi="Calibri" w:cs="Calibri"/>
        </w:rPr>
        <w:t>$</w:t>
      </w:r>
      <w:r w:rsidR="007E5E06" w:rsidRPr="00F657F5">
        <w:rPr>
          <w:rFonts w:ascii="Calibri" w:hAnsi="Calibri" w:cs="Calibri"/>
        </w:rPr>
        <w:t xml:space="preserve">1.7 </w:t>
      </w:r>
      <w:r w:rsidR="00B17571" w:rsidRPr="00F657F5">
        <w:rPr>
          <w:rFonts w:ascii="Calibri" w:hAnsi="Calibri" w:cs="Calibri"/>
        </w:rPr>
        <w:t xml:space="preserve">billion, and </w:t>
      </w:r>
      <w:r w:rsidR="000050DA" w:rsidRPr="00F657F5">
        <w:rPr>
          <w:rFonts w:ascii="Calibri" w:hAnsi="Calibri" w:cs="Calibri"/>
        </w:rPr>
        <w:t xml:space="preserve">by net </w:t>
      </w:r>
      <w:r w:rsidR="001C34E4" w:rsidRPr="00F657F5">
        <w:rPr>
          <w:rFonts w:ascii="Calibri" w:hAnsi="Calibri" w:cs="Calibri"/>
        </w:rPr>
        <w:t xml:space="preserve">withdrawals </w:t>
      </w:r>
      <w:r w:rsidR="000050DA" w:rsidRPr="00F657F5">
        <w:rPr>
          <w:rFonts w:ascii="Calibri" w:hAnsi="Calibri" w:cs="Calibri"/>
        </w:rPr>
        <w:t xml:space="preserve">by nonresidents (including banks) </w:t>
      </w:r>
      <w:r w:rsidR="001C34E4" w:rsidRPr="00F657F5">
        <w:rPr>
          <w:rFonts w:ascii="Calibri" w:hAnsi="Calibri" w:cs="Calibri"/>
        </w:rPr>
        <w:t xml:space="preserve">from </w:t>
      </w:r>
      <w:r w:rsidR="000050DA" w:rsidRPr="00F657F5">
        <w:rPr>
          <w:rFonts w:ascii="Calibri" w:hAnsi="Calibri" w:cs="Calibri"/>
        </w:rPr>
        <w:t xml:space="preserve">deposits with Israeli banks totaling </w:t>
      </w:r>
      <w:r w:rsidR="007E5E06" w:rsidRPr="00F657F5">
        <w:rPr>
          <w:rFonts w:ascii="Calibri" w:hAnsi="Calibri" w:cs="Calibri"/>
        </w:rPr>
        <w:t xml:space="preserve">about </w:t>
      </w:r>
      <w:r w:rsidR="000050DA" w:rsidRPr="00F657F5">
        <w:rPr>
          <w:rFonts w:ascii="Calibri" w:hAnsi="Calibri" w:cs="Calibri"/>
        </w:rPr>
        <w:t>$1</w:t>
      </w:r>
      <w:r w:rsidR="007E5E06" w:rsidRPr="00F657F5">
        <w:rPr>
          <w:rFonts w:ascii="Calibri" w:hAnsi="Calibri" w:cs="Calibri"/>
        </w:rPr>
        <w:t xml:space="preserve"> </w:t>
      </w:r>
      <w:r w:rsidR="000050DA" w:rsidRPr="00F657F5">
        <w:rPr>
          <w:rFonts w:ascii="Calibri" w:hAnsi="Calibri" w:cs="Calibri"/>
        </w:rPr>
        <w:t>billion</w:t>
      </w:r>
      <w:r w:rsidR="007E5E06" w:rsidRPr="00F657F5">
        <w:rPr>
          <w:rFonts w:ascii="Calibri" w:hAnsi="Calibri" w:cs="Calibri"/>
        </w:rPr>
        <w:t>.</w:t>
      </w:r>
    </w:p>
    <w:p w14:paraId="409E4A48" w14:textId="77777777" w:rsidR="007409AC" w:rsidRPr="00F657F5" w:rsidRDefault="007409AC" w:rsidP="007409AC">
      <w:pPr>
        <w:pStyle w:val="regpar"/>
        <w:ind w:firstLine="0"/>
        <w:outlineLvl w:val="0"/>
        <w:rPr>
          <w:rFonts w:ascii="Calibri" w:hAnsi="Calibri" w:cs="Calibri"/>
          <w:b/>
          <w:bCs/>
        </w:rPr>
      </w:pPr>
    </w:p>
    <w:p w14:paraId="13947643" w14:textId="243823BC" w:rsidR="008F2F3B" w:rsidRPr="00F657F5" w:rsidRDefault="008F2F3B" w:rsidP="007E10D0">
      <w:pPr>
        <w:pStyle w:val="regpar"/>
        <w:ind w:firstLine="0"/>
        <w:outlineLvl w:val="0"/>
        <w:rPr>
          <w:rFonts w:ascii="Calibri" w:hAnsi="Calibri" w:cs="Calibri"/>
        </w:rPr>
      </w:pPr>
      <w:r w:rsidRPr="00F657F5">
        <w:rPr>
          <w:rFonts w:ascii="Calibri" w:hAnsi="Calibri" w:cs="Calibri"/>
          <w:b/>
          <w:bCs/>
        </w:rPr>
        <w:t xml:space="preserve">The balance of liabilities in debt instruments alone, </w:t>
      </w:r>
      <w:r w:rsidRPr="00F657F5">
        <w:rPr>
          <w:rFonts w:ascii="Calibri" w:hAnsi="Calibri" w:cs="Calibri"/>
        </w:rPr>
        <w:t xml:space="preserve">which makes up Israel's gross external debt, </w:t>
      </w:r>
      <w:r w:rsidR="00A82CAA" w:rsidRPr="00F657F5">
        <w:rPr>
          <w:rFonts w:ascii="Calibri" w:hAnsi="Calibri" w:cs="Calibri"/>
        </w:rPr>
        <w:t>increased</w:t>
      </w:r>
      <w:r w:rsidR="002E2EF8" w:rsidRPr="00F657F5">
        <w:rPr>
          <w:rFonts w:ascii="Calibri" w:hAnsi="Calibri" w:cs="Calibri"/>
        </w:rPr>
        <w:t xml:space="preserve"> </w:t>
      </w:r>
      <w:r w:rsidRPr="00F657F5">
        <w:rPr>
          <w:rFonts w:ascii="Calibri" w:hAnsi="Calibri" w:cs="Calibri"/>
        </w:rPr>
        <w:t>by about $</w:t>
      </w:r>
      <w:r w:rsidR="007E5E06" w:rsidRPr="00F657F5">
        <w:rPr>
          <w:rFonts w:ascii="Calibri" w:hAnsi="Calibri" w:cs="Calibri"/>
        </w:rPr>
        <w:t xml:space="preserve">2.5 </w:t>
      </w:r>
      <w:r w:rsidRPr="00F657F5">
        <w:rPr>
          <w:rFonts w:ascii="Calibri" w:hAnsi="Calibri" w:cs="Calibri"/>
        </w:rPr>
        <w:t>billion (</w:t>
      </w:r>
      <w:r w:rsidR="007E5E06" w:rsidRPr="00F657F5">
        <w:rPr>
          <w:rFonts w:ascii="Calibri" w:hAnsi="Calibri" w:cs="Calibri"/>
        </w:rPr>
        <w:t>1.7</w:t>
      </w:r>
      <w:r w:rsidR="007E10D0" w:rsidRPr="00F657F5">
        <w:rPr>
          <w:rFonts w:ascii="Calibri" w:hAnsi="Calibri" w:cs="Calibri"/>
        </w:rPr>
        <w:t xml:space="preserve"> </w:t>
      </w:r>
      <w:r w:rsidRPr="00F657F5">
        <w:rPr>
          <w:rFonts w:ascii="Calibri" w:hAnsi="Calibri" w:cs="Calibri"/>
        </w:rPr>
        <w:t xml:space="preserve">percent) in the </w:t>
      </w:r>
      <w:r w:rsidR="0083537E" w:rsidRPr="00F657F5">
        <w:rPr>
          <w:rFonts w:ascii="Calibri" w:hAnsi="Calibri" w:cs="Calibri"/>
        </w:rPr>
        <w:t>first</w:t>
      </w:r>
      <w:r w:rsidR="007A6A15" w:rsidRPr="00F657F5">
        <w:rPr>
          <w:rFonts w:ascii="Calibri" w:hAnsi="Calibri" w:cs="Calibri"/>
        </w:rPr>
        <w:t xml:space="preserve"> quarter</w:t>
      </w:r>
      <w:r w:rsidR="00A53A8A" w:rsidRPr="00F657F5">
        <w:rPr>
          <w:rFonts w:ascii="Calibri" w:hAnsi="Calibri" w:cs="Calibri"/>
        </w:rPr>
        <w:t>,</w:t>
      </w:r>
      <w:r w:rsidRPr="00F657F5">
        <w:rPr>
          <w:rFonts w:ascii="Calibri" w:hAnsi="Calibri" w:cs="Calibri"/>
        </w:rPr>
        <w:t xml:space="preserve"> to</w:t>
      </w:r>
      <w:r w:rsidR="009277E3" w:rsidRPr="00F657F5">
        <w:rPr>
          <w:rFonts w:ascii="Calibri" w:hAnsi="Calibri" w:cs="Calibri"/>
        </w:rPr>
        <w:t xml:space="preserve"> about</w:t>
      </w:r>
      <w:r w:rsidRPr="00F657F5">
        <w:rPr>
          <w:rFonts w:ascii="Calibri" w:hAnsi="Calibri" w:cs="Calibri"/>
        </w:rPr>
        <w:t xml:space="preserve"> $</w:t>
      </w:r>
      <w:r w:rsidR="007E5E06" w:rsidRPr="00F657F5">
        <w:rPr>
          <w:rFonts w:ascii="Calibri" w:hAnsi="Calibri" w:cs="Calibri"/>
        </w:rPr>
        <w:t>150</w:t>
      </w:r>
      <w:r w:rsidR="002E2EF8" w:rsidRPr="00F657F5">
        <w:rPr>
          <w:rFonts w:ascii="Calibri" w:hAnsi="Calibri" w:cs="Calibri"/>
        </w:rPr>
        <w:t xml:space="preserve"> </w:t>
      </w:r>
      <w:r w:rsidRPr="00F657F5">
        <w:rPr>
          <w:rFonts w:ascii="Calibri" w:hAnsi="Calibri" w:cs="Calibri"/>
        </w:rPr>
        <w:t>billion</w:t>
      </w:r>
      <w:r w:rsidR="00BA72C9" w:rsidRPr="00F657F5">
        <w:rPr>
          <w:rFonts w:ascii="Calibri" w:hAnsi="Calibri" w:cs="Calibri"/>
        </w:rPr>
        <w:t>.</w:t>
      </w:r>
    </w:p>
    <w:p w14:paraId="4189B478" w14:textId="77777777" w:rsidR="00284C45" w:rsidRPr="00F657F5" w:rsidRDefault="00284C45" w:rsidP="00DE255D">
      <w:pPr>
        <w:pStyle w:val="regpar"/>
        <w:ind w:firstLine="0"/>
        <w:rPr>
          <w:rFonts w:ascii="Calibri" w:hAnsi="Calibri" w:cs="Calibri"/>
          <w:b/>
          <w:bCs/>
        </w:rPr>
      </w:pPr>
    </w:p>
    <w:p w14:paraId="5ADD280C" w14:textId="2E383FE7" w:rsidR="009277E3" w:rsidRPr="00F657F5" w:rsidRDefault="00160080" w:rsidP="007E10D0">
      <w:pPr>
        <w:pStyle w:val="regpar"/>
        <w:ind w:firstLine="0"/>
        <w:rPr>
          <w:rFonts w:ascii="Calibri" w:hAnsi="Calibri" w:cs="Calibri"/>
        </w:rPr>
      </w:pPr>
      <w:r w:rsidRPr="00F657F5">
        <w:rPr>
          <w:rFonts w:ascii="Calibri" w:hAnsi="Calibri" w:cs="Calibri"/>
          <w:b/>
          <w:bCs/>
        </w:rPr>
        <w:t>The ratio of gross external debt to GDP</w:t>
      </w:r>
      <w:r w:rsidR="00CE4765" w:rsidRPr="00F657F5">
        <w:rPr>
          <w:rFonts w:ascii="Calibri" w:hAnsi="Calibri" w:cs="Calibri"/>
        </w:rPr>
        <w:t xml:space="preserve"> </w:t>
      </w:r>
      <w:r w:rsidR="0087493E" w:rsidRPr="00F657F5">
        <w:rPr>
          <w:rFonts w:ascii="Calibri" w:hAnsi="Calibri" w:cs="Calibri"/>
        </w:rPr>
        <w:t xml:space="preserve">declined </w:t>
      </w:r>
      <w:r w:rsidR="00573524" w:rsidRPr="00F657F5">
        <w:rPr>
          <w:rFonts w:ascii="Calibri" w:hAnsi="Calibri" w:cs="Calibri"/>
        </w:rPr>
        <w:t xml:space="preserve">by about </w:t>
      </w:r>
      <w:r w:rsidR="00A82CAA" w:rsidRPr="00F657F5">
        <w:rPr>
          <w:rFonts w:ascii="Calibri" w:hAnsi="Calibri" w:cs="Calibri"/>
        </w:rPr>
        <w:t>0.</w:t>
      </w:r>
      <w:r w:rsidR="007E10D0" w:rsidRPr="00F657F5">
        <w:rPr>
          <w:rFonts w:ascii="Calibri" w:hAnsi="Calibri" w:cs="Calibri"/>
        </w:rPr>
        <w:t>4</w:t>
      </w:r>
      <w:r w:rsidR="00573524" w:rsidRPr="00F657F5">
        <w:rPr>
          <w:rFonts w:ascii="Calibri" w:hAnsi="Calibri" w:cs="Calibri"/>
        </w:rPr>
        <w:t xml:space="preserve"> percentage points in the </w:t>
      </w:r>
      <w:r w:rsidR="0083537E" w:rsidRPr="00F657F5">
        <w:rPr>
          <w:rFonts w:ascii="Calibri" w:hAnsi="Calibri" w:cs="Calibri"/>
        </w:rPr>
        <w:t>first</w:t>
      </w:r>
      <w:r w:rsidR="007A6A15" w:rsidRPr="00F657F5">
        <w:rPr>
          <w:rFonts w:ascii="Calibri" w:hAnsi="Calibri" w:cs="Calibri"/>
        </w:rPr>
        <w:t xml:space="preserve"> quarter</w:t>
      </w:r>
      <w:r w:rsidR="007C13F5" w:rsidRPr="00F657F5">
        <w:rPr>
          <w:rFonts w:ascii="Calibri" w:hAnsi="Calibri" w:cs="Calibri"/>
        </w:rPr>
        <w:t xml:space="preserve">, </w:t>
      </w:r>
      <w:r w:rsidR="00573524" w:rsidRPr="00F657F5">
        <w:rPr>
          <w:rFonts w:ascii="Calibri" w:hAnsi="Calibri" w:cs="Calibri"/>
        </w:rPr>
        <w:t>to</w:t>
      </w:r>
      <w:r w:rsidR="007C13F5" w:rsidRPr="00F657F5">
        <w:rPr>
          <w:rFonts w:ascii="Calibri" w:hAnsi="Calibri" w:cs="Calibri"/>
        </w:rPr>
        <w:t xml:space="preserve"> </w:t>
      </w:r>
      <w:r w:rsidR="00685643" w:rsidRPr="00F657F5">
        <w:rPr>
          <w:rFonts w:ascii="Calibri" w:hAnsi="Calibri" w:cs="Calibri"/>
        </w:rPr>
        <w:t>about</w:t>
      </w:r>
      <w:r w:rsidRPr="00F657F5">
        <w:rPr>
          <w:rFonts w:ascii="Calibri" w:hAnsi="Calibri" w:cs="Calibri"/>
        </w:rPr>
        <w:t xml:space="preserve"> </w:t>
      </w:r>
      <w:r w:rsidR="001B05B8" w:rsidRPr="00F657F5">
        <w:rPr>
          <w:rFonts w:ascii="Calibri" w:hAnsi="Calibri" w:cs="Calibri"/>
        </w:rPr>
        <w:t>27</w:t>
      </w:r>
      <w:r w:rsidR="0087493E" w:rsidRPr="00F657F5">
        <w:rPr>
          <w:rFonts w:ascii="Calibri" w:hAnsi="Calibri" w:cs="Calibri"/>
        </w:rPr>
        <w:t xml:space="preserve"> </w:t>
      </w:r>
      <w:r w:rsidRPr="00F657F5">
        <w:rPr>
          <w:rFonts w:ascii="Calibri" w:hAnsi="Calibri" w:cs="Calibri"/>
        </w:rPr>
        <w:t xml:space="preserve">percent at the end of </w:t>
      </w:r>
      <w:r w:rsidR="007E10D0" w:rsidRPr="00F657F5">
        <w:rPr>
          <w:rFonts w:ascii="Calibri" w:hAnsi="Calibri" w:cs="Calibri"/>
        </w:rPr>
        <w:t>March</w:t>
      </w:r>
      <w:r w:rsidR="009277E3" w:rsidRPr="00F657F5">
        <w:rPr>
          <w:rFonts w:ascii="Calibri" w:hAnsi="Calibri" w:cs="Calibri"/>
        </w:rPr>
        <w:t>.</w:t>
      </w:r>
      <w:r w:rsidR="0087493E" w:rsidRPr="00F657F5">
        <w:rPr>
          <w:rFonts w:ascii="Calibri" w:hAnsi="Calibri" w:cs="Calibri"/>
        </w:rPr>
        <w:t xml:space="preserve"> The </w:t>
      </w:r>
      <w:r w:rsidR="007E10D0" w:rsidRPr="00F657F5">
        <w:rPr>
          <w:rFonts w:ascii="Calibri" w:hAnsi="Calibri" w:cs="Calibri"/>
        </w:rPr>
        <w:t>de</w:t>
      </w:r>
      <w:r w:rsidR="0087493E" w:rsidRPr="00F657F5">
        <w:rPr>
          <w:rFonts w:ascii="Calibri" w:hAnsi="Calibri" w:cs="Calibri"/>
        </w:rPr>
        <w:t xml:space="preserve">crease in the external debt to GDP ratio reflected an increase in the </w:t>
      </w:r>
      <w:r w:rsidR="00AC05F2" w:rsidRPr="00F657F5">
        <w:rPr>
          <w:rFonts w:ascii="Calibri" w:hAnsi="Calibri" w:cs="Calibri"/>
        </w:rPr>
        <w:t>balance</w:t>
      </w:r>
      <w:r w:rsidR="0087493E" w:rsidRPr="00F657F5">
        <w:rPr>
          <w:rFonts w:ascii="Calibri" w:hAnsi="Calibri" w:cs="Calibri"/>
        </w:rPr>
        <w:t xml:space="preserve"> of gross </w:t>
      </w:r>
      <w:r w:rsidR="00AC05F2" w:rsidRPr="00F657F5">
        <w:rPr>
          <w:rFonts w:ascii="Calibri" w:hAnsi="Calibri" w:cs="Calibri"/>
        </w:rPr>
        <w:t xml:space="preserve">external debt at a </w:t>
      </w:r>
      <w:r w:rsidR="007E10D0" w:rsidRPr="00F657F5">
        <w:rPr>
          <w:rFonts w:ascii="Calibri" w:hAnsi="Calibri" w:cs="Calibri"/>
        </w:rPr>
        <w:t xml:space="preserve">lower </w:t>
      </w:r>
      <w:r w:rsidR="0087493E" w:rsidRPr="00F657F5">
        <w:rPr>
          <w:rFonts w:ascii="Calibri" w:hAnsi="Calibri" w:cs="Calibri"/>
        </w:rPr>
        <w:t xml:space="preserve">pace than the increase in GDP in </w:t>
      </w:r>
      <w:r w:rsidR="00AC05F2" w:rsidRPr="00F657F5">
        <w:rPr>
          <w:rFonts w:ascii="Calibri" w:hAnsi="Calibri" w:cs="Calibri"/>
        </w:rPr>
        <w:t>dollar</w:t>
      </w:r>
      <w:r w:rsidR="0087493E" w:rsidRPr="00F657F5">
        <w:rPr>
          <w:rFonts w:ascii="Calibri" w:hAnsi="Calibri" w:cs="Calibri"/>
        </w:rPr>
        <w:t xml:space="preserve"> terms (</w:t>
      </w:r>
      <w:r w:rsidR="00AC05F2" w:rsidRPr="00F657F5">
        <w:rPr>
          <w:rFonts w:ascii="Calibri" w:hAnsi="Calibri" w:cs="Calibri"/>
        </w:rPr>
        <w:t>Figure</w:t>
      </w:r>
      <w:r w:rsidR="000E1FC8" w:rsidRPr="00F657F5">
        <w:rPr>
          <w:rFonts w:ascii="Calibri" w:hAnsi="Calibri" w:cs="Calibri"/>
        </w:rPr>
        <w:t xml:space="preserve"> 5).</w:t>
      </w:r>
    </w:p>
    <w:p w14:paraId="0A58DD40" w14:textId="7837E949" w:rsidR="00A82CAA" w:rsidRPr="00F657F5" w:rsidRDefault="0060740C" w:rsidP="00A82CAA">
      <w:pPr>
        <w:pStyle w:val="regpar"/>
        <w:ind w:firstLine="0"/>
        <w:rPr>
          <w:rFonts w:ascii="Calibri" w:hAnsi="Calibri" w:cs="Calibri"/>
        </w:rPr>
      </w:pPr>
      <w:r w:rsidRPr="00F657F5">
        <w:rPr>
          <w:rFonts w:ascii="Calibri" w:hAnsi="Calibri" w:cs="Calibri"/>
          <w:bCs/>
          <w:noProof/>
        </w:rPr>
        <w:drawing>
          <wp:anchor distT="0" distB="0" distL="114300" distR="114300" simplePos="0" relativeHeight="251686912" behindDoc="0" locked="0" layoutInCell="1" allowOverlap="1" wp14:anchorId="486A5A3F" wp14:editId="5C4F2A0C">
            <wp:simplePos x="0" y="0"/>
            <wp:positionH relativeFrom="margin">
              <wp:align>left</wp:align>
            </wp:positionH>
            <wp:positionV relativeFrom="paragraph">
              <wp:posOffset>160020</wp:posOffset>
            </wp:positionV>
            <wp:extent cx="3025775" cy="1842770"/>
            <wp:effectExtent l="0" t="0" r="3175" b="5080"/>
            <wp:wrapSquare wrapText="bothSides"/>
            <wp:docPr id="194" name="תמונה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5775" cy="1842770"/>
                    </a:xfrm>
                    <a:prstGeom prst="rect">
                      <a:avLst/>
                    </a:prstGeom>
                    <a:noFill/>
                  </pic:spPr>
                </pic:pic>
              </a:graphicData>
            </a:graphic>
            <wp14:sizeRelH relativeFrom="margin">
              <wp14:pctWidth>0</wp14:pctWidth>
            </wp14:sizeRelH>
            <wp14:sizeRelV relativeFrom="margin">
              <wp14:pctHeight>0</wp14:pctHeight>
            </wp14:sizeRelV>
          </wp:anchor>
        </w:drawing>
      </w:r>
    </w:p>
    <w:p w14:paraId="48AE7101" w14:textId="00986428" w:rsidR="00C53AF5" w:rsidRPr="00F657F5" w:rsidRDefault="00C53AF5" w:rsidP="00A82CAA">
      <w:pPr>
        <w:pStyle w:val="regpar"/>
        <w:ind w:firstLine="0"/>
        <w:rPr>
          <w:rFonts w:ascii="Calibri" w:hAnsi="Calibri" w:cs="Calibri"/>
          <w:noProof/>
        </w:rPr>
      </w:pPr>
    </w:p>
    <w:p w14:paraId="1EAACB3A" w14:textId="7E1AB28B" w:rsidR="00C53AF5" w:rsidRPr="00F657F5" w:rsidRDefault="00C53AF5" w:rsidP="00A82CAA">
      <w:pPr>
        <w:pStyle w:val="regpar"/>
        <w:ind w:firstLine="0"/>
        <w:rPr>
          <w:rFonts w:ascii="Calibri" w:hAnsi="Calibri" w:cs="Calibri"/>
          <w:noProof/>
        </w:rPr>
      </w:pPr>
    </w:p>
    <w:p w14:paraId="1BEF7370" w14:textId="5408D7F7" w:rsidR="00C53AF5" w:rsidRPr="00F657F5" w:rsidRDefault="00C53AF5" w:rsidP="00A82CAA">
      <w:pPr>
        <w:pStyle w:val="regpar"/>
        <w:ind w:firstLine="0"/>
        <w:rPr>
          <w:rFonts w:ascii="Calibri" w:hAnsi="Calibri" w:cs="Calibri"/>
          <w:noProof/>
        </w:rPr>
      </w:pPr>
    </w:p>
    <w:p w14:paraId="6BC9D0E3" w14:textId="77777777" w:rsidR="00C53AF5" w:rsidRPr="00F657F5" w:rsidRDefault="00C53AF5" w:rsidP="00A82CAA">
      <w:pPr>
        <w:pStyle w:val="regpar"/>
        <w:ind w:firstLine="0"/>
        <w:rPr>
          <w:rFonts w:ascii="Calibri" w:hAnsi="Calibri" w:cs="Calibri"/>
          <w:noProof/>
        </w:rPr>
      </w:pPr>
    </w:p>
    <w:p w14:paraId="536C6A11" w14:textId="77777777" w:rsidR="00C53AF5" w:rsidRPr="00F657F5" w:rsidRDefault="00C53AF5" w:rsidP="00A82CAA">
      <w:pPr>
        <w:pStyle w:val="regpar"/>
        <w:ind w:firstLine="0"/>
        <w:rPr>
          <w:rFonts w:ascii="Calibri" w:hAnsi="Calibri" w:cs="Calibri"/>
          <w:noProof/>
        </w:rPr>
      </w:pPr>
    </w:p>
    <w:p w14:paraId="0FE1973C" w14:textId="77777777" w:rsidR="00C53AF5" w:rsidRPr="00F657F5" w:rsidRDefault="00C53AF5" w:rsidP="00A82CAA">
      <w:pPr>
        <w:pStyle w:val="regpar"/>
        <w:ind w:firstLine="0"/>
        <w:rPr>
          <w:rFonts w:ascii="Calibri" w:hAnsi="Calibri" w:cs="Calibri"/>
          <w:noProof/>
        </w:rPr>
      </w:pPr>
    </w:p>
    <w:p w14:paraId="0AB2FC3D" w14:textId="77777777" w:rsidR="00C53AF5" w:rsidRPr="00F657F5" w:rsidRDefault="00C53AF5" w:rsidP="00A82CAA">
      <w:pPr>
        <w:pStyle w:val="regpar"/>
        <w:ind w:firstLine="0"/>
        <w:rPr>
          <w:rFonts w:ascii="Calibri" w:hAnsi="Calibri" w:cs="Calibri"/>
          <w:noProof/>
        </w:rPr>
      </w:pPr>
    </w:p>
    <w:p w14:paraId="7672A4C6" w14:textId="77777777" w:rsidR="0060740C" w:rsidRPr="00F657F5" w:rsidRDefault="0060740C" w:rsidP="00C53AF5">
      <w:pPr>
        <w:pStyle w:val="regpar"/>
        <w:ind w:firstLine="0"/>
        <w:rPr>
          <w:rFonts w:ascii="Calibri" w:hAnsi="Calibri" w:cs="Calibri"/>
          <w:bCs/>
        </w:rPr>
      </w:pPr>
    </w:p>
    <w:p w14:paraId="081A3F6D" w14:textId="77777777" w:rsidR="0060740C" w:rsidRPr="00F657F5" w:rsidRDefault="0060740C" w:rsidP="00C53AF5">
      <w:pPr>
        <w:pStyle w:val="regpar"/>
        <w:ind w:firstLine="0"/>
        <w:rPr>
          <w:rFonts w:ascii="Calibri" w:hAnsi="Calibri" w:cs="Calibri"/>
          <w:bCs/>
        </w:rPr>
      </w:pPr>
    </w:p>
    <w:p w14:paraId="58744CC9" w14:textId="209E5759" w:rsidR="00B16BBB" w:rsidRPr="00F657F5" w:rsidRDefault="003728B4" w:rsidP="00C53AF5">
      <w:pPr>
        <w:pStyle w:val="regpar"/>
        <w:ind w:firstLine="0"/>
        <w:rPr>
          <w:rFonts w:ascii="Calibri" w:hAnsi="Calibri" w:cs="Calibri"/>
        </w:rPr>
      </w:pPr>
      <w:r w:rsidRPr="00F657F5">
        <w:rPr>
          <w:rFonts w:ascii="Calibri" w:hAnsi="Calibri" w:cs="Calibri"/>
          <w:bCs/>
          <w:noProof/>
        </w:rPr>
        <mc:AlternateContent>
          <mc:Choice Requires="wps">
            <w:drawing>
              <wp:anchor distT="45720" distB="45720" distL="114300" distR="114300" simplePos="0" relativeHeight="251679744" behindDoc="0" locked="0" layoutInCell="1" allowOverlap="1" wp14:anchorId="06A2DFD1" wp14:editId="5FD4F416">
                <wp:simplePos x="0" y="0"/>
                <wp:positionH relativeFrom="margin">
                  <wp:posOffset>-28575</wp:posOffset>
                </wp:positionH>
                <wp:positionV relativeFrom="paragraph">
                  <wp:posOffset>358775</wp:posOffset>
                </wp:positionV>
                <wp:extent cx="5463540" cy="1404620"/>
                <wp:effectExtent l="0" t="0" r="381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1404620"/>
                        </a:xfrm>
                        <a:prstGeom prst="rect">
                          <a:avLst/>
                        </a:prstGeom>
                        <a:solidFill>
                          <a:srgbClr val="FFFFFF"/>
                        </a:solidFill>
                        <a:ln w="9525">
                          <a:noFill/>
                          <a:miter lim="800000"/>
                          <a:headEnd/>
                          <a:tailEnd/>
                        </a:ln>
                      </wps:spPr>
                      <wps:txbx>
                        <w:txbxContent>
                          <w:p w14:paraId="01E3C5AB" w14:textId="5013CC01" w:rsidR="00BB6B61" w:rsidRPr="00BB6B61" w:rsidRDefault="00BB6B61" w:rsidP="001B05B8">
                            <w:pPr>
                              <w:bidi w:val="0"/>
                              <w:rPr>
                                <w:sz w:val="18"/>
                                <w:szCs w:val="18"/>
                              </w:rPr>
                            </w:pPr>
                            <w:r w:rsidRPr="00BB6B61">
                              <w:rPr>
                                <w:sz w:val="18"/>
                                <w:szCs w:val="18"/>
                              </w:rPr>
                              <w:t>Source: Israel’s Ministry of Finance, Israel’s Central Bureau of Statistics,</w:t>
                            </w:r>
                            <w:r w:rsidR="00BA72C9">
                              <w:rPr>
                                <w:sz w:val="18"/>
                                <w:szCs w:val="18"/>
                              </w:rPr>
                              <w:t xml:space="preserve"> and</w:t>
                            </w:r>
                            <w:r w:rsidRPr="00BB6B61">
                              <w:rPr>
                                <w:sz w:val="18"/>
                                <w:szCs w:val="18"/>
                              </w:rPr>
                              <w:t xml:space="preserve"> Bank of Israel data</w:t>
                            </w:r>
                            <w:r w:rsidR="00494280">
                              <w:rPr>
                                <w:sz w:val="18"/>
                                <w:szCs w:val="18"/>
                              </w:rPr>
                              <w:t xml:space="preserve"> and </w:t>
                            </w:r>
                            <w:r w:rsidR="00494280" w:rsidRPr="003728B4">
                              <w:rPr>
                                <w:sz w:val="18"/>
                                <w:szCs w:val="18"/>
                              </w:rPr>
                              <w:t>processing</w:t>
                            </w:r>
                            <w:r w:rsidR="001B05B8">
                              <w:rPr>
                                <w:sz w:val="18"/>
                                <w:szCs w:val="18"/>
                              </w:rPr>
                              <w:t>.</w:t>
                            </w:r>
                            <w:r w:rsidR="00BA72C9" w:rsidRPr="003728B4">
                              <w:rPr>
                                <w:sz w:val="18"/>
                                <w:szCs w:val="18"/>
                                <w:vertAlign w:val="superscript"/>
                              </w:rPr>
                              <w:t>1</w:t>
                            </w:r>
                            <w:r w:rsidRPr="00BB6B61">
                              <w:rPr>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A2DFD1" id="_x0000_s1028" type="#_x0000_t202" style="position:absolute;left:0;text-align:left;margin-left:-2.25pt;margin-top:28.25pt;width:430.2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" stroked="f">
                <v:textbox style="mso-fit-shape-to-text:t">
                  <w:txbxContent>
                    <w:p w14:paraId="01E3C5AB" w14:textId="5013CC01" w:rsidR="00BB6B61" w:rsidRPr="00BB6B61" w:rsidRDefault="00BB6B61" w:rsidP="001B05B8">
                      <w:pPr>
                        <w:bidi w:val="0"/>
                        <w:rPr>
                          <w:sz w:val="18"/>
                          <w:szCs w:val="18"/>
                        </w:rPr>
                      </w:pPr>
                      <w:r w:rsidRPr="00BB6B61">
                        <w:rPr>
                          <w:sz w:val="18"/>
                          <w:szCs w:val="18"/>
                        </w:rPr>
                        <w:t>Source: Israel’s Ministry of Finance, Israel’s Central Bureau of Statistics,</w:t>
                      </w:r>
                      <w:r w:rsidR="00BA72C9">
                        <w:rPr>
                          <w:sz w:val="18"/>
                          <w:szCs w:val="18"/>
                        </w:rPr>
                        <w:t xml:space="preserve"> and</w:t>
                      </w:r>
                      <w:r w:rsidRPr="00BB6B61">
                        <w:rPr>
                          <w:sz w:val="18"/>
                          <w:szCs w:val="18"/>
                        </w:rPr>
                        <w:t xml:space="preserve"> Bank of Israel data</w:t>
                      </w:r>
                      <w:r w:rsidR="00494280">
                        <w:rPr>
                          <w:sz w:val="18"/>
                          <w:szCs w:val="18"/>
                        </w:rPr>
                        <w:t xml:space="preserve"> and </w:t>
                      </w:r>
                      <w:r w:rsidR="00494280" w:rsidRPr="003728B4">
                        <w:rPr>
                          <w:sz w:val="18"/>
                          <w:szCs w:val="18"/>
                        </w:rPr>
                        <w:t>processing</w:t>
                      </w:r>
                      <w:r w:rsidR="001B05B8">
                        <w:rPr>
                          <w:sz w:val="18"/>
                          <w:szCs w:val="18"/>
                        </w:rPr>
                        <w:t>.</w:t>
                      </w:r>
                      <w:r w:rsidR="00BA72C9" w:rsidRPr="003728B4">
                        <w:rPr>
                          <w:sz w:val="18"/>
                          <w:szCs w:val="18"/>
                          <w:vertAlign w:val="superscript"/>
                        </w:rPr>
                        <w:t>1</w:t>
                      </w:r>
                      <w:r w:rsidRPr="00BB6B61">
                        <w:rPr>
                          <w:sz w:val="18"/>
                          <w:szCs w:val="18"/>
                        </w:rPr>
                        <w:t xml:space="preserve"> </w:t>
                      </w:r>
                    </w:p>
                  </w:txbxContent>
                </v:textbox>
                <w10:wrap type="square" anchorx="margin"/>
              </v:shape>
            </w:pict>
          </mc:Fallback>
        </mc:AlternateContent>
      </w:r>
      <w:r w:rsidR="00C53AF5" w:rsidRPr="00F657F5">
        <w:rPr>
          <w:rFonts w:ascii="Calibri" w:hAnsi="Calibri" w:cs="Calibri"/>
          <w:bCs/>
        </w:rPr>
        <w:tab/>
      </w:r>
    </w:p>
    <w:p w14:paraId="1C135B7E" w14:textId="103B9628" w:rsidR="00B16BBB" w:rsidRPr="00F657F5" w:rsidRDefault="00B16BBB" w:rsidP="00DD15DC">
      <w:pPr>
        <w:pStyle w:val="regpar"/>
        <w:ind w:firstLine="0"/>
        <w:rPr>
          <w:rFonts w:ascii="Calibri" w:hAnsi="Calibri" w:cs="Calibri"/>
          <w:bCs/>
        </w:rPr>
      </w:pPr>
    </w:p>
    <w:p w14:paraId="5CB4A11F" w14:textId="77777777" w:rsidR="0020155F" w:rsidRPr="00F657F5" w:rsidRDefault="0020155F" w:rsidP="0020155F">
      <w:pPr>
        <w:pStyle w:val="regpar"/>
        <w:numPr>
          <w:ilvl w:val="0"/>
          <w:numId w:val="4"/>
        </w:numPr>
        <w:rPr>
          <w:rFonts w:ascii="Calibri" w:hAnsi="Calibri" w:cs="Calibri"/>
          <w:b/>
          <w:bCs/>
        </w:rPr>
      </w:pPr>
      <w:r w:rsidRPr="00F657F5">
        <w:rPr>
          <w:rFonts w:ascii="Calibri" w:hAnsi="Calibri" w:cs="Calibri"/>
          <w:b/>
          <w:bCs/>
        </w:rPr>
        <w:t xml:space="preserve">Israel’s surplus assets over liabilities </w:t>
      </w:r>
      <w:r w:rsidR="00E0216F" w:rsidRPr="00F657F5">
        <w:rPr>
          <w:rFonts w:ascii="Calibri" w:hAnsi="Calibri" w:cs="Calibri"/>
          <w:b/>
          <w:bCs/>
        </w:rPr>
        <w:t xml:space="preserve">vis-à-vis </w:t>
      </w:r>
      <w:r w:rsidRPr="00F657F5">
        <w:rPr>
          <w:rFonts w:ascii="Calibri" w:hAnsi="Calibri" w:cs="Calibri"/>
          <w:b/>
          <w:bCs/>
        </w:rPr>
        <w:t>abroad</w:t>
      </w:r>
    </w:p>
    <w:p w14:paraId="18960F36" w14:textId="77777777" w:rsidR="0020155F" w:rsidRPr="00F657F5" w:rsidRDefault="0020155F" w:rsidP="0020155F">
      <w:pPr>
        <w:pStyle w:val="regpar"/>
        <w:ind w:firstLine="0"/>
        <w:rPr>
          <w:rFonts w:ascii="Calibri" w:hAnsi="Calibri" w:cs="Calibri"/>
          <w:b/>
          <w:bCs/>
        </w:rPr>
      </w:pPr>
    </w:p>
    <w:p w14:paraId="1BAF85F1" w14:textId="7C25F33E" w:rsidR="00C53AF5" w:rsidRPr="00F657F5" w:rsidRDefault="001B05B8" w:rsidP="00C53AF5">
      <w:pPr>
        <w:autoSpaceDE w:val="0"/>
        <w:autoSpaceDN w:val="0"/>
        <w:bidi w:val="0"/>
        <w:adjustRightInd w:val="0"/>
        <w:jc w:val="both"/>
        <w:rPr>
          <w:rFonts w:ascii="Calibri" w:hAnsi="Calibri" w:cs="Calibri"/>
        </w:rPr>
      </w:pPr>
      <w:r w:rsidRPr="00F657F5">
        <w:rPr>
          <w:rFonts w:ascii="Calibri" w:hAnsi="Calibri" w:cs="Calibri"/>
        </w:rPr>
        <w:t>The</w:t>
      </w:r>
      <w:r w:rsidR="00573524" w:rsidRPr="00F657F5">
        <w:rPr>
          <w:rFonts w:ascii="Calibri" w:hAnsi="Calibri" w:cs="Calibri"/>
        </w:rPr>
        <w:t xml:space="preserve"> </w:t>
      </w:r>
      <w:r w:rsidR="00196B1B" w:rsidRPr="00F657F5">
        <w:rPr>
          <w:rFonts w:ascii="Calibri" w:hAnsi="Calibri" w:cs="Calibri"/>
        </w:rPr>
        <w:t>increase in the balance of assets</w:t>
      </w:r>
      <w:r w:rsidR="000A6999" w:rsidRPr="00F657F5">
        <w:rPr>
          <w:rFonts w:ascii="Calibri" w:hAnsi="Calibri" w:cs="Calibri"/>
        </w:rPr>
        <w:t xml:space="preserve"> </w:t>
      </w:r>
      <w:r w:rsidR="00AE430A" w:rsidRPr="00F657F5">
        <w:rPr>
          <w:rFonts w:ascii="Calibri" w:hAnsi="Calibri" w:cs="Calibri"/>
        </w:rPr>
        <w:t>and the de</w:t>
      </w:r>
      <w:r w:rsidR="00A82CAA" w:rsidRPr="00F657F5">
        <w:rPr>
          <w:rFonts w:ascii="Calibri" w:hAnsi="Calibri" w:cs="Calibri"/>
        </w:rPr>
        <w:t xml:space="preserve">crease in the balance </w:t>
      </w:r>
      <w:r w:rsidR="00573524" w:rsidRPr="00F657F5">
        <w:rPr>
          <w:rFonts w:ascii="Calibri" w:hAnsi="Calibri" w:cs="Calibri"/>
        </w:rPr>
        <w:t>of liabilities</w:t>
      </w:r>
      <w:r w:rsidR="00AE430A" w:rsidRPr="00F657F5">
        <w:rPr>
          <w:rFonts w:ascii="Calibri" w:hAnsi="Calibri" w:cs="Calibri"/>
        </w:rPr>
        <w:t xml:space="preserve"> </w:t>
      </w:r>
      <w:r w:rsidR="00573524" w:rsidRPr="00F657F5">
        <w:rPr>
          <w:rFonts w:ascii="Calibri" w:hAnsi="Calibri" w:cs="Calibri"/>
        </w:rPr>
        <w:t xml:space="preserve">led to </w:t>
      </w:r>
      <w:r w:rsidR="00AE430A" w:rsidRPr="00F657F5">
        <w:rPr>
          <w:rFonts w:ascii="Calibri" w:hAnsi="Calibri" w:cs="Calibri"/>
        </w:rPr>
        <w:t>an in</w:t>
      </w:r>
      <w:r w:rsidR="00196B1B" w:rsidRPr="00F657F5">
        <w:rPr>
          <w:rFonts w:ascii="Calibri" w:hAnsi="Calibri" w:cs="Calibri"/>
        </w:rPr>
        <w:t xml:space="preserve">crease </w:t>
      </w:r>
      <w:r w:rsidR="00573524" w:rsidRPr="00F657F5">
        <w:rPr>
          <w:rFonts w:ascii="Calibri" w:hAnsi="Calibri" w:cs="Calibri"/>
        </w:rPr>
        <w:t>of about $</w:t>
      </w:r>
      <w:r w:rsidR="00AE430A" w:rsidRPr="00F657F5">
        <w:rPr>
          <w:rFonts w:ascii="Calibri" w:hAnsi="Calibri" w:cs="Calibri"/>
        </w:rPr>
        <w:t>4</w:t>
      </w:r>
      <w:r w:rsidR="00362F8F" w:rsidRPr="00F657F5">
        <w:rPr>
          <w:rFonts w:ascii="Calibri" w:hAnsi="Calibri" w:cs="Calibri"/>
        </w:rPr>
        <w:t xml:space="preserve"> </w:t>
      </w:r>
      <w:r w:rsidR="00573524" w:rsidRPr="00F657F5">
        <w:rPr>
          <w:rFonts w:ascii="Calibri" w:hAnsi="Calibri" w:cs="Calibri"/>
        </w:rPr>
        <w:t>billion (</w:t>
      </w:r>
      <w:r w:rsidR="00AE430A" w:rsidRPr="00F657F5">
        <w:rPr>
          <w:rFonts w:ascii="Calibri" w:hAnsi="Calibri" w:cs="Calibri"/>
        </w:rPr>
        <w:t>1.9 p</w:t>
      </w:r>
      <w:r w:rsidR="00573524" w:rsidRPr="00F657F5">
        <w:rPr>
          <w:rFonts w:ascii="Calibri" w:hAnsi="Calibri" w:cs="Calibri"/>
        </w:rPr>
        <w:t>ercent) in the surplus of assets over liabilities</w:t>
      </w:r>
      <w:r w:rsidR="002A4BDF" w:rsidRPr="00F657F5">
        <w:rPr>
          <w:rFonts w:ascii="Calibri" w:hAnsi="Calibri" w:cs="Calibri"/>
        </w:rPr>
        <w:t xml:space="preserve"> </w:t>
      </w:r>
      <w:r w:rsidR="00D14E7F" w:rsidRPr="00F657F5">
        <w:rPr>
          <w:rFonts w:ascii="Calibri" w:hAnsi="Calibri" w:cs="Calibri"/>
        </w:rPr>
        <w:t xml:space="preserve">vis-à-vis </w:t>
      </w:r>
      <w:r w:rsidR="002A4BDF" w:rsidRPr="00F657F5">
        <w:rPr>
          <w:rFonts w:ascii="Calibri" w:hAnsi="Calibri" w:cs="Calibri"/>
        </w:rPr>
        <w:t xml:space="preserve">abroad, which totaled </w:t>
      </w:r>
      <w:r w:rsidR="0087035A" w:rsidRPr="00F657F5">
        <w:rPr>
          <w:rFonts w:ascii="Calibri" w:hAnsi="Calibri" w:cs="Calibri"/>
        </w:rPr>
        <w:t>about $</w:t>
      </w:r>
      <w:r w:rsidR="00362F8F" w:rsidRPr="00F657F5">
        <w:rPr>
          <w:rFonts w:ascii="Calibri" w:hAnsi="Calibri" w:cs="Calibri"/>
        </w:rPr>
        <w:t>22</w:t>
      </w:r>
      <w:r w:rsidR="00AE430A" w:rsidRPr="00F657F5">
        <w:rPr>
          <w:rFonts w:ascii="Calibri" w:hAnsi="Calibri" w:cs="Calibri"/>
        </w:rPr>
        <w:t>6</w:t>
      </w:r>
      <w:r w:rsidR="00362F8F" w:rsidRPr="00F657F5">
        <w:rPr>
          <w:rFonts w:ascii="Calibri" w:hAnsi="Calibri" w:cs="Calibri"/>
        </w:rPr>
        <w:t xml:space="preserve"> </w:t>
      </w:r>
      <w:r w:rsidR="0087035A" w:rsidRPr="00F657F5">
        <w:rPr>
          <w:rFonts w:ascii="Calibri" w:hAnsi="Calibri" w:cs="Calibri"/>
        </w:rPr>
        <w:t xml:space="preserve">billion at the end of </w:t>
      </w:r>
      <w:r w:rsidR="00AE430A" w:rsidRPr="00F657F5">
        <w:rPr>
          <w:rFonts w:ascii="Calibri" w:hAnsi="Calibri" w:cs="Calibri"/>
        </w:rPr>
        <w:t xml:space="preserve">March </w:t>
      </w:r>
      <w:r w:rsidR="00DA145B" w:rsidRPr="00F657F5">
        <w:rPr>
          <w:rFonts w:ascii="Calibri" w:hAnsi="Calibri" w:cs="Calibri"/>
        </w:rPr>
        <w:t xml:space="preserve">(Figure </w:t>
      </w:r>
      <w:r w:rsidRPr="00F657F5">
        <w:rPr>
          <w:rFonts w:ascii="Calibri" w:hAnsi="Calibri" w:cs="Calibri"/>
        </w:rPr>
        <w:t>6</w:t>
      </w:r>
      <w:r w:rsidR="00DA145B" w:rsidRPr="00F657F5">
        <w:rPr>
          <w:rFonts w:ascii="Calibri" w:hAnsi="Calibri" w:cs="Calibri"/>
        </w:rPr>
        <w:t>)</w:t>
      </w:r>
      <w:r w:rsidR="0020155F" w:rsidRPr="00F657F5">
        <w:rPr>
          <w:rFonts w:ascii="Calibri" w:hAnsi="Calibri" w:cs="Calibri"/>
        </w:rPr>
        <w:t>.</w:t>
      </w:r>
    </w:p>
    <w:p w14:paraId="56F18BBB" w14:textId="77777777" w:rsidR="00C53AF5" w:rsidRPr="00F657F5" w:rsidRDefault="00C53AF5" w:rsidP="00C53AF5">
      <w:pPr>
        <w:autoSpaceDE w:val="0"/>
        <w:autoSpaceDN w:val="0"/>
        <w:bidi w:val="0"/>
        <w:adjustRightInd w:val="0"/>
        <w:jc w:val="both"/>
        <w:rPr>
          <w:rFonts w:ascii="Calibri" w:hAnsi="Calibri" w:cs="Calibri"/>
        </w:rPr>
      </w:pPr>
    </w:p>
    <w:p w14:paraId="72159035" w14:textId="68B5FCFB" w:rsidR="0054314B" w:rsidRPr="00F657F5" w:rsidRDefault="00C53AF5" w:rsidP="00C53AF5">
      <w:pPr>
        <w:autoSpaceDE w:val="0"/>
        <w:autoSpaceDN w:val="0"/>
        <w:bidi w:val="0"/>
        <w:adjustRightInd w:val="0"/>
        <w:jc w:val="both"/>
        <w:rPr>
          <w:rFonts w:ascii="Calibri" w:hAnsi="Calibri" w:cs="Calibri"/>
        </w:rPr>
      </w:pPr>
      <w:r w:rsidRPr="00F657F5">
        <w:rPr>
          <w:rFonts w:ascii="Calibri" w:hAnsi="Calibri" w:cs="Calibri"/>
          <w:noProof/>
        </w:rPr>
        <w:drawing>
          <wp:inline distT="0" distB="0" distL="0" distR="0" wp14:anchorId="3851E513" wp14:editId="788099EC">
            <wp:extent cx="4261658" cy="2599946"/>
            <wp:effectExtent l="0" t="0" r="5715" b="0"/>
            <wp:docPr id="28" name="תמונה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4992" cy="2614181"/>
                    </a:xfrm>
                    <a:prstGeom prst="rect">
                      <a:avLst/>
                    </a:prstGeom>
                    <a:noFill/>
                  </pic:spPr>
                </pic:pic>
              </a:graphicData>
            </a:graphic>
          </wp:inline>
        </w:drawing>
      </w:r>
    </w:p>
    <w:p w14:paraId="404A25CF" w14:textId="77777777" w:rsidR="00B16BBB" w:rsidRPr="00F657F5" w:rsidRDefault="0054314B" w:rsidP="00DD15DC">
      <w:pPr>
        <w:pStyle w:val="regpar"/>
        <w:ind w:firstLine="0"/>
        <w:outlineLvl w:val="0"/>
        <w:rPr>
          <w:rFonts w:ascii="Calibri" w:hAnsi="Calibri" w:cs="Calibri"/>
        </w:rPr>
      </w:pPr>
      <w:r w:rsidRPr="00F657F5">
        <w:rPr>
          <w:rFonts w:ascii="Calibri" w:hAnsi="Calibri" w:cs="Calibri"/>
          <w:b/>
          <w:bCs/>
          <w:noProof/>
        </w:rPr>
        <w:lastRenderedPageBreak/>
        <mc:AlternateContent>
          <mc:Choice Requires="wps">
            <w:drawing>
              <wp:anchor distT="45720" distB="45720" distL="114300" distR="114300" simplePos="0" relativeHeight="251682816" behindDoc="0" locked="0" layoutInCell="1" allowOverlap="1" wp14:anchorId="48428BD3" wp14:editId="3BFAF5C5">
                <wp:simplePos x="0" y="0"/>
                <wp:positionH relativeFrom="margin">
                  <wp:align>left</wp:align>
                </wp:positionH>
                <wp:positionV relativeFrom="paragraph">
                  <wp:posOffset>47625</wp:posOffset>
                </wp:positionV>
                <wp:extent cx="3469640" cy="32385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9640" cy="323850"/>
                        </a:xfrm>
                        <a:prstGeom prst="rect">
                          <a:avLst/>
                        </a:prstGeom>
                        <a:solidFill>
                          <a:srgbClr val="FFFFFF"/>
                        </a:solidFill>
                        <a:ln w="9525">
                          <a:noFill/>
                          <a:miter lim="800000"/>
                          <a:headEnd/>
                          <a:tailEnd/>
                        </a:ln>
                      </wps:spPr>
                      <wps:txbx>
                        <w:txbxContent>
                          <w:p w14:paraId="45444ECD" w14:textId="77777777" w:rsidR="0054314B" w:rsidRPr="00BA72C9" w:rsidRDefault="0054314B" w:rsidP="00BA72C9">
                            <w:pPr>
                              <w:bidi w:val="0"/>
                              <w:rPr>
                                <w:sz w:val="18"/>
                                <w:szCs w:val="18"/>
                              </w:rPr>
                            </w:pPr>
                            <w:r w:rsidRPr="00811E95">
                              <w:rPr>
                                <w:sz w:val="18"/>
                                <w:szCs w:val="18"/>
                              </w:rPr>
                              <w:t>Source: Bank of Israel data</w:t>
                            </w:r>
                            <w:r w:rsidR="00494280">
                              <w:rPr>
                                <w:sz w:val="18"/>
                                <w:szCs w:val="18"/>
                              </w:rPr>
                              <w:t xml:space="preserve"> and processing</w:t>
                            </w:r>
                            <w:r>
                              <w:rPr>
                                <w:sz w:val="18"/>
                                <w:szCs w:val="18"/>
                                <w:vertAlign w:val="superscript"/>
                              </w:rPr>
                              <w:t>1</w:t>
                            </w:r>
                            <w:r w:rsidR="00BA72C9">
                              <w:rPr>
                                <w:sz w:val="18"/>
                                <w:szCs w:val="18"/>
                              </w:rPr>
                              <w:t>.</w:t>
                            </w:r>
                          </w:p>
                          <w:p w14:paraId="688FFA4B" w14:textId="77777777" w:rsidR="0054314B" w:rsidRPr="0054314B" w:rsidRDefault="0054314B" w:rsidP="00543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28BD3" id="_x0000_s1029" type="#_x0000_t202" style="position:absolute;left:0;text-align:left;margin-left:0;margin-top:3.75pt;width:273.2pt;height:25.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" stroked="f">
                <v:textbox>
                  <w:txbxContent>
                    <w:p w14:paraId="45444ECD" w14:textId="77777777" w:rsidR="0054314B" w:rsidRPr="00BA72C9" w:rsidRDefault="0054314B" w:rsidP="00BA72C9">
                      <w:pPr>
                        <w:bidi w:val="0"/>
                        <w:rPr>
                          <w:sz w:val="18"/>
                          <w:szCs w:val="18"/>
                        </w:rPr>
                      </w:pPr>
                      <w:r w:rsidRPr="00811E95">
                        <w:rPr>
                          <w:sz w:val="18"/>
                          <w:szCs w:val="18"/>
                        </w:rPr>
                        <w:t>Source: Bank of Israel data</w:t>
                      </w:r>
                      <w:r w:rsidR="00494280">
                        <w:rPr>
                          <w:sz w:val="18"/>
                          <w:szCs w:val="18"/>
                        </w:rPr>
                        <w:t xml:space="preserve"> and processing</w:t>
                      </w:r>
                      <w:r>
                        <w:rPr>
                          <w:sz w:val="18"/>
                          <w:szCs w:val="18"/>
                          <w:vertAlign w:val="superscript"/>
                        </w:rPr>
                        <w:t>1</w:t>
                      </w:r>
                      <w:r w:rsidR="00BA72C9">
                        <w:rPr>
                          <w:sz w:val="18"/>
                          <w:szCs w:val="18"/>
                        </w:rPr>
                        <w:t>.</w:t>
                      </w:r>
                    </w:p>
                    <w:p w14:paraId="688FFA4B" w14:textId="77777777" w:rsidR="0054314B" w:rsidRPr="0054314B" w:rsidRDefault="0054314B" w:rsidP="0054314B"/>
                  </w:txbxContent>
                </v:textbox>
                <w10:wrap anchorx="margin"/>
              </v:shape>
            </w:pict>
          </mc:Fallback>
        </mc:AlternateContent>
      </w:r>
    </w:p>
    <w:p w14:paraId="7799470B" w14:textId="77777777" w:rsidR="00B16BBB" w:rsidRPr="00F657F5" w:rsidRDefault="00B16BBB" w:rsidP="00B16BBB">
      <w:pPr>
        <w:pStyle w:val="regpar"/>
        <w:ind w:left="360" w:firstLine="0"/>
        <w:outlineLvl w:val="0"/>
        <w:rPr>
          <w:rFonts w:ascii="Calibri" w:hAnsi="Calibri" w:cs="Calibri"/>
          <w:b/>
          <w:bCs/>
        </w:rPr>
      </w:pPr>
    </w:p>
    <w:p w14:paraId="4E4770D3" w14:textId="77777777" w:rsidR="00763F37" w:rsidRPr="00F657F5" w:rsidRDefault="00F36E24" w:rsidP="00B16BBB">
      <w:pPr>
        <w:pStyle w:val="regpar"/>
        <w:numPr>
          <w:ilvl w:val="0"/>
          <w:numId w:val="4"/>
        </w:numPr>
        <w:outlineLvl w:val="0"/>
        <w:rPr>
          <w:rFonts w:ascii="Calibri" w:hAnsi="Calibri" w:cs="Calibri"/>
        </w:rPr>
      </w:pPr>
      <w:r w:rsidRPr="00F657F5">
        <w:rPr>
          <w:rFonts w:ascii="Calibri" w:hAnsi="Calibri" w:cs="Calibri"/>
          <w:b/>
          <w:bCs/>
        </w:rPr>
        <w:t>N</w:t>
      </w:r>
      <w:r w:rsidR="00DD15DC" w:rsidRPr="00F657F5">
        <w:rPr>
          <w:rFonts w:ascii="Calibri" w:hAnsi="Calibri" w:cs="Calibri"/>
          <w:b/>
          <w:bCs/>
        </w:rPr>
        <w:t>et external debt</w:t>
      </w:r>
    </w:p>
    <w:p w14:paraId="25C023FF" w14:textId="77777777" w:rsidR="00DD15DC" w:rsidRPr="00F657F5" w:rsidRDefault="00DD15DC" w:rsidP="00DD15DC">
      <w:pPr>
        <w:pStyle w:val="regpar"/>
        <w:ind w:firstLine="0"/>
        <w:outlineLvl w:val="0"/>
        <w:rPr>
          <w:rFonts w:ascii="Calibri" w:hAnsi="Calibri" w:cs="Calibri"/>
        </w:rPr>
      </w:pPr>
    </w:p>
    <w:p w14:paraId="5731C334" w14:textId="494CB011" w:rsidR="00DD15DC" w:rsidRPr="00F657F5" w:rsidRDefault="002749E1" w:rsidP="003A2EA7">
      <w:pPr>
        <w:pStyle w:val="regpar"/>
        <w:ind w:firstLine="0"/>
        <w:outlineLvl w:val="0"/>
        <w:rPr>
          <w:rFonts w:ascii="Calibri" w:hAnsi="Calibri" w:cs="Calibri"/>
        </w:rPr>
      </w:pPr>
      <w:r w:rsidRPr="00F657F5">
        <w:rPr>
          <w:rFonts w:ascii="Calibri" w:hAnsi="Calibri" w:cs="Calibri"/>
        </w:rPr>
        <w:t xml:space="preserve">The surplus of assets over liabilities vis-à-vis abroad in debt instruments alone (negative net external debt) </w:t>
      </w:r>
      <w:r w:rsidR="003A2EA7" w:rsidRPr="00F657F5">
        <w:rPr>
          <w:rFonts w:ascii="Calibri" w:hAnsi="Calibri" w:cs="Calibri"/>
        </w:rPr>
        <w:t xml:space="preserve">increased </w:t>
      </w:r>
      <w:r w:rsidR="001E6AAC" w:rsidRPr="00F657F5">
        <w:rPr>
          <w:rFonts w:ascii="Calibri" w:hAnsi="Calibri" w:cs="Calibri"/>
        </w:rPr>
        <w:t>by approximately $</w:t>
      </w:r>
      <w:r w:rsidR="003A2EA7" w:rsidRPr="00F657F5">
        <w:rPr>
          <w:rFonts w:ascii="Calibri" w:hAnsi="Calibri" w:cs="Calibri"/>
        </w:rPr>
        <w:t xml:space="preserve">5.8 </w:t>
      </w:r>
      <w:r w:rsidR="001E6AAC" w:rsidRPr="00F657F5">
        <w:rPr>
          <w:rFonts w:ascii="Calibri" w:hAnsi="Calibri" w:cs="Calibri"/>
        </w:rPr>
        <w:t>billion (</w:t>
      </w:r>
      <w:r w:rsidR="00694AB4" w:rsidRPr="00F657F5">
        <w:rPr>
          <w:rFonts w:ascii="Calibri" w:hAnsi="Calibri" w:cs="Calibri"/>
        </w:rPr>
        <w:t xml:space="preserve">about </w:t>
      </w:r>
      <w:r w:rsidR="00F67A60" w:rsidRPr="00F657F5">
        <w:rPr>
          <w:rFonts w:ascii="Calibri" w:hAnsi="Calibri" w:cs="Calibri"/>
        </w:rPr>
        <w:t>2.</w:t>
      </w:r>
      <w:r w:rsidR="003A2EA7" w:rsidRPr="00F657F5">
        <w:rPr>
          <w:rFonts w:ascii="Calibri" w:hAnsi="Calibri" w:cs="Calibri"/>
        </w:rPr>
        <w:t>1</w:t>
      </w:r>
      <w:r w:rsidR="00F67A60" w:rsidRPr="00F657F5">
        <w:rPr>
          <w:rFonts w:ascii="Calibri" w:hAnsi="Calibri" w:cs="Calibri"/>
        </w:rPr>
        <w:t xml:space="preserve"> </w:t>
      </w:r>
      <w:r w:rsidR="001E6AAC" w:rsidRPr="00F657F5">
        <w:rPr>
          <w:rFonts w:ascii="Calibri" w:hAnsi="Calibri" w:cs="Calibri"/>
        </w:rPr>
        <w:t xml:space="preserve">percent) </w:t>
      </w:r>
      <w:r w:rsidR="00A91CCF" w:rsidRPr="00F657F5">
        <w:rPr>
          <w:rFonts w:ascii="Calibri" w:hAnsi="Calibri" w:cs="Calibri"/>
        </w:rPr>
        <w:t>in</w:t>
      </w:r>
      <w:r w:rsidRPr="00F657F5">
        <w:rPr>
          <w:rFonts w:ascii="Calibri" w:hAnsi="Calibri" w:cs="Calibri"/>
        </w:rPr>
        <w:t xml:space="preserve"> the </w:t>
      </w:r>
      <w:r w:rsidR="0083537E" w:rsidRPr="00F657F5">
        <w:rPr>
          <w:rFonts w:ascii="Calibri" w:hAnsi="Calibri" w:cs="Calibri"/>
        </w:rPr>
        <w:t>first</w:t>
      </w:r>
      <w:r w:rsidR="007A6A15" w:rsidRPr="00F657F5">
        <w:rPr>
          <w:rFonts w:ascii="Calibri" w:hAnsi="Calibri" w:cs="Calibri"/>
        </w:rPr>
        <w:t xml:space="preserve"> quarter</w:t>
      </w:r>
      <w:r w:rsidRPr="00F657F5">
        <w:rPr>
          <w:rFonts w:ascii="Calibri" w:hAnsi="Calibri" w:cs="Calibri"/>
        </w:rPr>
        <w:t xml:space="preserve">, </w:t>
      </w:r>
      <w:r w:rsidR="001E6AAC" w:rsidRPr="00F657F5">
        <w:rPr>
          <w:rFonts w:ascii="Calibri" w:hAnsi="Calibri" w:cs="Calibri"/>
        </w:rPr>
        <w:t xml:space="preserve">to </w:t>
      </w:r>
      <w:r w:rsidR="00573524" w:rsidRPr="00F657F5">
        <w:rPr>
          <w:rFonts w:ascii="Calibri" w:hAnsi="Calibri" w:cs="Calibri"/>
        </w:rPr>
        <w:t xml:space="preserve">about </w:t>
      </w:r>
      <w:r w:rsidRPr="00F657F5">
        <w:rPr>
          <w:rFonts w:ascii="Calibri" w:hAnsi="Calibri" w:cs="Calibri"/>
        </w:rPr>
        <w:t>$</w:t>
      </w:r>
      <w:r w:rsidR="003A2EA7" w:rsidRPr="00F657F5">
        <w:rPr>
          <w:rFonts w:ascii="Calibri" w:hAnsi="Calibri" w:cs="Calibri"/>
        </w:rPr>
        <w:t>285</w:t>
      </w:r>
      <w:r w:rsidR="00D52E34" w:rsidRPr="00F657F5">
        <w:rPr>
          <w:rFonts w:ascii="Calibri" w:hAnsi="Calibri" w:cs="Calibri"/>
        </w:rPr>
        <w:t xml:space="preserve"> </w:t>
      </w:r>
      <w:r w:rsidR="002A1B95" w:rsidRPr="00F657F5">
        <w:rPr>
          <w:rFonts w:ascii="Calibri" w:hAnsi="Calibri" w:cs="Calibri"/>
        </w:rPr>
        <w:t>b</w:t>
      </w:r>
      <w:r w:rsidRPr="00F657F5">
        <w:rPr>
          <w:rFonts w:ascii="Calibri" w:hAnsi="Calibri" w:cs="Calibri"/>
        </w:rPr>
        <w:t xml:space="preserve">illion at the end of </w:t>
      </w:r>
      <w:r w:rsidR="003A2EA7" w:rsidRPr="00F657F5">
        <w:rPr>
          <w:rFonts w:ascii="Calibri" w:hAnsi="Calibri" w:cs="Calibri"/>
        </w:rPr>
        <w:t xml:space="preserve">March </w:t>
      </w:r>
      <w:r w:rsidR="00DD15DC" w:rsidRPr="00F657F5">
        <w:rPr>
          <w:rFonts w:ascii="Calibri" w:hAnsi="Calibri" w:cs="Calibri"/>
        </w:rPr>
        <w:t xml:space="preserve">(Figure </w:t>
      </w:r>
      <w:r w:rsidR="00A82CAA" w:rsidRPr="00F657F5">
        <w:rPr>
          <w:rFonts w:ascii="Calibri" w:hAnsi="Calibri" w:cs="Calibri"/>
        </w:rPr>
        <w:t>7</w:t>
      </w:r>
      <w:r w:rsidR="00DD15DC" w:rsidRPr="00F657F5">
        <w:rPr>
          <w:rFonts w:ascii="Calibri" w:hAnsi="Calibri" w:cs="Calibri"/>
        </w:rPr>
        <w:t>).</w:t>
      </w:r>
    </w:p>
    <w:p w14:paraId="2B1A8C5E" w14:textId="77777777" w:rsidR="008D129C" w:rsidRPr="00F657F5" w:rsidRDefault="008D129C" w:rsidP="00EC37DD">
      <w:pPr>
        <w:pStyle w:val="regpar"/>
        <w:ind w:firstLine="0"/>
        <w:outlineLvl w:val="0"/>
        <w:rPr>
          <w:rFonts w:ascii="Calibri" w:hAnsi="Calibri" w:cs="Calibri"/>
        </w:rPr>
      </w:pPr>
    </w:p>
    <w:p w14:paraId="3487A9E5" w14:textId="61C5946F" w:rsidR="00DD15DC" w:rsidRPr="00F657F5" w:rsidRDefault="00DD15DC" w:rsidP="001F60E5">
      <w:pPr>
        <w:pStyle w:val="regpar"/>
        <w:ind w:firstLine="0"/>
        <w:outlineLvl w:val="0"/>
        <w:rPr>
          <w:rFonts w:ascii="Calibri" w:hAnsi="Calibri" w:cs="Calibri"/>
        </w:rPr>
      </w:pPr>
      <w:r w:rsidRPr="00F657F5">
        <w:rPr>
          <w:rFonts w:ascii="Calibri" w:hAnsi="Calibri" w:cs="Calibri"/>
          <w:b/>
          <w:bCs/>
        </w:rPr>
        <w:t>The balance of</w:t>
      </w:r>
      <w:r w:rsidR="0049226B" w:rsidRPr="00F657F5">
        <w:rPr>
          <w:rFonts w:ascii="Calibri" w:hAnsi="Calibri" w:cs="Calibri"/>
          <w:b/>
          <w:bCs/>
        </w:rPr>
        <w:t xml:space="preserve"> </w:t>
      </w:r>
      <w:r w:rsidRPr="00F657F5">
        <w:rPr>
          <w:rFonts w:ascii="Calibri" w:hAnsi="Calibri" w:cs="Calibri"/>
          <w:b/>
          <w:bCs/>
        </w:rPr>
        <w:t xml:space="preserve">assets </w:t>
      </w:r>
      <w:r w:rsidR="008D129C" w:rsidRPr="00F657F5">
        <w:rPr>
          <w:rFonts w:ascii="Calibri" w:hAnsi="Calibri" w:cs="Calibri"/>
          <w:b/>
          <w:bCs/>
        </w:rPr>
        <w:t>in debt instruments</w:t>
      </w:r>
      <w:r w:rsidR="008D129C" w:rsidRPr="00F657F5">
        <w:rPr>
          <w:rFonts w:ascii="Calibri" w:hAnsi="Calibri" w:cs="Calibri"/>
        </w:rPr>
        <w:t xml:space="preserve"> </w:t>
      </w:r>
      <w:r w:rsidR="001F60E5" w:rsidRPr="00F657F5">
        <w:rPr>
          <w:rFonts w:ascii="Calibri" w:hAnsi="Calibri" w:cs="Calibri"/>
        </w:rPr>
        <w:t xml:space="preserve">increased </w:t>
      </w:r>
      <w:r w:rsidR="00B34532" w:rsidRPr="00F657F5">
        <w:rPr>
          <w:rFonts w:ascii="Calibri" w:hAnsi="Calibri" w:cs="Calibri"/>
        </w:rPr>
        <w:t xml:space="preserve">by </w:t>
      </w:r>
      <w:r w:rsidR="00070D66" w:rsidRPr="00F657F5">
        <w:rPr>
          <w:rFonts w:ascii="Calibri" w:hAnsi="Calibri" w:cs="Calibri"/>
        </w:rPr>
        <w:t xml:space="preserve">about </w:t>
      </w:r>
      <w:r w:rsidR="00B34532" w:rsidRPr="00F657F5">
        <w:rPr>
          <w:rFonts w:ascii="Calibri" w:hAnsi="Calibri" w:cs="Calibri"/>
        </w:rPr>
        <w:t>$</w:t>
      </w:r>
      <w:r w:rsidR="001F60E5" w:rsidRPr="00F657F5">
        <w:rPr>
          <w:rFonts w:ascii="Calibri" w:hAnsi="Calibri" w:cs="Calibri"/>
        </w:rPr>
        <w:t xml:space="preserve">8.2 </w:t>
      </w:r>
      <w:r w:rsidR="00CA70DE" w:rsidRPr="00F657F5">
        <w:rPr>
          <w:rFonts w:ascii="Calibri" w:hAnsi="Calibri" w:cs="Calibri"/>
        </w:rPr>
        <w:t>billion</w:t>
      </w:r>
      <w:r w:rsidR="00BA72C9" w:rsidRPr="00F657F5">
        <w:rPr>
          <w:rFonts w:ascii="Calibri" w:hAnsi="Calibri" w:cs="Calibri"/>
        </w:rPr>
        <w:t xml:space="preserve"> in the </w:t>
      </w:r>
      <w:r w:rsidR="0083537E" w:rsidRPr="00F657F5">
        <w:rPr>
          <w:rFonts w:ascii="Calibri" w:hAnsi="Calibri" w:cs="Calibri"/>
        </w:rPr>
        <w:t>first</w:t>
      </w:r>
      <w:r w:rsidR="007A6A15" w:rsidRPr="00F657F5">
        <w:rPr>
          <w:rFonts w:ascii="Calibri" w:hAnsi="Calibri" w:cs="Calibri"/>
        </w:rPr>
        <w:t xml:space="preserve"> quarter</w:t>
      </w:r>
      <w:r w:rsidRPr="00F657F5">
        <w:rPr>
          <w:rFonts w:ascii="Calibri" w:hAnsi="Calibri" w:cs="Calibri"/>
        </w:rPr>
        <w:t xml:space="preserve">, </w:t>
      </w:r>
      <w:r w:rsidR="00B34532" w:rsidRPr="00F657F5">
        <w:rPr>
          <w:rFonts w:ascii="Calibri" w:hAnsi="Calibri" w:cs="Calibri"/>
        </w:rPr>
        <w:t xml:space="preserve">to </w:t>
      </w:r>
      <w:r w:rsidR="00070D66" w:rsidRPr="00F657F5">
        <w:rPr>
          <w:rFonts w:ascii="Calibri" w:hAnsi="Calibri" w:cs="Calibri"/>
        </w:rPr>
        <w:t xml:space="preserve">about </w:t>
      </w:r>
      <w:r w:rsidR="00B34532" w:rsidRPr="00F657F5">
        <w:rPr>
          <w:rFonts w:ascii="Calibri" w:hAnsi="Calibri" w:cs="Calibri"/>
        </w:rPr>
        <w:t>$</w:t>
      </w:r>
      <w:r w:rsidR="001F60E5" w:rsidRPr="00F657F5">
        <w:rPr>
          <w:rFonts w:ascii="Calibri" w:hAnsi="Calibri" w:cs="Calibri"/>
        </w:rPr>
        <w:t xml:space="preserve">434 </w:t>
      </w:r>
      <w:r w:rsidR="00B34532" w:rsidRPr="00F657F5">
        <w:rPr>
          <w:rFonts w:ascii="Calibri" w:hAnsi="Calibri" w:cs="Calibri"/>
        </w:rPr>
        <w:t>billion at the end of the quarter</w:t>
      </w:r>
      <w:r w:rsidR="00B5154C" w:rsidRPr="00F657F5">
        <w:rPr>
          <w:rFonts w:ascii="Calibri" w:hAnsi="Calibri" w:cs="Calibri"/>
        </w:rPr>
        <w:t xml:space="preserve">, </w:t>
      </w:r>
      <w:r w:rsidR="00F61E46" w:rsidRPr="00F657F5">
        <w:rPr>
          <w:rFonts w:ascii="Calibri" w:hAnsi="Calibri" w:cs="Calibri"/>
        </w:rPr>
        <w:t xml:space="preserve">of which </w:t>
      </w:r>
      <w:r w:rsidR="00070D66" w:rsidRPr="00F657F5">
        <w:rPr>
          <w:rFonts w:ascii="Calibri" w:hAnsi="Calibri" w:cs="Calibri"/>
        </w:rPr>
        <w:t xml:space="preserve">about </w:t>
      </w:r>
      <w:r w:rsidR="00F61E46" w:rsidRPr="00F657F5">
        <w:rPr>
          <w:rFonts w:ascii="Calibri" w:hAnsi="Calibri" w:cs="Calibri"/>
        </w:rPr>
        <w:t>$</w:t>
      </w:r>
      <w:r w:rsidR="00056CA1" w:rsidRPr="00F657F5">
        <w:rPr>
          <w:rFonts w:ascii="Calibri" w:hAnsi="Calibri" w:cs="Calibri"/>
        </w:rPr>
        <w:t>21</w:t>
      </w:r>
      <w:r w:rsidR="001F60E5" w:rsidRPr="00F657F5">
        <w:rPr>
          <w:rFonts w:ascii="Calibri" w:hAnsi="Calibri" w:cs="Calibri"/>
        </w:rPr>
        <w:t>9</w:t>
      </w:r>
      <w:r w:rsidR="00D52E34" w:rsidRPr="00F657F5">
        <w:rPr>
          <w:rFonts w:ascii="Calibri" w:hAnsi="Calibri" w:cs="Calibri"/>
        </w:rPr>
        <w:t xml:space="preserve"> </w:t>
      </w:r>
      <w:r w:rsidR="00F61E46" w:rsidRPr="00F657F5">
        <w:rPr>
          <w:rFonts w:ascii="Calibri" w:hAnsi="Calibri" w:cs="Calibri"/>
        </w:rPr>
        <w:t>billion is the Bank of Israel</w:t>
      </w:r>
      <w:r w:rsidR="00862889" w:rsidRPr="00F657F5">
        <w:rPr>
          <w:rFonts w:ascii="Calibri" w:hAnsi="Calibri" w:cs="Calibri"/>
        </w:rPr>
        <w:t>'s</w:t>
      </w:r>
      <w:r w:rsidR="00F61E46" w:rsidRPr="00F657F5">
        <w:rPr>
          <w:rFonts w:ascii="Calibri" w:hAnsi="Calibri" w:cs="Calibri"/>
        </w:rPr>
        <w:t xml:space="preserve"> foreign exchange reserves. This </w:t>
      </w:r>
      <w:r w:rsidR="00EC37DD" w:rsidRPr="00F657F5">
        <w:rPr>
          <w:rFonts w:ascii="Calibri" w:hAnsi="Calibri" w:cs="Calibri"/>
        </w:rPr>
        <w:t xml:space="preserve">balance </w:t>
      </w:r>
      <w:r w:rsidRPr="00F657F5">
        <w:rPr>
          <w:rFonts w:ascii="Calibri" w:hAnsi="Calibri" w:cs="Calibri"/>
        </w:rPr>
        <w:t>reflect</w:t>
      </w:r>
      <w:r w:rsidR="00F61E46" w:rsidRPr="00F657F5">
        <w:rPr>
          <w:rFonts w:ascii="Calibri" w:hAnsi="Calibri" w:cs="Calibri"/>
        </w:rPr>
        <w:t>s</w:t>
      </w:r>
      <w:r w:rsidRPr="00F657F5">
        <w:rPr>
          <w:rFonts w:ascii="Calibri" w:hAnsi="Calibri" w:cs="Calibri"/>
        </w:rPr>
        <w:t xml:space="preserve"> a coverage ratio of </w:t>
      </w:r>
      <w:r w:rsidR="00E51CCC" w:rsidRPr="00F657F5">
        <w:rPr>
          <w:rFonts w:ascii="Calibri" w:hAnsi="Calibri" w:cs="Calibri"/>
        </w:rPr>
        <w:t>2.</w:t>
      </w:r>
      <w:r w:rsidR="001B05B8" w:rsidRPr="00F657F5">
        <w:rPr>
          <w:rFonts w:ascii="Calibri" w:hAnsi="Calibri" w:cs="Calibri"/>
        </w:rPr>
        <w:t>9</w:t>
      </w:r>
      <w:r w:rsidR="00E51CCC" w:rsidRPr="00F657F5">
        <w:rPr>
          <w:rFonts w:ascii="Calibri" w:hAnsi="Calibri" w:cs="Calibri"/>
        </w:rPr>
        <w:t xml:space="preserve"> </w:t>
      </w:r>
      <w:r w:rsidR="002D66E7" w:rsidRPr="00F657F5">
        <w:rPr>
          <w:rFonts w:ascii="Calibri" w:hAnsi="Calibri" w:cs="Calibri"/>
        </w:rPr>
        <w:t>t</w:t>
      </w:r>
      <w:r w:rsidRPr="00F657F5">
        <w:rPr>
          <w:rFonts w:ascii="Calibri" w:hAnsi="Calibri" w:cs="Calibri"/>
        </w:rPr>
        <w:t>imes</w:t>
      </w:r>
      <w:r w:rsidR="00E7533D" w:rsidRPr="00F657F5">
        <w:rPr>
          <w:rFonts w:ascii="Calibri" w:hAnsi="Calibri" w:cs="Calibri"/>
        </w:rPr>
        <w:t xml:space="preserve"> the gross external debt</w:t>
      </w:r>
      <w:r w:rsidRPr="00F657F5">
        <w:rPr>
          <w:rFonts w:ascii="Calibri" w:hAnsi="Calibri" w:cs="Calibri"/>
        </w:rPr>
        <w:t>.</w:t>
      </w:r>
    </w:p>
    <w:p w14:paraId="6E198FAA" w14:textId="650BFDB2" w:rsidR="00986270" w:rsidRPr="00F657F5" w:rsidRDefault="00986270" w:rsidP="00C53AF5">
      <w:pPr>
        <w:bidi w:val="0"/>
        <w:jc w:val="both"/>
        <w:rPr>
          <w:rFonts w:ascii="Calibri" w:hAnsi="Calibri" w:cs="Calibri"/>
        </w:rPr>
      </w:pPr>
    </w:p>
    <w:p w14:paraId="18CC119E" w14:textId="6FA8D946" w:rsidR="00C53AF5" w:rsidRPr="00F657F5" w:rsidRDefault="00C53AF5" w:rsidP="00C53AF5">
      <w:pPr>
        <w:bidi w:val="0"/>
        <w:jc w:val="both"/>
        <w:rPr>
          <w:rFonts w:ascii="Calibri" w:hAnsi="Calibri" w:cs="Calibri"/>
        </w:rPr>
      </w:pPr>
      <w:r w:rsidRPr="00F657F5">
        <w:rPr>
          <w:rFonts w:ascii="Calibri" w:hAnsi="Calibri" w:cs="Calibri"/>
          <w:noProof/>
        </w:rPr>
        <w:drawing>
          <wp:inline distT="0" distB="0" distL="0" distR="0" wp14:anchorId="3989F9CD" wp14:editId="30C75652">
            <wp:extent cx="4732712" cy="2884582"/>
            <wp:effectExtent l="0" t="0" r="0" b="0"/>
            <wp:docPr id="30" name="תמונה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47283" cy="2893463"/>
                    </a:xfrm>
                    <a:prstGeom prst="rect">
                      <a:avLst/>
                    </a:prstGeom>
                    <a:noFill/>
                  </pic:spPr>
                </pic:pic>
              </a:graphicData>
            </a:graphic>
          </wp:inline>
        </w:drawing>
      </w:r>
    </w:p>
    <w:p w14:paraId="24E3E785" w14:textId="77777777" w:rsidR="00C53AF5" w:rsidRPr="00F657F5" w:rsidRDefault="00C53AF5" w:rsidP="00C53AF5">
      <w:pPr>
        <w:bidi w:val="0"/>
        <w:jc w:val="both"/>
        <w:rPr>
          <w:rFonts w:ascii="Calibri" w:hAnsi="Calibri" w:cs="Calibri"/>
        </w:rPr>
      </w:pPr>
    </w:p>
    <w:p w14:paraId="65A96790" w14:textId="77777777" w:rsidR="000135E2" w:rsidRPr="00F657F5" w:rsidRDefault="000135E2" w:rsidP="00BA72C9">
      <w:pPr>
        <w:bidi w:val="0"/>
        <w:rPr>
          <w:rFonts w:ascii="Calibri" w:hAnsi="Calibri" w:cs="Calibri"/>
          <w:sz w:val="18"/>
          <w:szCs w:val="18"/>
        </w:rPr>
      </w:pPr>
      <w:r w:rsidRPr="00F657F5">
        <w:rPr>
          <w:rFonts w:ascii="Calibri" w:hAnsi="Calibri" w:cs="Calibri"/>
          <w:sz w:val="18"/>
          <w:szCs w:val="18"/>
        </w:rPr>
        <w:t xml:space="preserve">Source: Israel’s Ministry of Finance, </w:t>
      </w:r>
      <w:r w:rsidR="00BA72C9" w:rsidRPr="00F657F5">
        <w:rPr>
          <w:rFonts w:ascii="Calibri" w:hAnsi="Calibri" w:cs="Calibri"/>
          <w:sz w:val="18"/>
          <w:szCs w:val="18"/>
        </w:rPr>
        <w:t xml:space="preserve">and </w:t>
      </w:r>
      <w:r w:rsidRPr="00F657F5">
        <w:rPr>
          <w:rFonts w:ascii="Calibri" w:hAnsi="Calibri" w:cs="Calibri"/>
          <w:sz w:val="18"/>
          <w:szCs w:val="18"/>
        </w:rPr>
        <w:t>Bank of Israel data</w:t>
      </w:r>
      <w:r w:rsidR="00494280" w:rsidRPr="00F657F5">
        <w:rPr>
          <w:rFonts w:ascii="Calibri" w:hAnsi="Calibri" w:cs="Calibri"/>
          <w:sz w:val="18"/>
          <w:szCs w:val="18"/>
        </w:rPr>
        <w:t xml:space="preserve"> and processing</w:t>
      </w:r>
      <w:r w:rsidRPr="00F657F5">
        <w:rPr>
          <w:rStyle w:val="ad"/>
          <w:rFonts w:ascii="Calibri" w:hAnsi="Calibri" w:cs="Calibri"/>
          <w:sz w:val="18"/>
          <w:szCs w:val="18"/>
        </w:rPr>
        <w:footnoteReference w:id="1"/>
      </w:r>
      <w:r w:rsidR="00BA72C9" w:rsidRPr="00F657F5">
        <w:rPr>
          <w:rFonts w:ascii="Calibri" w:hAnsi="Calibri" w:cs="Calibri"/>
          <w:sz w:val="18"/>
          <w:szCs w:val="18"/>
        </w:rPr>
        <w:t>.</w:t>
      </w:r>
    </w:p>
    <w:p w14:paraId="2EF6F46D" w14:textId="77777777" w:rsidR="00986270" w:rsidRPr="00F657F5" w:rsidRDefault="00986270" w:rsidP="00986270">
      <w:pPr>
        <w:tabs>
          <w:tab w:val="center" w:pos="4156"/>
          <w:tab w:val="right" w:pos="8312"/>
        </w:tabs>
        <w:bidi w:val="0"/>
        <w:jc w:val="center"/>
        <w:rPr>
          <w:rFonts w:ascii="Calibri" w:hAnsi="Calibri" w:cs="Calibri"/>
          <w:sz w:val="22"/>
          <w:szCs w:val="22"/>
        </w:rPr>
      </w:pPr>
    </w:p>
    <w:p w14:paraId="1A4CFB2C" w14:textId="77777777" w:rsidR="000E0CF6" w:rsidRPr="00F657F5" w:rsidRDefault="000E0CF6" w:rsidP="000E0CF6">
      <w:pPr>
        <w:tabs>
          <w:tab w:val="center" w:pos="4156"/>
          <w:tab w:val="right" w:pos="8312"/>
        </w:tabs>
        <w:bidi w:val="0"/>
        <w:jc w:val="center"/>
        <w:rPr>
          <w:rFonts w:ascii="Calibri" w:hAnsi="Calibri" w:cs="Calibri"/>
          <w:sz w:val="22"/>
          <w:szCs w:val="22"/>
        </w:rPr>
      </w:pPr>
    </w:p>
    <w:p w14:paraId="0B0941D9" w14:textId="77777777" w:rsidR="000E0CF6" w:rsidRPr="00F657F5" w:rsidRDefault="000E0CF6" w:rsidP="000E0CF6">
      <w:pPr>
        <w:tabs>
          <w:tab w:val="center" w:pos="4156"/>
          <w:tab w:val="right" w:pos="8312"/>
        </w:tabs>
        <w:bidi w:val="0"/>
        <w:jc w:val="center"/>
        <w:rPr>
          <w:rFonts w:ascii="Calibri" w:hAnsi="Calibri" w:cs="Calibri"/>
          <w:sz w:val="22"/>
          <w:szCs w:val="22"/>
        </w:rPr>
      </w:pPr>
    </w:p>
    <w:p w14:paraId="7D2FCEEF" w14:textId="77777777" w:rsidR="000E0CF6" w:rsidRPr="00F657F5" w:rsidRDefault="00F657F5" w:rsidP="000E0CF6">
      <w:pPr>
        <w:pStyle w:val="regpar"/>
        <w:spacing w:before="240"/>
        <w:ind w:firstLine="0"/>
        <w:jc w:val="left"/>
        <w:outlineLvl w:val="0"/>
        <w:rPr>
          <w:rFonts w:ascii="Calibri" w:hAnsi="Calibri" w:cs="Calibri"/>
        </w:rPr>
      </w:pPr>
      <w:hyperlink r:id="rId16" w:history="1">
        <w:r w:rsidR="000E0CF6" w:rsidRPr="00F657F5">
          <w:rPr>
            <w:rStyle w:val="Hyperlink"/>
            <w:rFonts w:ascii="Calibri" w:hAnsi="Calibri" w:cs="Calibri"/>
          </w:rPr>
          <w:t>For the complete data file, click here</w:t>
        </w:r>
      </w:hyperlink>
      <w:r w:rsidR="000E0CF6" w:rsidRPr="00F657F5">
        <w:rPr>
          <w:rFonts w:ascii="Calibri" w:hAnsi="Calibri" w:cs="Calibri"/>
        </w:rPr>
        <w:t>.</w:t>
      </w:r>
    </w:p>
    <w:p w14:paraId="2E22B45D" w14:textId="77777777" w:rsidR="000E0CF6" w:rsidRPr="00F657F5" w:rsidRDefault="000E0CF6" w:rsidP="000E0CF6">
      <w:pPr>
        <w:tabs>
          <w:tab w:val="center" w:pos="4156"/>
          <w:tab w:val="right" w:pos="8312"/>
        </w:tabs>
        <w:bidi w:val="0"/>
        <w:jc w:val="center"/>
        <w:rPr>
          <w:rFonts w:ascii="Calibri" w:hAnsi="Calibri" w:cs="Calibri"/>
          <w:sz w:val="22"/>
          <w:szCs w:val="22"/>
        </w:rPr>
      </w:pPr>
    </w:p>
    <w:sectPr w:rsidR="000E0CF6" w:rsidRPr="00F657F5" w:rsidSect="00494280">
      <w:footerReference w:type="default" r:id="rId17"/>
      <w:pgSz w:w="11906" w:h="16838"/>
      <w:pgMar w:top="851" w:right="1797" w:bottom="624" w:left="1797" w:header="397" w:footer="283"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C1952" w14:textId="77777777" w:rsidR="007B01C1" w:rsidRDefault="007B01C1" w:rsidP="00E64B36">
      <w:r>
        <w:separator/>
      </w:r>
    </w:p>
  </w:endnote>
  <w:endnote w:type="continuationSeparator" w:id="0">
    <w:p w14:paraId="6F18EABF" w14:textId="77777777" w:rsidR="007B01C1" w:rsidRDefault="007B01C1"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AB130" w14:textId="240326AA" w:rsidR="00B96022" w:rsidRPr="00986270" w:rsidRDefault="00B96022" w:rsidP="0083537E">
    <w:pPr>
      <w:bidi w:val="0"/>
      <w:ind w:right="-52"/>
      <w:rPr>
        <w:b/>
        <w:bCs/>
        <w:sz w:val="26"/>
        <w:szCs w:val="26"/>
        <w:u w:val="single"/>
        <w:rtl/>
        <w: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83667" w14:textId="77777777" w:rsidR="007B01C1" w:rsidRDefault="007B01C1" w:rsidP="00E64B36">
      <w:r>
        <w:separator/>
      </w:r>
    </w:p>
  </w:footnote>
  <w:footnote w:type="continuationSeparator" w:id="0">
    <w:p w14:paraId="194EC529" w14:textId="77777777" w:rsidR="007B01C1" w:rsidRDefault="007B01C1" w:rsidP="00E64B36">
      <w:r>
        <w:continuationSeparator/>
      </w:r>
    </w:p>
  </w:footnote>
  <w:footnote w:id="1">
    <w:p w14:paraId="3C9ABEAD" w14:textId="36A072ED" w:rsidR="000135E2" w:rsidRPr="00ED20A6" w:rsidRDefault="000135E2" w:rsidP="00ED20A6">
      <w:pPr>
        <w:tabs>
          <w:tab w:val="center" w:pos="4156"/>
          <w:tab w:val="right" w:pos="8312"/>
        </w:tabs>
        <w:bidi w:val="0"/>
        <w:jc w:val="both"/>
        <w:rPr>
          <w:rFonts w:asciiTheme="majorBidi" w:hAnsiTheme="majorBidi" w:cstheme="majorBidi"/>
          <w:sz w:val="20"/>
          <w:szCs w:val="20"/>
        </w:rPr>
      </w:pPr>
      <w:r w:rsidRPr="00ED20A6">
        <w:rPr>
          <w:rStyle w:val="ad"/>
          <w:rFonts w:asciiTheme="majorBidi" w:hAnsiTheme="majorBidi" w:cstheme="majorBidi"/>
          <w:sz w:val="20"/>
          <w:szCs w:val="20"/>
        </w:rPr>
        <w:footnoteRef/>
      </w:r>
      <w:r w:rsidRPr="00ED20A6">
        <w:rPr>
          <w:rFonts w:asciiTheme="majorBidi" w:hAnsiTheme="majorBidi" w:cstheme="majorBidi"/>
          <w:sz w:val="20"/>
          <w:szCs w:val="20"/>
        </w:rPr>
        <w:t xml:space="preserve"> Bank of Israel data</w:t>
      </w:r>
      <w:r w:rsidR="00494280" w:rsidRPr="00ED20A6">
        <w:rPr>
          <w:rFonts w:asciiTheme="majorBidi" w:hAnsiTheme="majorBidi" w:cstheme="majorBidi"/>
          <w:sz w:val="20"/>
          <w:szCs w:val="20"/>
        </w:rPr>
        <w:t xml:space="preserve"> and processing</w:t>
      </w:r>
      <w:r w:rsidRPr="00ED20A6">
        <w:rPr>
          <w:rFonts w:asciiTheme="majorBidi" w:hAnsiTheme="majorBidi" w:cstheme="majorBidi"/>
          <w:sz w:val="20"/>
          <w:szCs w:val="20"/>
        </w:rPr>
        <w:t xml:space="preserve">: The Bank of Israel’s Information and Statistics Department collects data from numerous varied sources. Most of the data on the economy’s activity vis-à-vis abroad are received by force of a Bank of Israel Order, from direct reports by corporations and individuals to the Bank of Israel. (See: </w:t>
      </w:r>
      <w:r w:rsidR="00BA72C9" w:rsidRPr="00ED20A6">
        <w:rPr>
          <w:rFonts w:asciiTheme="majorBidi" w:hAnsiTheme="majorBidi" w:cstheme="majorBidi"/>
          <w:sz w:val="20"/>
          <w:szCs w:val="20"/>
        </w:rPr>
        <w:t xml:space="preserve">Information </w:t>
      </w:r>
      <w:r w:rsidR="00494280" w:rsidRPr="00ED20A6">
        <w:rPr>
          <w:rFonts w:asciiTheme="majorBidi" w:hAnsiTheme="majorBidi" w:cstheme="majorBidi"/>
          <w:sz w:val="20"/>
          <w:szCs w:val="20"/>
        </w:rPr>
        <w:t>R</w:t>
      </w:r>
      <w:r w:rsidR="00BA72C9" w:rsidRPr="00ED20A6">
        <w:rPr>
          <w:rFonts w:asciiTheme="majorBidi" w:hAnsiTheme="majorBidi" w:cstheme="majorBidi"/>
          <w:sz w:val="20"/>
          <w:szCs w:val="20"/>
        </w:rPr>
        <w:t xml:space="preserve">egarding </w:t>
      </w:r>
      <w:r w:rsidR="00494280" w:rsidRPr="00ED20A6">
        <w:rPr>
          <w:rFonts w:asciiTheme="majorBidi" w:hAnsiTheme="majorBidi" w:cstheme="majorBidi"/>
          <w:sz w:val="20"/>
          <w:szCs w:val="20"/>
        </w:rPr>
        <w:t>F</w:t>
      </w:r>
      <w:r w:rsidR="00BA72C9" w:rsidRPr="00ED20A6">
        <w:rPr>
          <w:rFonts w:asciiTheme="majorBidi" w:hAnsiTheme="majorBidi" w:cstheme="majorBidi"/>
          <w:sz w:val="20"/>
          <w:szCs w:val="20"/>
        </w:rPr>
        <w:t xml:space="preserve">oreign </w:t>
      </w:r>
      <w:r w:rsidR="00494280" w:rsidRPr="00ED20A6">
        <w:rPr>
          <w:rFonts w:asciiTheme="majorBidi" w:hAnsiTheme="majorBidi" w:cstheme="majorBidi"/>
          <w:sz w:val="20"/>
          <w:szCs w:val="20"/>
        </w:rPr>
        <w:t>E</w:t>
      </w:r>
      <w:r w:rsidRPr="00ED20A6">
        <w:rPr>
          <w:rFonts w:asciiTheme="majorBidi" w:hAnsiTheme="majorBidi" w:cstheme="majorBidi"/>
          <w:sz w:val="20"/>
          <w:szCs w:val="20"/>
        </w:rPr>
        <w:t xml:space="preserve">xchange </w:t>
      </w:r>
      <w:r w:rsidR="00494280" w:rsidRPr="00ED20A6">
        <w:rPr>
          <w:rFonts w:asciiTheme="majorBidi" w:hAnsiTheme="majorBidi" w:cstheme="majorBidi"/>
          <w:sz w:val="20"/>
          <w:szCs w:val="20"/>
        </w:rPr>
        <w:t>M</w:t>
      </w:r>
      <w:r w:rsidRPr="00ED20A6">
        <w:rPr>
          <w:rFonts w:asciiTheme="majorBidi" w:hAnsiTheme="majorBidi" w:cstheme="majorBidi"/>
          <w:sz w:val="20"/>
          <w:szCs w:val="20"/>
        </w:rPr>
        <w:t xml:space="preserve">arket </w:t>
      </w:r>
      <w:r w:rsidR="00494280" w:rsidRPr="00ED20A6">
        <w:rPr>
          <w:rFonts w:asciiTheme="majorBidi" w:hAnsiTheme="majorBidi" w:cstheme="majorBidi"/>
          <w:sz w:val="20"/>
          <w:szCs w:val="20"/>
        </w:rPr>
        <w:t>D</w:t>
      </w:r>
      <w:r w:rsidRPr="00ED20A6">
        <w:rPr>
          <w:rFonts w:asciiTheme="majorBidi" w:hAnsiTheme="majorBidi" w:cstheme="majorBidi"/>
          <w:sz w:val="20"/>
          <w:szCs w:val="20"/>
        </w:rPr>
        <w:t>evelopments in Israel, 5770</w:t>
      </w:r>
      <w:r w:rsidR="00494280" w:rsidRPr="00ED20A6">
        <w:rPr>
          <w:rFonts w:asciiTheme="majorBidi" w:hAnsiTheme="majorBidi" w:cstheme="majorBidi"/>
          <w:sz w:val="20"/>
          <w:szCs w:val="20"/>
        </w:rPr>
        <w:t>–</w:t>
      </w:r>
      <w:r w:rsidRPr="00ED20A6">
        <w:rPr>
          <w:rFonts w:asciiTheme="majorBidi" w:hAnsiTheme="majorBidi" w:cstheme="majorBidi"/>
          <w:sz w:val="20"/>
          <w:szCs w:val="20"/>
        </w:rPr>
        <w:t>2010). Additional data used for measuring economic activity vis-à-vis abroad are received by reports from the Bank of Israel’s Accounting Division, the Ministry of Finance, the Central Bureau of Statistics, the Israel Securities Authority, domestic banks and other financial intermediaries, and institutional investors. The Department carries out estimations and processing on data received from the various sources.</w:t>
      </w:r>
    </w:p>
    <w:p w14:paraId="1791CCC4" w14:textId="77777777" w:rsidR="000135E2" w:rsidRPr="00ED20A6" w:rsidRDefault="000135E2" w:rsidP="00ED20A6">
      <w:pPr>
        <w:pStyle w:val="ab"/>
        <w:spacing w:line="240" w:lineRule="auto"/>
        <w:rPr>
          <w:rFonts w:asciiTheme="majorBidi" w:hAnsiTheme="majorBidi" w:cstheme="majorBid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5F6"/>
    <w:multiLevelType w:val="hybridMultilevel"/>
    <w:tmpl w:val="832227F2"/>
    <w:lvl w:ilvl="0" w:tplc="B772269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B60E24"/>
    <w:multiLevelType w:val="hybridMultilevel"/>
    <w:tmpl w:val="F1968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C4167"/>
    <w:multiLevelType w:val="hybridMultilevel"/>
    <w:tmpl w:val="16040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832BBE"/>
    <w:multiLevelType w:val="hybridMultilevel"/>
    <w:tmpl w:val="81D09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6AD754C"/>
    <w:multiLevelType w:val="hybridMultilevel"/>
    <w:tmpl w:val="60144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B91BFC"/>
    <w:multiLevelType w:val="hybridMultilevel"/>
    <w:tmpl w:val="1DB63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030221"/>
    <w:multiLevelType w:val="hybridMultilevel"/>
    <w:tmpl w:val="B720E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3E5AB5"/>
    <w:multiLevelType w:val="hybridMultilevel"/>
    <w:tmpl w:val="8ADC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7771EC"/>
    <w:multiLevelType w:val="hybridMultilevel"/>
    <w:tmpl w:val="8720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0"/>
  </w:num>
  <w:num w:numId="5">
    <w:abstractNumId w:val="1"/>
  </w:num>
  <w:num w:numId="6">
    <w:abstractNumId w:val="7"/>
  </w:num>
  <w:num w:numId="7">
    <w:abstractNumId w:val="8"/>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24C3"/>
    <w:rsid w:val="000027EA"/>
    <w:rsid w:val="00003030"/>
    <w:rsid w:val="0000462B"/>
    <w:rsid w:val="000050DA"/>
    <w:rsid w:val="0000797D"/>
    <w:rsid w:val="000135E2"/>
    <w:rsid w:val="0001378E"/>
    <w:rsid w:val="0001385E"/>
    <w:rsid w:val="0001413F"/>
    <w:rsid w:val="00016F6E"/>
    <w:rsid w:val="0002004D"/>
    <w:rsid w:val="00020913"/>
    <w:rsid w:val="0002107D"/>
    <w:rsid w:val="000213C9"/>
    <w:rsid w:val="00021454"/>
    <w:rsid w:val="00022DA8"/>
    <w:rsid w:val="0002419C"/>
    <w:rsid w:val="0003330C"/>
    <w:rsid w:val="00033569"/>
    <w:rsid w:val="00033B01"/>
    <w:rsid w:val="00034591"/>
    <w:rsid w:val="0004083B"/>
    <w:rsid w:val="000442F9"/>
    <w:rsid w:val="00044332"/>
    <w:rsid w:val="00044C53"/>
    <w:rsid w:val="00050B80"/>
    <w:rsid w:val="00051247"/>
    <w:rsid w:val="00051756"/>
    <w:rsid w:val="000524A8"/>
    <w:rsid w:val="000526A0"/>
    <w:rsid w:val="0005434B"/>
    <w:rsid w:val="000546F8"/>
    <w:rsid w:val="0005496E"/>
    <w:rsid w:val="00054A1E"/>
    <w:rsid w:val="00055746"/>
    <w:rsid w:val="00056CA1"/>
    <w:rsid w:val="0005726E"/>
    <w:rsid w:val="0006167B"/>
    <w:rsid w:val="000669F8"/>
    <w:rsid w:val="0006724E"/>
    <w:rsid w:val="0007041D"/>
    <w:rsid w:val="00070D66"/>
    <w:rsid w:val="000738C9"/>
    <w:rsid w:val="00073F06"/>
    <w:rsid w:val="0007420A"/>
    <w:rsid w:val="00074C35"/>
    <w:rsid w:val="00075965"/>
    <w:rsid w:val="00077D5A"/>
    <w:rsid w:val="0008354E"/>
    <w:rsid w:val="00083750"/>
    <w:rsid w:val="0008700B"/>
    <w:rsid w:val="00095A6C"/>
    <w:rsid w:val="00096AA7"/>
    <w:rsid w:val="000A506C"/>
    <w:rsid w:val="000A520E"/>
    <w:rsid w:val="000A6999"/>
    <w:rsid w:val="000A6AFC"/>
    <w:rsid w:val="000B1395"/>
    <w:rsid w:val="000B1CF7"/>
    <w:rsid w:val="000B2925"/>
    <w:rsid w:val="000B7678"/>
    <w:rsid w:val="000B7C8E"/>
    <w:rsid w:val="000C26FB"/>
    <w:rsid w:val="000C46EA"/>
    <w:rsid w:val="000C5BBB"/>
    <w:rsid w:val="000C5FBA"/>
    <w:rsid w:val="000C6D17"/>
    <w:rsid w:val="000C6FE2"/>
    <w:rsid w:val="000C710C"/>
    <w:rsid w:val="000C7858"/>
    <w:rsid w:val="000D08C5"/>
    <w:rsid w:val="000D27BE"/>
    <w:rsid w:val="000D35BE"/>
    <w:rsid w:val="000D3B93"/>
    <w:rsid w:val="000D3F5C"/>
    <w:rsid w:val="000E048A"/>
    <w:rsid w:val="000E0CF6"/>
    <w:rsid w:val="000E1FC8"/>
    <w:rsid w:val="000E3AAE"/>
    <w:rsid w:val="000F04B9"/>
    <w:rsid w:val="000F09BD"/>
    <w:rsid w:val="000F1789"/>
    <w:rsid w:val="000F3731"/>
    <w:rsid w:val="000F37B6"/>
    <w:rsid w:val="000F48F6"/>
    <w:rsid w:val="000F4BF2"/>
    <w:rsid w:val="000F5931"/>
    <w:rsid w:val="000F6914"/>
    <w:rsid w:val="000F6B5F"/>
    <w:rsid w:val="000F7F73"/>
    <w:rsid w:val="001001A2"/>
    <w:rsid w:val="0010159F"/>
    <w:rsid w:val="00101B55"/>
    <w:rsid w:val="0010623B"/>
    <w:rsid w:val="00113FD5"/>
    <w:rsid w:val="0011574D"/>
    <w:rsid w:val="0011709E"/>
    <w:rsid w:val="0012349D"/>
    <w:rsid w:val="001301D0"/>
    <w:rsid w:val="00130245"/>
    <w:rsid w:val="00130E82"/>
    <w:rsid w:val="001320FE"/>
    <w:rsid w:val="00132C46"/>
    <w:rsid w:val="00137AAC"/>
    <w:rsid w:val="00137E2F"/>
    <w:rsid w:val="0014106D"/>
    <w:rsid w:val="00141631"/>
    <w:rsid w:val="00141A4D"/>
    <w:rsid w:val="00141A58"/>
    <w:rsid w:val="001428C4"/>
    <w:rsid w:val="00143F3A"/>
    <w:rsid w:val="00144851"/>
    <w:rsid w:val="00145E7A"/>
    <w:rsid w:val="00147F1B"/>
    <w:rsid w:val="001565E3"/>
    <w:rsid w:val="00160080"/>
    <w:rsid w:val="00160B25"/>
    <w:rsid w:val="001623A5"/>
    <w:rsid w:val="00163004"/>
    <w:rsid w:val="001669B0"/>
    <w:rsid w:val="00166FB6"/>
    <w:rsid w:val="00167B6B"/>
    <w:rsid w:val="00171330"/>
    <w:rsid w:val="001714D3"/>
    <w:rsid w:val="00171EC4"/>
    <w:rsid w:val="00173F17"/>
    <w:rsid w:val="00173FE4"/>
    <w:rsid w:val="001743E0"/>
    <w:rsid w:val="00174485"/>
    <w:rsid w:val="00176515"/>
    <w:rsid w:val="00176D2E"/>
    <w:rsid w:val="001815E1"/>
    <w:rsid w:val="00182CF0"/>
    <w:rsid w:val="001838A7"/>
    <w:rsid w:val="00186F87"/>
    <w:rsid w:val="0019257A"/>
    <w:rsid w:val="00194670"/>
    <w:rsid w:val="001955E6"/>
    <w:rsid w:val="0019659C"/>
    <w:rsid w:val="00196B1B"/>
    <w:rsid w:val="00197419"/>
    <w:rsid w:val="001A6104"/>
    <w:rsid w:val="001A6BB8"/>
    <w:rsid w:val="001A6C9A"/>
    <w:rsid w:val="001B05B8"/>
    <w:rsid w:val="001B385B"/>
    <w:rsid w:val="001B4E73"/>
    <w:rsid w:val="001B593C"/>
    <w:rsid w:val="001B5B5C"/>
    <w:rsid w:val="001B63A6"/>
    <w:rsid w:val="001B64BF"/>
    <w:rsid w:val="001C0AFC"/>
    <w:rsid w:val="001C0D92"/>
    <w:rsid w:val="001C1BC1"/>
    <w:rsid w:val="001C233F"/>
    <w:rsid w:val="001C34E4"/>
    <w:rsid w:val="001C388F"/>
    <w:rsid w:val="001C40E9"/>
    <w:rsid w:val="001C46E5"/>
    <w:rsid w:val="001C5981"/>
    <w:rsid w:val="001C602B"/>
    <w:rsid w:val="001C71E8"/>
    <w:rsid w:val="001C7E52"/>
    <w:rsid w:val="001D2C88"/>
    <w:rsid w:val="001D32F9"/>
    <w:rsid w:val="001D381C"/>
    <w:rsid w:val="001D407E"/>
    <w:rsid w:val="001D4DF0"/>
    <w:rsid w:val="001D53BC"/>
    <w:rsid w:val="001E022B"/>
    <w:rsid w:val="001E52D4"/>
    <w:rsid w:val="001E5FCA"/>
    <w:rsid w:val="001E6AAC"/>
    <w:rsid w:val="001F238F"/>
    <w:rsid w:val="001F3AA9"/>
    <w:rsid w:val="001F4214"/>
    <w:rsid w:val="001F57DE"/>
    <w:rsid w:val="001F60E5"/>
    <w:rsid w:val="00200442"/>
    <w:rsid w:val="00200E59"/>
    <w:rsid w:val="0020127F"/>
    <w:rsid w:val="0020142C"/>
    <w:rsid w:val="0020155F"/>
    <w:rsid w:val="00202E77"/>
    <w:rsid w:val="002050A3"/>
    <w:rsid w:val="00205150"/>
    <w:rsid w:val="00206233"/>
    <w:rsid w:val="00207085"/>
    <w:rsid w:val="0020780C"/>
    <w:rsid w:val="002117DC"/>
    <w:rsid w:val="0021327F"/>
    <w:rsid w:val="0021457F"/>
    <w:rsid w:val="002175B8"/>
    <w:rsid w:val="00217BA7"/>
    <w:rsid w:val="002210FA"/>
    <w:rsid w:val="002211DF"/>
    <w:rsid w:val="00224462"/>
    <w:rsid w:val="00232E1E"/>
    <w:rsid w:val="002330CC"/>
    <w:rsid w:val="00237CE5"/>
    <w:rsid w:val="0024277F"/>
    <w:rsid w:val="00243AAE"/>
    <w:rsid w:val="00247387"/>
    <w:rsid w:val="00250CFC"/>
    <w:rsid w:val="00252BB0"/>
    <w:rsid w:val="00252C62"/>
    <w:rsid w:val="00253CAA"/>
    <w:rsid w:val="002563E0"/>
    <w:rsid w:val="0026295C"/>
    <w:rsid w:val="00262DFE"/>
    <w:rsid w:val="0026680D"/>
    <w:rsid w:val="00266CE7"/>
    <w:rsid w:val="0027156F"/>
    <w:rsid w:val="0027195F"/>
    <w:rsid w:val="00272D24"/>
    <w:rsid w:val="002749E1"/>
    <w:rsid w:val="002752D6"/>
    <w:rsid w:val="0027777F"/>
    <w:rsid w:val="0028004A"/>
    <w:rsid w:val="00280DD3"/>
    <w:rsid w:val="0028175F"/>
    <w:rsid w:val="00281C70"/>
    <w:rsid w:val="00281D82"/>
    <w:rsid w:val="00283FB7"/>
    <w:rsid w:val="00284C45"/>
    <w:rsid w:val="00287018"/>
    <w:rsid w:val="00287449"/>
    <w:rsid w:val="00291467"/>
    <w:rsid w:val="00291E57"/>
    <w:rsid w:val="0029219A"/>
    <w:rsid w:val="002927C0"/>
    <w:rsid w:val="002928BA"/>
    <w:rsid w:val="00292927"/>
    <w:rsid w:val="00295790"/>
    <w:rsid w:val="00297100"/>
    <w:rsid w:val="00297C28"/>
    <w:rsid w:val="002A0D2A"/>
    <w:rsid w:val="002A14A1"/>
    <w:rsid w:val="002A1B95"/>
    <w:rsid w:val="002A4692"/>
    <w:rsid w:val="002A46AF"/>
    <w:rsid w:val="002A4BDF"/>
    <w:rsid w:val="002A6384"/>
    <w:rsid w:val="002A7522"/>
    <w:rsid w:val="002A7D3A"/>
    <w:rsid w:val="002B2F85"/>
    <w:rsid w:val="002B48CC"/>
    <w:rsid w:val="002B7D34"/>
    <w:rsid w:val="002C3A10"/>
    <w:rsid w:val="002C518C"/>
    <w:rsid w:val="002C67A2"/>
    <w:rsid w:val="002C7E33"/>
    <w:rsid w:val="002D0240"/>
    <w:rsid w:val="002D07A8"/>
    <w:rsid w:val="002D1DB5"/>
    <w:rsid w:val="002D4092"/>
    <w:rsid w:val="002D5391"/>
    <w:rsid w:val="002D66E7"/>
    <w:rsid w:val="002E2872"/>
    <w:rsid w:val="002E2EF8"/>
    <w:rsid w:val="002E3D4B"/>
    <w:rsid w:val="002E4D6B"/>
    <w:rsid w:val="002F019E"/>
    <w:rsid w:val="002F131A"/>
    <w:rsid w:val="002F29B8"/>
    <w:rsid w:val="002F2DC3"/>
    <w:rsid w:val="002F3815"/>
    <w:rsid w:val="002F67AF"/>
    <w:rsid w:val="002F7EEF"/>
    <w:rsid w:val="00301A74"/>
    <w:rsid w:val="003020E4"/>
    <w:rsid w:val="003022C3"/>
    <w:rsid w:val="0030279B"/>
    <w:rsid w:val="003039D5"/>
    <w:rsid w:val="00310434"/>
    <w:rsid w:val="003129D6"/>
    <w:rsid w:val="00312D2B"/>
    <w:rsid w:val="003133A4"/>
    <w:rsid w:val="00313494"/>
    <w:rsid w:val="003136EE"/>
    <w:rsid w:val="003138CF"/>
    <w:rsid w:val="00313F53"/>
    <w:rsid w:val="0032308E"/>
    <w:rsid w:val="003231EA"/>
    <w:rsid w:val="00323A5A"/>
    <w:rsid w:val="00323D74"/>
    <w:rsid w:val="00324E8F"/>
    <w:rsid w:val="00326B50"/>
    <w:rsid w:val="00330A83"/>
    <w:rsid w:val="00330FD9"/>
    <w:rsid w:val="00331D39"/>
    <w:rsid w:val="00335059"/>
    <w:rsid w:val="0033513C"/>
    <w:rsid w:val="00335A9E"/>
    <w:rsid w:val="00335E45"/>
    <w:rsid w:val="003403D7"/>
    <w:rsid w:val="00341343"/>
    <w:rsid w:val="003419DA"/>
    <w:rsid w:val="0034243B"/>
    <w:rsid w:val="00342468"/>
    <w:rsid w:val="003435B0"/>
    <w:rsid w:val="00344911"/>
    <w:rsid w:val="00344E60"/>
    <w:rsid w:val="00346765"/>
    <w:rsid w:val="00346978"/>
    <w:rsid w:val="00357FE9"/>
    <w:rsid w:val="00360B5C"/>
    <w:rsid w:val="00362CDB"/>
    <w:rsid w:val="00362E59"/>
    <w:rsid w:val="00362F8F"/>
    <w:rsid w:val="00364C08"/>
    <w:rsid w:val="003669C9"/>
    <w:rsid w:val="0036706F"/>
    <w:rsid w:val="00367227"/>
    <w:rsid w:val="0037177F"/>
    <w:rsid w:val="003727EE"/>
    <w:rsid w:val="003728B4"/>
    <w:rsid w:val="003770FA"/>
    <w:rsid w:val="003772AF"/>
    <w:rsid w:val="003842E9"/>
    <w:rsid w:val="00385CB3"/>
    <w:rsid w:val="00387365"/>
    <w:rsid w:val="00387840"/>
    <w:rsid w:val="0039059D"/>
    <w:rsid w:val="00390CA5"/>
    <w:rsid w:val="003947F4"/>
    <w:rsid w:val="0039482B"/>
    <w:rsid w:val="003A005A"/>
    <w:rsid w:val="003A0120"/>
    <w:rsid w:val="003A2BAF"/>
    <w:rsid w:val="003A2DAE"/>
    <w:rsid w:val="003A2EA7"/>
    <w:rsid w:val="003A335C"/>
    <w:rsid w:val="003A3813"/>
    <w:rsid w:val="003A4BE7"/>
    <w:rsid w:val="003A58FC"/>
    <w:rsid w:val="003B086C"/>
    <w:rsid w:val="003B1481"/>
    <w:rsid w:val="003B1FE1"/>
    <w:rsid w:val="003B488C"/>
    <w:rsid w:val="003B715F"/>
    <w:rsid w:val="003B7DC3"/>
    <w:rsid w:val="003C24B1"/>
    <w:rsid w:val="003C338A"/>
    <w:rsid w:val="003C4DB8"/>
    <w:rsid w:val="003C5ED4"/>
    <w:rsid w:val="003C6073"/>
    <w:rsid w:val="003C6203"/>
    <w:rsid w:val="003C63B2"/>
    <w:rsid w:val="003C7815"/>
    <w:rsid w:val="003D41EC"/>
    <w:rsid w:val="003D5EBD"/>
    <w:rsid w:val="003D6464"/>
    <w:rsid w:val="003D6F31"/>
    <w:rsid w:val="003D7860"/>
    <w:rsid w:val="003E01AC"/>
    <w:rsid w:val="003E2151"/>
    <w:rsid w:val="003E3F4C"/>
    <w:rsid w:val="003E40E1"/>
    <w:rsid w:val="003E5179"/>
    <w:rsid w:val="003E6D12"/>
    <w:rsid w:val="003E726C"/>
    <w:rsid w:val="003F04A6"/>
    <w:rsid w:val="003F10C0"/>
    <w:rsid w:val="003F2609"/>
    <w:rsid w:val="003F41A8"/>
    <w:rsid w:val="003F45CD"/>
    <w:rsid w:val="003F7DBF"/>
    <w:rsid w:val="00402872"/>
    <w:rsid w:val="00403674"/>
    <w:rsid w:val="00403D99"/>
    <w:rsid w:val="00404DAF"/>
    <w:rsid w:val="004052CA"/>
    <w:rsid w:val="00405EEE"/>
    <w:rsid w:val="00411BA4"/>
    <w:rsid w:val="00412846"/>
    <w:rsid w:val="00412EE1"/>
    <w:rsid w:val="00413006"/>
    <w:rsid w:val="004147FC"/>
    <w:rsid w:val="004159FA"/>
    <w:rsid w:val="00420E82"/>
    <w:rsid w:val="004213D4"/>
    <w:rsid w:val="00421AA8"/>
    <w:rsid w:val="00422546"/>
    <w:rsid w:val="004228B0"/>
    <w:rsid w:val="00424984"/>
    <w:rsid w:val="0042520D"/>
    <w:rsid w:val="00425339"/>
    <w:rsid w:val="00426EA0"/>
    <w:rsid w:val="004274AD"/>
    <w:rsid w:val="004302F4"/>
    <w:rsid w:val="00430365"/>
    <w:rsid w:val="0043291D"/>
    <w:rsid w:val="004342D0"/>
    <w:rsid w:val="004359B7"/>
    <w:rsid w:val="0043692B"/>
    <w:rsid w:val="00436D2A"/>
    <w:rsid w:val="0043764C"/>
    <w:rsid w:val="00440F82"/>
    <w:rsid w:val="004456E3"/>
    <w:rsid w:val="004456EC"/>
    <w:rsid w:val="00445B15"/>
    <w:rsid w:val="00445B51"/>
    <w:rsid w:val="00447E5A"/>
    <w:rsid w:val="00450993"/>
    <w:rsid w:val="00450BEC"/>
    <w:rsid w:val="00452111"/>
    <w:rsid w:val="00454DA5"/>
    <w:rsid w:val="00456A03"/>
    <w:rsid w:val="0046455D"/>
    <w:rsid w:val="0046604F"/>
    <w:rsid w:val="00471D8F"/>
    <w:rsid w:val="00473516"/>
    <w:rsid w:val="00474107"/>
    <w:rsid w:val="004751C1"/>
    <w:rsid w:val="00477DCC"/>
    <w:rsid w:val="004804AB"/>
    <w:rsid w:val="0048218A"/>
    <w:rsid w:val="00482E08"/>
    <w:rsid w:val="00484089"/>
    <w:rsid w:val="0048485C"/>
    <w:rsid w:val="0048596F"/>
    <w:rsid w:val="00485AA0"/>
    <w:rsid w:val="00486022"/>
    <w:rsid w:val="00486C74"/>
    <w:rsid w:val="00487293"/>
    <w:rsid w:val="00487361"/>
    <w:rsid w:val="0049111C"/>
    <w:rsid w:val="00492047"/>
    <w:rsid w:val="0049226B"/>
    <w:rsid w:val="00492391"/>
    <w:rsid w:val="004923E2"/>
    <w:rsid w:val="0049296F"/>
    <w:rsid w:val="00494280"/>
    <w:rsid w:val="00496B00"/>
    <w:rsid w:val="00497BA7"/>
    <w:rsid w:val="004A20A5"/>
    <w:rsid w:val="004A216E"/>
    <w:rsid w:val="004A53A2"/>
    <w:rsid w:val="004B25E1"/>
    <w:rsid w:val="004B3A7D"/>
    <w:rsid w:val="004B42F6"/>
    <w:rsid w:val="004B62EE"/>
    <w:rsid w:val="004B6B25"/>
    <w:rsid w:val="004B7C74"/>
    <w:rsid w:val="004C26F2"/>
    <w:rsid w:val="004C4ECA"/>
    <w:rsid w:val="004C7A63"/>
    <w:rsid w:val="004C7D99"/>
    <w:rsid w:val="004D0C3D"/>
    <w:rsid w:val="004D148A"/>
    <w:rsid w:val="004D1B1E"/>
    <w:rsid w:val="004D32A7"/>
    <w:rsid w:val="004D38A0"/>
    <w:rsid w:val="004D39A0"/>
    <w:rsid w:val="004D4A21"/>
    <w:rsid w:val="004D5D6F"/>
    <w:rsid w:val="004D6650"/>
    <w:rsid w:val="004E0F06"/>
    <w:rsid w:val="004E147C"/>
    <w:rsid w:val="004E25DD"/>
    <w:rsid w:val="004E316E"/>
    <w:rsid w:val="004E3268"/>
    <w:rsid w:val="004E4AEC"/>
    <w:rsid w:val="004E70EB"/>
    <w:rsid w:val="004E771E"/>
    <w:rsid w:val="004F0081"/>
    <w:rsid w:val="004F103A"/>
    <w:rsid w:val="004F12AF"/>
    <w:rsid w:val="004F37ED"/>
    <w:rsid w:val="004F7AFE"/>
    <w:rsid w:val="00501566"/>
    <w:rsid w:val="0050183E"/>
    <w:rsid w:val="00502E3C"/>
    <w:rsid w:val="00504BC5"/>
    <w:rsid w:val="005060D1"/>
    <w:rsid w:val="00510B33"/>
    <w:rsid w:val="0051122C"/>
    <w:rsid w:val="005132B2"/>
    <w:rsid w:val="00513CAA"/>
    <w:rsid w:val="00517C50"/>
    <w:rsid w:val="005203C0"/>
    <w:rsid w:val="005221FC"/>
    <w:rsid w:val="00522501"/>
    <w:rsid w:val="00522831"/>
    <w:rsid w:val="00522E4E"/>
    <w:rsid w:val="00523DB3"/>
    <w:rsid w:val="00524D99"/>
    <w:rsid w:val="00526B66"/>
    <w:rsid w:val="0052733F"/>
    <w:rsid w:val="0053081A"/>
    <w:rsid w:val="00537752"/>
    <w:rsid w:val="00537B7C"/>
    <w:rsid w:val="005406F8"/>
    <w:rsid w:val="00540B03"/>
    <w:rsid w:val="00542CEF"/>
    <w:rsid w:val="0054314B"/>
    <w:rsid w:val="0054539B"/>
    <w:rsid w:val="005462D0"/>
    <w:rsid w:val="005528B7"/>
    <w:rsid w:val="0055489D"/>
    <w:rsid w:val="00555C8A"/>
    <w:rsid w:val="00556DA5"/>
    <w:rsid w:val="005576E1"/>
    <w:rsid w:val="00557D99"/>
    <w:rsid w:val="0056142B"/>
    <w:rsid w:val="00562444"/>
    <w:rsid w:val="00564A08"/>
    <w:rsid w:val="00565CBF"/>
    <w:rsid w:val="005713A8"/>
    <w:rsid w:val="00571B2D"/>
    <w:rsid w:val="00571E49"/>
    <w:rsid w:val="00572725"/>
    <w:rsid w:val="00572BC7"/>
    <w:rsid w:val="00572DFC"/>
    <w:rsid w:val="00573524"/>
    <w:rsid w:val="0057605C"/>
    <w:rsid w:val="005776B1"/>
    <w:rsid w:val="00581F51"/>
    <w:rsid w:val="00583DAD"/>
    <w:rsid w:val="005842D1"/>
    <w:rsid w:val="0059211B"/>
    <w:rsid w:val="0059277F"/>
    <w:rsid w:val="00592A92"/>
    <w:rsid w:val="0059571B"/>
    <w:rsid w:val="00596FB4"/>
    <w:rsid w:val="00597524"/>
    <w:rsid w:val="00597DAB"/>
    <w:rsid w:val="00597EED"/>
    <w:rsid w:val="005A1169"/>
    <w:rsid w:val="005A13F4"/>
    <w:rsid w:val="005A5955"/>
    <w:rsid w:val="005A729B"/>
    <w:rsid w:val="005B138C"/>
    <w:rsid w:val="005B20D3"/>
    <w:rsid w:val="005B25FD"/>
    <w:rsid w:val="005B4C06"/>
    <w:rsid w:val="005B7EA2"/>
    <w:rsid w:val="005C2573"/>
    <w:rsid w:val="005C2C48"/>
    <w:rsid w:val="005C4BAB"/>
    <w:rsid w:val="005C6088"/>
    <w:rsid w:val="005C6575"/>
    <w:rsid w:val="005D04C8"/>
    <w:rsid w:val="005D04F7"/>
    <w:rsid w:val="005D0AF8"/>
    <w:rsid w:val="005D30E0"/>
    <w:rsid w:val="005D3B75"/>
    <w:rsid w:val="005D47ED"/>
    <w:rsid w:val="005E0707"/>
    <w:rsid w:val="005E1E2A"/>
    <w:rsid w:val="005E299B"/>
    <w:rsid w:val="005E3989"/>
    <w:rsid w:val="005E6FC9"/>
    <w:rsid w:val="005E761E"/>
    <w:rsid w:val="005E7885"/>
    <w:rsid w:val="005F17CB"/>
    <w:rsid w:val="005F2559"/>
    <w:rsid w:val="005F32E1"/>
    <w:rsid w:val="005F3E47"/>
    <w:rsid w:val="005F7902"/>
    <w:rsid w:val="005F798D"/>
    <w:rsid w:val="005F7A2E"/>
    <w:rsid w:val="006004D5"/>
    <w:rsid w:val="00600A4D"/>
    <w:rsid w:val="0060215A"/>
    <w:rsid w:val="00603F1C"/>
    <w:rsid w:val="0060668A"/>
    <w:rsid w:val="0060740C"/>
    <w:rsid w:val="006118DC"/>
    <w:rsid w:val="006126EF"/>
    <w:rsid w:val="00612C9B"/>
    <w:rsid w:val="00616381"/>
    <w:rsid w:val="0061692C"/>
    <w:rsid w:val="00617FB7"/>
    <w:rsid w:val="006216F9"/>
    <w:rsid w:val="00621BB5"/>
    <w:rsid w:val="00622B5B"/>
    <w:rsid w:val="006248C2"/>
    <w:rsid w:val="0062658F"/>
    <w:rsid w:val="00627282"/>
    <w:rsid w:val="006300F4"/>
    <w:rsid w:val="00630FFF"/>
    <w:rsid w:val="00634C27"/>
    <w:rsid w:val="00634F54"/>
    <w:rsid w:val="00640B54"/>
    <w:rsid w:val="00640EEA"/>
    <w:rsid w:val="006416B4"/>
    <w:rsid w:val="00642F05"/>
    <w:rsid w:val="006461B3"/>
    <w:rsid w:val="0064729F"/>
    <w:rsid w:val="00652D53"/>
    <w:rsid w:val="006543FC"/>
    <w:rsid w:val="0065440B"/>
    <w:rsid w:val="00654A7A"/>
    <w:rsid w:val="00654C99"/>
    <w:rsid w:val="00655596"/>
    <w:rsid w:val="006574F9"/>
    <w:rsid w:val="006611AC"/>
    <w:rsid w:val="00661793"/>
    <w:rsid w:val="00661CBD"/>
    <w:rsid w:val="00661CCE"/>
    <w:rsid w:val="00662FB1"/>
    <w:rsid w:val="006642F9"/>
    <w:rsid w:val="0066448E"/>
    <w:rsid w:val="006677F8"/>
    <w:rsid w:val="0067017F"/>
    <w:rsid w:val="00672616"/>
    <w:rsid w:val="00672EF0"/>
    <w:rsid w:val="00673C6A"/>
    <w:rsid w:val="0067516F"/>
    <w:rsid w:val="006832C4"/>
    <w:rsid w:val="00684DF3"/>
    <w:rsid w:val="00685643"/>
    <w:rsid w:val="00691A26"/>
    <w:rsid w:val="00692A35"/>
    <w:rsid w:val="00694AB4"/>
    <w:rsid w:val="006965D0"/>
    <w:rsid w:val="00697226"/>
    <w:rsid w:val="006A01CC"/>
    <w:rsid w:val="006A15B1"/>
    <w:rsid w:val="006A60B9"/>
    <w:rsid w:val="006A66C5"/>
    <w:rsid w:val="006A72CA"/>
    <w:rsid w:val="006B0ACB"/>
    <w:rsid w:val="006B0ACE"/>
    <w:rsid w:val="006B0DAF"/>
    <w:rsid w:val="006B0FD9"/>
    <w:rsid w:val="006B4683"/>
    <w:rsid w:val="006B5385"/>
    <w:rsid w:val="006B679C"/>
    <w:rsid w:val="006C076D"/>
    <w:rsid w:val="006C0C06"/>
    <w:rsid w:val="006C138C"/>
    <w:rsid w:val="006C1428"/>
    <w:rsid w:val="006C3B85"/>
    <w:rsid w:val="006C5945"/>
    <w:rsid w:val="006C62F4"/>
    <w:rsid w:val="006C6BD6"/>
    <w:rsid w:val="006D05D0"/>
    <w:rsid w:val="006D22A3"/>
    <w:rsid w:val="006D3582"/>
    <w:rsid w:val="006D4D61"/>
    <w:rsid w:val="006D7AB3"/>
    <w:rsid w:val="006D7FE6"/>
    <w:rsid w:val="006E1B6A"/>
    <w:rsid w:val="006E5D1A"/>
    <w:rsid w:val="006E7B71"/>
    <w:rsid w:val="006F0E35"/>
    <w:rsid w:val="006F1EEC"/>
    <w:rsid w:val="006F4074"/>
    <w:rsid w:val="006F61B6"/>
    <w:rsid w:val="006F68D2"/>
    <w:rsid w:val="0070010B"/>
    <w:rsid w:val="00701734"/>
    <w:rsid w:val="00705F5A"/>
    <w:rsid w:val="00710994"/>
    <w:rsid w:val="007130E1"/>
    <w:rsid w:val="00717397"/>
    <w:rsid w:val="007174D0"/>
    <w:rsid w:val="00717EA9"/>
    <w:rsid w:val="0072129A"/>
    <w:rsid w:val="00721560"/>
    <w:rsid w:val="00726036"/>
    <w:rsid w:val="007270FC"/>
    <w:rsid w:val="007324D1"/>
    <w:rsid w:val="00733087"/>
    <w:rsid w:val="007332F1"/>
    <w:rsid w:val="0073380A"/>
    <w:rsid w:val="007338D2"/>
    <w:rsid w:val="00734839"/>
    <w:rsid w:val="007377DD"/>
    <w:rsid w:val="007409AC"/>
    <w:rsid w:val="00741132"/>
    <w:rsid w:val="0074167B"/>
    <w:rsid w:val="0074341E"/>
    <w:rsid w:val="007514A6"/>
    <w:rsid w:val="00751F08"/>
    <w:rsid w:val="007523F6"/>
    <w:rsid w:val="007559F0"/>
    <w:rsid w:val="007561D4"/>
    <w:rsid w:val="00762A16"/>
    <w:rsid w:val="00763F37"/>
    <w:rsid w:val="007663DC"/>
    <w:rsid w:val="007666A8"/>
    <w:rsid w:val="007672A9"/>
    <w:rsid w:val="00771C44"/>
    <w:rsid w:val="00772E92"/>
    <w:rsid w:val="007735EE"/>
    <w:rsid w:val="00776D4B"/>
    <w:rsid w:val="0077752A"/>
    <w:rsid w:val="00781114"/>
    <w:rsid w:val="0078330F"/>
    <w:rsid w:val="00783BF6"/>
    <w:rsid w:val="00783C12"/>
    <w:rsid w:val="007861E2"/>
    <w:rsid w:val="00786DAA"/>
    <w:rsid w:val="007924EE"/>
    <w:rsid w:val="00792D02"/>
    <w:rsid w:val="00793279"/>
    <w:rsid w:val="00793399"/>
    <w:rsid w:val="0079583C"/>
    <w:rsid w:val="007975F1"/>
    <w:rsid w:val="007A0669"/>
    <w:rsid w:val="007A0FB9"/>
    <w:rsid w:val="007A1F22"/>
    <w:rsid w:val="007A2250"/>
    <w:rsid w:val="007A40A1"/>
    <w:rsid w:val="007A4E6D"/>
    <w:rsid w:val="007A60EB"/>
    <w:rsid w:val="007A6A15"/>
    <w:rsid w:val="007B01C1"/>
    <w:rsid w:val="007B2769"/>
    <w:rsid w:val="007B399E"/>
    <w:rsid w:val="007B4880"/>
    <w:rsid w:val="007C13F5"/>
    <w:rsid w:val="007C1496"/>
    <w:rsid w:val="007C413B"/>
    <w:rsid w:val="007C4B98"/>
    <w:rsid w:val="007C5435"/>
    <w:rsid w:val="007C5786"/>
    <w:rsid w:val="007C6400"/>
    <w:rsid w:val="007C66F7"/>
    <w:rsid w:val="007C7EAD"/>
    <w:rsid w:val="007D076E"/>
    <w:rsid w:val="007D0CFB"/>
    <w:rsid w:val="007D0DFA"/>
    <w:rsid w:val="007D3F2A"/>
    <w:rsid w:val="007D57EE"/>
    <w:rsid w:val="007D7A6B"/>
    <w:rsid w:val="007E10D0"/>
    <w:rsid w:val="007E1CB3"/>
    <w:rsid w:val="007E5E06"/>
    <w:rsid w:val="007F1525"/>
    <w:rsid w:val="007F3AB4"/>
    <w:rsid w:val="007F4876"/>
    <w:rsid w:val="007F72EA"/>
    <w:rsid w:val="007F7993"/>
    <w:rsid w:val="0080040C"/>
    <w:rsid w:val="0080184F"/>
    <w:rsid w:val="00801DBB"/>
    <w:rsid w:val="00802966"/>
    <w:rsid w:val="008051AE"/>
    <w:rsid w:val="008053E9"/>
    <w:rsid w:val="00806DA7"/>
    <w:rsid w:val="0081026B"/>
    <w:rsid w:val="00811E95"/>
    <w:rsid w:val="00811F54"/>
    <w:rsid w:val="00812508"/>
    <w:rsid w:val="0081387D"/>
    <w:rsid w:val="008202B9"/>
    <w:rsid w:val="00820AD6"/>
    <w:rsid w:val="008235BB"/>
    <w:rsid w:val="008269FE"/>
    <w:rsid w:val="00827009"/>
    <w:rsid w:val="00830CC3"/>
    <w:rsid w:val="008317DA"/>
    <w:rsid w:val="00833AF3"/>
    <w:rsid w:val="008345D0"/>
    <w:rsid w:val="0083537E"/>
    <w:rsid w:val="008360FF"/>
    <w:rsid w:val="00836686"/>
    <w:rsid w:val="008403F1"/>
    <w:rsid w:val="008407E0"/>
    <w:rsid w:val="00842057"/>
    <w:rsid w:val="0084264F"/>
    <w:rsid w:val="00842B70"/>
    <w:rsid w:val="00842BAF"/>
    <w:rsid w:val="0084308A"/>
    <w:rsid w:val="0084338C"/>
    <w:rsid w:val="00845D4C"/>
    <w:rsid w:val="00846306"/>
    <w:rsid w:val="008505F3"/>
    <w:rsid w:val="00852D08"/>
    <w:rsid w:val="00853159"/>
    <w:rsid w:val="0085587E"/>
    <w:rsid w:val="00856F6E"/>
    <w:rsid w:val="0086005B"/>
    <w:rsid w:val="00862889"/>
    <w:rsid w:val="00864530"/>
    <w:rsid w:val="00864C55"/>
    <w:rsid w:val="008669C8"/>
    <w:rsid w:val="0087035A"/>
    <w:rsid w:val="00870CB5"/>
    <w:rsid w:val="00872910"/>
    <w:rsid w:val="0087493E"/>
    <w:rsid w:val="008771F5"/>
    <w:rsid w:val="00877547"/>
    <w:rsid w:val="008807A4"/>
    <w:rsid w:val="00881BDB"/>
    <w:rsid w:val="008820ED"/>
    <w:rsid w:val="00883004"/>
    <w:rsid w:val="00883627"/>
    <w:rsid w:val="00884167"/>
    <w:rsid w:val="0088422B"/>
    <w:rsid w:val="00891A7E"/>
    <w:rsid w:val="00892003"/>
    <w:rsid w:val="00893614"/>
    <w:rsid w:val="00893A01"/>
    <w:rsid w:val="00893ED9"/>
    <w:rsid w:val="00894E6B"/>
    <w:rsid w:val="00895B15"/>
    <w:rsid w:val="008A059D"/>
    <w:rsid w:val="008A2526"/>
    <w:rsid w:val="008A2C7D"/>
    <w:rsid w:val="008A35B7"/>
    <w:rsid w:val="008A5A02"/>
    <w:rsid w:val="008A7212"/>
    <w:rsid w:val="008B2486"/>
    <w:rsid w:val="008B257A"/>
    <w:rsid w:val="008B3AC0"/>
    <w:rsid w:val="008B3C3D"/>
    <w:rsid w:val="008B59EF"/>
    <w:rsid w:val="008B6A3C"/>
    <w:rsid w:val="008B7BCE"/>
    <w:rsid w:val="008B7EF9"/>
    <w:rsid w:val="008C03E2"/>
    <w:rsid w:val="008C1304"/>
    <w:rsid w:val="008C360E"/>
    <w:rsid w:val="008C366C"/>
    <w:rsid w:val="008C40DC"/>
    <w:rsid w:val="008C57CA"/>
    <w:rsid w:val="008C65E9"/>
    <w:rsid w:val="008D1148"/>
    <w:rsid w:val="008D129C"/>
    <w:rsid w:val="008D23F0"/>
    <w:rsid w:val="008D390B"/>
    <w:rsid w:val="008D4843"/>
    <w:rsid w:val="008D6FB6"/>
    <w:rsid w:val="008E2D69"/>
    <w:rsid w:val="008E329E"/>
    <w:rsid w:val="008E3666"/>
    <w:rsid w:val="008E4D8E"/>
    <w:rsid w:val="008E53C2"/>
    <w:rsid w:val="008E652D"/>
    <w:rsid w:val="008F0BFC"/>
    <w:rsid w:val="008F0C93"/>
    <w:rsid w:val="008F1FCF"/>
    <w:rsid w:val="008F2AD7"/>
    <w:rsid w:val="008F2F3B"/>
    <w:rsid w:val="008F5562"/>
    <w:rsid w:val="008F5ADA"/>
    <w:rsid w:val="008F6C2C"/>
    <w:rsid w:val="00903E7A"/>
    <w:rsid w:val="00904EF2"/>
    <w:rsid w:val="00905463"/>
    <w:rsid w:val="00905DC2"/>
    <w:rsid w:val="00906E8D"/>
    <w:rsid w:val="0091307F"/>
    <w:rsid w:val="0091462E"/>
    <w:rsid w:val="00914FE3"/>
    <w:rsid w:val="009201D4"/>
    <w:rsid w:val="00920B56"/>
    <w:rsid w:val="00926D84"/>
    <w:rsid w:val="009277E3"/>
    <w:rsid w:val="0093019F"/>
    <w:rsid w:val="00930CB3"/>
    <w:rsid w:val="00933EF4"/>
    <w:rsid w:val="0093574D"/>
    <w:rsid w:val="0093651E"/>
    <w:rsid w:val="0093786E"/>
    <w:rsid w:val="00937E3A"/>
    <w:rsid w:val="00941607"/>
    <w:rsid w:val="00941676"/>
    <w:rsid w:val="00944781"/>
    <w:rsid w:val="00946FB3"/>
    <w:rsid w:val="00947193"/>
    <w:rsid w:val="0094738B"/>
    <w:rsid w:val="00955714"/>
    <w:rsid w:val="00956747"/>
    <w:rsid w:val="00960F92"/>
    <w:rsid w:val="00961060"/>
    <w:rsid w:val="00961BD6"/>
    <w:rsid w:val="00965C19"/>
    <w:rsid w:val="00967A94"/>
    <w:rsid w:val="0097278E"/>
    <w:rsid w:val="009727DF"/>
    <w:rsid w:val="00972A34"/>
    <w:rsid w:val="009744A0"/>
    <w:rsid w:val="00975847"/>
    <w:rsid w:val="00976781"/>
    <w:rsid w:val="00980A0E"/>
    <w:rsid w:val="00980D2E"/>
    <w:rsid w:val="00983E93"/>
    <w:rsid w:val="009857BB"/>
    <w:rsid w:val="009860EA"/>
    <w:rsid w:val="00986270"/>
    <w:rsid w:val="00986490"/>
    <w:rsid w:val="00986B05"/>
    <w:rsid w:val="00990CAE"/>
    <w:rsid w:val="009927EA"/>
    <w:rsid w:val="0099493D"/>
    <w:rsid w:val="00995284"/>
    <w:rsid w:val="00997C50"/>
    <w:rsid w:val="009A20C0"/>
    <w:rsid w:val="009A2DC0"/>
    <w:rsid w:val="009A3450"/>
    <w:rsid w:val="009A4904"/>
    <w:rsid w:val="009A4E8E"/>
    <w:rsid w:val="009B0135"/>
    <w:rsid w:val="009B0743"/>
    <w:rsid w:val="009B0977"/>
    <w:rsid w:val="009B60DA"/>
    <w:rsid w:val="009B66C8"/>
    <w:rsid w:val="009B6779"/>
    <w:rsid w:val="009B798A"/>
    <w:rsid w:val="009C018D"/>
    <w:rsid w:val="009C0635"/>
    <w:rsid w:val="009C21B3"/>
    <w:rsid w:val="009C2C42"/>
    <w:rsid w:val="009C3057"/>
    <w:rsid w:val="009C46D2"/>
    <w:rsid w:val="009C4928"/>
    <w:rsid w:val="009C4FB9"/>
    <w:rsid w:val="009C5B2C"/>
    <w:rsid w:val="009C7920"/>
    <w:rsid w:val="009D1D91"/>
    <w:rsid w:val="009D2FAE"/>
    <w:rsid w:val="009D53B1"/>
    <w:rsid w:val="009D685D"/>
    <w:rsid w:val="009D7E16"/>
    <w:rsid w:val="009E0EE9"/>
    <w:rsid w:val="009E3239"/>
    <w:rsid w:val="009E3D4E"/>
    <w:rsid w:val="009E57F9"/>
    <w:rsid w:val="009E6A28"/>
    <w:rsid w:val="009E6B76"/>
    <w:rsid w:val="009F1B3F"/>
    <w:rsid w:val="009F1C5E"/>
    <w:rsid w:val="009F220E"/>
    <w:rsid w:val="009F47A0"/>
    <w:rsid w:val="009F4A0E"/>
    <w:rsid w:val="009F6D1F"/>
    <w:rsid w:val="00A000A0"/>
    <w:rsid w:val="00A042FB"/>
    <w:rsid w:val="00A046BA"/>
    <w:rsid w:val="00A052A4"/>
    <w:rsid w:val="00A05787"/>
    <w:rsid w:val="00A05F47"/>
    <w:rsid w:val="00A117D2"/>
    <w:rsid w:val="00A12A93"/>
    <w:rsid w:val="00A13540"/>
    <w:rsid w:val="00A17D86"/>
    <w:rsid w:val="00A23107"/>
    <w:rsid w:val="00A239A7"/>
    <w:rsid w:val="00A24B74"/>
    <w:rsid w:val="00A25B31"/>
    <w:rsid w:val="00A26423"/>
    <w:rsid w:val="00A310E6"/>
    <w:rsid w:val="00A36B64"/>
    <w:rsid w:val="00A37869"/>
    <w:rsid w:val="00A43A9B"/>
    <w:rsid w:val="00A443AE"/>
    <w:rsid w:val="00A449C7"/>
    <w:rsid w:val="00A44A88"/>
    <w:rsid w:val="00A454D3"/>
    <w:rsid w:val="00A502F9"/>
    <w:rsid w:val="00A517D0"/>
    <w:rsid w:val="00A53A8A"/>
    <w:rsid w:val="00A53AC9"/>
    <w:rsid w:val="00A5427A"/>
    <w:rsid w:val="00A61582"/>
    <w:rsid w:val="00A63739"/>
    <w:rsid w:val="00A6452F"/>
    <w:rsid w:val="00A67B02"/>
    <w:rsid w:val="00A7199E"/>
    <w:rsid w:val="00A72122"/>
    <w:rsid w:val="00A733DB"/>
    <w:rsid w:val="00A740DD"/>
    <w:rsid w:val="00A74259"/>
    <w:rsid w:val="00A74752"/>
    <w:rsid w:val="00A7486A"/>
    <w:rsid w:val="00A749E1"/>
    <w:rsid w:val="00A8045D"/>
    <w:rsid w:val="00A80997"/>
    <w:rsid w:val="00A81465"/>
    <w:rsid w:val="00A81B6C"/>
    <w:rsid w:val="00A824A3"/>
    <w:rsid w:val="00A82CAA"/>
    <w:rsid w:val="00A82D15"/>
    <w:rsid w:val="00A85340"/>
    <w:rsid w:val="00A85A35"/>
    <w:rsid w:val="00A914CA"/>
    <w:rsid w:val="00A91CCF"/>
    <w:rsid w:val="00A936C6"/>
    <w:rsid w:val="00A94775"/>
    <w:rsid w:val="00A96DDE"/>
    <w:rsid w:val="00A96E16"/>
    <w:rsid w:val="00AA083A"/>
    <w:rsid w:val="00AA088E"/>
    <w:rsid w:val="00AA1B01"/>
    <w:rsid w:val="00AA2392"/>
    <w:rsid w:val="00AA351A"/>
    <w:rsid w:val="00AA5771"/>
    <w:rsid w:val="00AA63FF"/>
    <w:rsid w:val="00AB2DB9"/>
    <w:rsid w:val="00AB443F"/>
    <w:rsid w:val="00AB5C82"/>
    <w:rsid w:val="00AB5E84"/>
    <w:rsid w:val="00AB75B4"/>
    <w:rsid w:val="00AB7F65"/>
    <w:rsid w:val="00AC05F2"/>
    <w:rsid w:val="00AC0A8C"/>
    <w:rsid w:val="00AC3715"/>
    <w:rsid w:val="00AC41E8"/>
    <w:rsid w:val="00AC6CBB"/>
    <w:rsid w:val="00AC7F43"/>
    <w:rsid w:val="00AD0477"/>
    <w:rsid w:val="00AD1A79"/>
    <w:rsid w:val="00AD22D4"/>
    <w:rsid w:val="00AD2E68"/>
    <w:rsid w:val="00AD3BD7"/>
    <w:rsid w:val="00AD3C29"/>
    <w:rsid w:val="00AD4944"/>
    <w:rsid w:val="00AD7CC8"/>
    <w:rsid w:val="00AE0B88"/>
    <w:rsid w:val="00AE2D8D"/>
    <w:rsid w:val="00AE355C"/>
    <w:rsid w:val="00AE3E4C"/>
    <w:rsid w:val="00AE430A"/>
    <w:rsid w:val="00AE6E25"/>
    <w:rsid w:val="00AE7107"/>
    <w:rsid w:val="00AF026D"/>
    <w:rsid w:val="00AF1CF8"/>
    <w:rsid w:val="00AF2293"/>
    <w:rsid w:val="00AF404A"/>
    <w:rsid w:val="00AF4B99"/>
    <w:rsid w:val="00AF55F1"/>
    <w:rsid w:val="00AF5646"/>
    <w:rsid w:val="00AF5CF3"/>
    <w:rsid w:val="00AF6B3A"/>
    <w:rsid w:val="00AF7739"/>
    <w:rsid w:val="00AF7AC8"/>
    <w:rsid w:val="00AF7B17"/>
    <w:rsid w:val="00B0045C"/>
    <w:rsid w:val="00B005AE"/>
    <w:rsid w:val="00B00D03"/>
    <w:rsid w:val="00B04AD1"/>
    <w:rsid w:val="00B055B1"/>
    <w:rsid w:val="00B05735"/>
    <w:rsid w:val="00B0578C"/>
    <w:rsid w:val="00B05A9E"/>
    <w:rsid w:val="00B06940"/>
    <w:rsid w:val="00B108AE"/>
    <w:rsid w:val="00B1092F"/>
    <w:rsid w:val="00B119F0"/>
    <w:rsid w:val="00B13C9D"/>
    <w:rsid w:val="00B15303"/>
    <w:rsid w:val="00B15E6B"/>
    <w:rsid w:val="00B16BBB"/>
    <w:rsid w:val="00B17571"/>
    <w:rsid w:val="00B23B66"/>
    <w:rsid w:val="00B2426C"/>
    <w:rsid w:val="00B24433"/>
    <w:rsid w:val="00B247C3"/>
    <w:rsid w:val="00B2624B"/>
    <w:rsid w:val="00B26262"/>
    <w:rsid w:val="00B264C2"/>
    <w:rsid w:val="00B267F4"/>
    <w:rsid w:val="00B272DF"/>
    <w:rsid w:val="00B30014"/>
    <w:rsid w:val="00B33A39"/>
    <w:rsid w:val="00B33B40"/>
    <w:rsid w:val="00B34532"/>
    <w:rsid w:val="00B40E49"/>
    <w:rsid w:val="00B428BB"/>
    <w:rsid w:val="00B447B5"/>
    <w:rsid w:val="00B45CBD"/>
    <w:rsid w:val="00B460B0"/>
    <w:rsid w:val="00B50D60"/>
    <w:rsid w:val="00B5154C"/>
    <w:rsid w:val="00B52A01"/>
    <w:rsid w:val="00B54754"/>
    <w:rsid w:val="00B549E7"/>
    <w:rsid w:val="00B54A7F"/>
    <w:rsid w:val="00B55537"/>
    <w:rsid w:val="00B56528"/>
    <w:rsid w:val="00B578BA"/>
    <w:rsid w:val="00B602B8"/>
    <w:rsid w:val="00B62FB1"/>
    <w:rsid w:val="00B6309A"/>
    <w:rsid w:val="00B66BFF"/>
    <w:rsid w:val="00B71430"/>
    <w:rsid w:val="00B732F9"/>
    <w:rsid w:val="00B736AD"/>
    <w:rsid w:val="00B7540C"/>
    <w:rsid w:val="00B759E8"/>
    <w:rsid w:val="00B7695F"/>
    <w:rsid w:val="00B7717D"/>
    <w:rsid w:val="00B77DB0"/>
    <w:rsid w:val="00B83285"/>
    <w:rsid w:val="00B83BD1"/>
    <w:rsid w:val="00B84789"/>
    <w:rsid w:val="00B85769"/>
    <w:rsid w:val="00B85E69"/>
    <w:rsid w:val="00B861F7"/>
    <w:rsid w:val="00B87F00"/>
    <w:rsid w:val="00B90B07"/>
    <w:rsid w:val="00B91EEF"/>
    <w:rsid w:val="00B93318"/>
    <w:rsid w:val="00B96022"/>
    <w:rsid w:val="00BA00C5"/>
    <w:rsid w:val="00BA1EEC"/>
    <w:rsid w:val="00BA2CAD"/>
    <w:rsid w:val="00BA3245"/>
    <w:rsid w:val="00BA4119"/>
    <w:rsid w:val="00BA72C9"/>
    <w:rsid w:val="00BB001C"/>
    <w:rsid w:val="00BB24F3"/>
    <w:rsid w:val="00BB3547"/>
    <w:rsid w:val="00BB4475"/>
    <w:rsid w:val="00BB58D8"/>
    <w:rsid w:val="00BB6B61"/>
    <w:rsid w:val="00BB7330"/>
    <w:rsid w:val="00BB73FA"/>
    <w:rsid w:val="00BC476A"/>
    <w:rsid w:val="00BC71FF"/>
    <w:rsid w:val="00BD0FFD"/>
    <w:rsid w:val="00BD137A"/>
    <w:rsid w:val="00BD4162"/>
    <w:rsid w:val="00BD6A03"/>
    <w:rsid w:val="00BE1B4A"/>
    <w:rsid w:val="00BE1BAC"/>
    <w:rsid w:val="00BE273D"/>
    <w:rsid w:val="00BE27B4"/>
    <w:rsid w:val="00BE3BBC"/>
    <w:rsid w:val="00BE4CAF"/>
    <w:rsid w:val="00BE52BF"/>
    <w:rsid w:val="00BE6A22"/>
    <w:rsid w:val="00BE6D27"/>
    <w:rsid w:val="00BF2054"/>
    <w:rsid w:val="00BF49BA"/>
    <w:rsid w:val="00C00BB8"/>
    <w:rsid w:val="00C01B01"/>
    <w:rsid w:val="00C02233"/>
    <w:rsid w:val="00C025B1"/>
    <w:rsid w:val="00C03E78"/>
    <w:rsid w:val="00C05BED"/>
    <w:rsid w:val="00C06191"/>
    <w:rsid w:val="00C106C2"/>
    <w:rsid w:val="00C12D14"/>
    <w:rsid w:val="00C15121"/>
    <w:rsid w:val="00C171FF"/>
    <w:rsid w:val="00C21009"/>
    <w:rsid w:val="00C21363"/>
    <w:rsid w:val="00C235A2"/>
    <w:rsid w:val="00C2366E"/>
    <w:rsid w:val="00C2460C"/>
    <w:rsid w:val="00C25A15"/>
    <w:rsid w:val="00C25E90"/>
    <w:rsid w:val="00C273E7"/>
    <w:rsid w:val="00C274BB"/>
    <w:rsid w:val="00C31354"/>
    <w:rsid w:val="00C33A74"/>
    <w:rsid w:val="00C33F8B"/>
    <w:rsid w:val="00C3441F"/>
    <w:rsid w:val="00C35D7F"/>
    <w:rsid w:val="00C37129"/>
    <w:rsid w:val="00C403E4"/>
    <w:rsid w:val="00C444C3"/>
    <w:rsid w:val="00C448FA"/>
    <w:rsid w:val="00C44D27"/>
    <w:rsid w:val="00C45BD6"/>
    <w:rsid w:val="00C477B0"/>
    <w:rsid w:val="00C47A56"/>
    <w:rsid w:val="00C52FC2"/>
    <w:rsid w:val="00C53AF5"/>
    <w:rsid w:val="00C56C59"/>
    <w:rsid w:val="00C56D47"/>
    <w:rsid w:val="00C60D19"/>
    <w:rsid w:val="00C60E39"/>
    <w:rsid w:val="00C6274F"/>
    <w:rsid w:val="00C63F8A"/>
    <w:rsid w:val="00C6413C"/>
    <w:rsid w:val="00C67CE0"/>
    <w:rsid w:val="00C70CDB"/>
    <w:rsid w:val="00C71834"/>
    <w:rsid w:val="00C73EC2"/>
    <w:rsid w:val="00C74F11"/>
    <w:rsid w:val="00C76E10"/>
    <w:rsid w:val="00C77125"/>
    <w:rsid w:val="00C778F8"/>
    <w:rsid w:val="00C80B77"/>
    <w:rsid w:val="00C82891"/>
    <w:rsid w:val="00C84232"/>
    <w:rsid w:val="00C848BB"/>
    <w:rsid w:val="00C86369"/>
    <w:rsid w:val="00C86E14"/>
    <w:rsid w:val="00C87A78"/>
    <w:rsid w:val="00C92C62"/>
    <w:rsid w:val="00C945B7"/>
    <w:rsid w:val="00C95E5D"/>
    <w:rsid w:val="00C9617F"/>
    <w:rsid w:val="00CA1AFA"/>
    <w:rsid w:val="00CA1CC1"/>
    <w:rsid w:val="00CA37BA"/>
    <w:rsid w:val="00CA56A4"/>
    <w:rsid w:val="00CA58AD"/>
    <w:rsid w:val="00CA67B3"/>
    <w:rsid w:val="00CA680C"/>
    <w:rsid w:val="00CA70DE"/>
    <w:rsid w:val="00CB0359"/>
    <w:rsid w:val="00CB3724"/>
    <w:rsid w:val="00CB5195"/>
    <w:rsid w:val="00CB524F"/>
    <w:rsid w:val="00CB5D78"/>
    <w:rsid w:val="00CB6B43"/>
    <w:rsid w:val="00CB6B4A"/>
    <w:rsid w:val="00CB6EBD"/>
    <w:rsid w:val="00CC10DD"/>
    <w:rsid w:val="00CC1EDE"/>
    <w:rsid w:val="00CC52D4"/>
    <w:rsid w:val="00CC5434"/>
    <w:rsid w:val="00CC58F8"/>
    <w:rsid w:val="00CC64C5"/>
    <w:rsid w:val="00CC7A1F"/>
    <w:rsid w:val="00CC7C30"/>
    <w:rsid w:val="00CD0A35"/>
    <w:rsid w:val="00CD2205"/>
    <w:rsid w:val="00CD3265"/>
    <w:rsid w:val="00CD34A3"/>
    <w:rsid w:val="00CD430A"/>
    <w:rsid w:val="00CD5F91"/>
    <w:rsid w:val="00CE0B40"/>
    <w:rsid w:val="00CE19E5"/>
    <w:rsid w:val="00CE2D27"/>
    <w:rsid w:val="00CE4765"/>
    <w:rsid w:val="00CE689F"/>
    <w:rsid w:val="00CE7059"/>
    <w:rsid w:val="00CE75AF"/>
    <w:rsid w:val="00CF0C1C"/>
    <w:rsid w:val="00CF22E2"/>
    <w:rsid w:val="00CF2434"/>
    <w:rsid w:val="00CF2FB3"/>
    <w:rsid w:val="00CF5A48"/>
    <w:rsid w:val="00CF5C6F"/>
    <w:rsid w:val="00D01350"/>
    <w:rsid w:val="00D01519"/>
    <w:rsid w:val="00D03187"/>
    <w:rsid w:val="00D05B1F"/>
    <w:rsid w:val="00D114C9"/>
    <w:rsid w:val="00D11E76"/>
    <w:rsid w:val="00D1206A"/>
    <w:rsid w:val="00D14E56"/>
    <w:rsid w:val="00D14E7F"/>
    <w:rsid w:val="00D157BA"/>
    <w:rsid w:val="00D16998"/>
    <w:rsid w:val="00D204CA"/>
    <w:rsid w:val="00D20B00"/>
    <w:rsid w:val="00D21499"/>
    <w:rsid w:val="00D21685"/>
    <w:rsid w:val="00D2632C"/>
    <w:rsid w:val="00D2734D"/>
    <w:rsid w:val="00D2771E"/>
    <w:rsid w:val="00D27D8F"/>
    <w:rsid w:val="00D326DC"/>
    <w:rsid w:val="00D34C57"/>
    <w:rsid w:val="00D354E8"/>
    <w:rsid w:val="00D4125F"/>
    <w:rsid w:val="00D41724"/>
    <w:rsid w:val="00D41FC5"/>
    <w:rsid w:val="00D4219F"/>
    <w:rsid w:val="00D43CD8"/>
    <w:rsid w:val="00D44122"/>
    <w:rsid w:val="00D50411"/>
    <w:rsid w:val="00D50B12"/>
    <w:rsid w:val="00D52E34"/>
    <w:rsid w:val="00D53A7A"/>
    <w:rsid w:val="00D55086"/>
    <w:rsid w:val="00D554DA"/>
    <w:rsid w:val="00D560A1"/>
    <w:rsid w:val="00D60504"/>
    <w:rsid w:val="00D60BFC"/>
    <w:rsid w:val="00D60FF3"/>
    <w:rsid w:val="00D61BA7"/>
    <w:rsid w:val="00D62066"/>
    <w:rsid w:val="00D62A94"/>
    <w:rsid w:val="00D63317"/>
    <w:rsid w:val="00D63EFA"/>
    <w:rsid w:val="00D6435A"/>
    <w:rsid w:val="00D65323"/>
    <w:rsid w:val="00D655F5"/>
    <w:rsid w:val="00D67C46"/>
    <w:rsid w:val="00D70591"/>
    <w:rsid w:val="00D7126E"/>
    <w:rsid w:val="00D72751"/>
    <w:rsid w:val="00D75029"/>
    <w:rsid w:val="00D75A79"/>
    <w:rsid w:val="00D8098F"/>
    <w:rsid w:val="00D814D9"/>
    <w:rsid w:val="00D81B02"/>
    <w:rsid w:val="00D8399D"/>
    <w:rsid w:val="00D845C7"/>
    <w:rsid w:val="00D85CCF"/>
    <w:rsid w:val="00D8726C"/>
    <w:rsid w:val="00D875D8"/>
    <w:rsid w:val="00D907A2"/>
    <w:rsid w:val="00D922F9"/>
    <w:rsid w:val="00D93474"/>
    <w:rsid w:val="00D93C00"/>
    <w:rsid w:val="00D93ECA"/>
    <w:rsid w:val="00D94969"/>
    <w:rsid w:val="00D9560C"/>
    <w:rsid w:val="00DA1424"/>
    <w:rsid w:val="00DA145B"/>
    <w:rsid w:val="00DA20B6"/>
    <w:rsid w:val="00DA4066"/>
    <w:rsid w:val="00DA44D3"/>
    <w:rsid w:val="00DA6116"/>
    <w:rsid w:val="00DA7E3C"/>
    <w:rsid w:val="00DB07E6"/>
    <w:rsid w:val="00DB17C0"/>
    <w:rsid w:val="00DB1C84"/>
    <w:rsid w:val="00DB1E2F"/>
    <w:rsid w:val="00DB37DE"/>
    <w:rsid w:val="00DB5757"/>
    <w:rsid w:val="00DB7B6F"/>
    <w:rsid w:val="00DC27FD"/>
    <w:rsid w:val="00DC480F"/>
    <w:rsid w:val="00DC5254"/>
    <w:rsid w:val="00DC598D"/>
    <w:rsid w:val="00DC5C52"/>
    <w:rsid w:val="00DC727C"/>
    <w:rsid w:val="00DD15DC"/>
    <w:rsid w:val="00DD25D0"/>
    <w:rsid w:val="00DD4BB7"/>
    <w:rsid w:val="00DE01A0"/>
    <w:rsid w:val="00DE0699"/>
    <w:rsid w:val="00DE0896"/>
    <w:rsid w:val="00DE255D"/>
    <w:rsid w:val="00DE4B88"/>
    <w:rsid w:val="00DE4C60"/>
    <w:rsid w:val="00DF0FDD"/>
    <w:rsid w:val="00DF21DF"/>
    <w:rsid w:val="00DF4CC2"/>
    <w:rsid w:val="00DF648D"/>
    <w:rsid w:val="00DF6966"/>
    <w:rsid w:val="00E020D7"/>
    <w:rsid w:val="00E0216F"/>
    <w:rsid w:val="00E04222"/>
    <w:rsid w:val="00E05C9A"/>
    <w:rsid w:val="00E05F4A"/>
    <w:rsid w:val="00E074A9"/>
    <w:rsid w:val="00E07820"/>
    <w:rsid w:val="00E07B06"/>
    <w:rsid w:val="00E07E36"/>
    <w:rsid w:val="00E1281F"/>
    <w:rsid w:val="00E13CEF"/>
    <w:rsid w:val="00E14E13"/>
    <w:rsid w:val="00E1674F"/>
    <w:rsid w:val="00E21F4E"/>
    <w:rsid w:val="00E24777"/>
    <w:rsid w:val="00E2493A"/>
    <w:rsid w:val="00E25021"/>
    <w:rsid w:val="00E26075"/>
    <w:rsid w:val="00E262B2"/>
    <w:rsid w:val="00E2644D"/>
    <w:rsid w:val="00E307C4"/>
    <w:rsid w:val="00E3152B"/>
    <w:rsid w:val="00E35A04"/>
    <w:rsid w:val="00E35FB0"/>
    <w:rsid w:val="00E36977"/>
    <w:rsid w:val="00E369B9"/>
    <w:rsid w:val="00E373BF"/>
    <w:rsid w:val="00E43975"/>
    <w:rsid w:val="00E44747"/>
    <w:rsid w:val="00E4556A"/>
    <w:rsid w:val="00E4561A"/>
    <w:rsid w:val="00E4755C"/>
    <w:rsid w:val="00E51CCC"/>
    <w:rsid w:val="00E535B4"/>
    <w:rsid w:val="00E53BE7"/>
    <w:rsid w:val="00E54FD9"/>
    <w:rsid w:val="00E57814"/>
    <w:rsid w:val="00E60282"/>
    <w:rsid w:val="00E61CD8"/>
    <w:rsid w:val="00E63313"/>
    <w:rsid w:val="00E64B36"/>
    <w:rsid w:val="00E65333"/>
    <w:rsid w:val="00E660F1"/>
    <w:rsid w:val="00E66E08"/>
    <w:rsid w:val="00E67515"/>
    <w:rsid w:val="00E67A08"/>
    <w:rsid w:val="00E70661"/>
    <w:rsid w:val="00E71992"/>
    <w:rsid w:val="00E7204F"/>
    <w:rsid w:val="00E729C4"/>
    <w:rsid w:val="00E72FF8"/>
    <w:rsid w:val="00E73A67"/>
    <w:rsid w:val="00E74CC5"/>
    <w:rsid w:val="00E7533D"/>
    <w:rsid w:val="00E76B00"/>
    <w:rsid w:val="00E8008F"/>
    <w:rsid w:val="00E80BB8"/>
    <w:rsid w:val="00E82C8A"/>
    <w:rsid w:val="00E8367D"/>
    <w:rsid w:val="00E85DB1"/>
    <w:rsid w:val="00E87961"/>
    <w:rsid w:val="00E87E49"/>
    <w:rsid w:val="00E87E87"/>
    <w:rsid w:val="00E905C4"/>
    <w:rsid w:val="00E946E7"/>
    <w:rsid w:val="00EA0E11"/>
    <w:rsid w:val="00EA434B"/>
    <w:rsid w:val="00EA47C4"/>
    <w:rsid w:val="00EA6323"/>
    <w:rsid w:val="00EA635A"/>
    <w:rsid w:val="00EB0782"/>
    <w:rsid w:val="00EB0B75"/>
    <w:rsid w:val="00EB0DEC"/>
    <w:rsid w:val="00EB44F5"/>
    <w:rsid w:val="00EB63FE"/>
    <w:rsid w:val="00EB669A"/>
    <w:rsid w:val="00EB7E0B"/>
    <w:rsid w:val="00EC042F"/>
    <w:rsid w:val="00EC0DA8"/>
    <w:rsid w:val="00EC13FB"/>
    <w:rsid w:val="00EC15FA"/>
    <w:rsid w:val="00EC37DD"/>
    <w:rsid w:val="00EC3B65"/>
    <w:rsid w:val="00EC48D4"/>
    <w:rsid w:val="00EC7931"/>
    <w:rsid w:val="00EC79F3"/>
    <w:rsid w:val="00EC7C36"/>
    <w:rsid w:val="00ED20A6"/>
    <w:rsid w:val="00ED3422"/>
    <w:rsid w:val="00ED4556"/>
    <w:rsid w:val="00ED5226"/>
    <w:rsid w:val="00ED5683"/>
    <w:rsid w:val="00EE0F1A"/>
    <w:rsid w:val="00EE2AA0"/>
    <w:rsid w:val="00EE3596"/>
    <w:rsid w:val="00EE3DD8"/>
    <w:rsid w:val="00EE4B30"/>
    <w:rsid w:val="00EE6713"/>
    <w:rsid w:val="00EF1554"/>
    <w:rsid w:val="00EF1AC2"/>
    <w:rsid w:val="00EF2B54"/>
    <w:rsid w:val="00EF305D"/>
    <w:rsid w:val="00EF4238"/>
    <w:rsid w:val="00EF68ED"/>
    <w:rsid w:val="00EF6A36"/>
    <w:rsid w:val="00F0367F"/>
    <w:rsid w:val="00F049C5"/>
    <w:rsid w:val="00F05594"/>
    <w:rsid w:val="00F0724E"/>
    <w:rsid w:val="00F101AD"/>
    <w:rsid w:val="00F11DD5"/>
    <w:rsid w:val="00F15E93"/>
    <w:rsid w:val="00F16513"/>
    <w:rsid w:val="00F1733A"/>
    <w:rsid w:val="00F17B5F"/>
    <w:rsid w:val="00F20A0C"/>
    <w:rsid w:val="00F258AF"/>
    <w:rsid w:val="00F273FA"/>
    <w:rsid w:val="00F308B7"/>
    <w:rsid w:val="00F35B79"/>
    <w:rsid w:val="00F362C7"/>
    <w:rsid w:val="00F36E24"/>
    <w:rsid w:val="00F4193B"/>
    <w:rsid w:val="00F45181"/>
    <w:rsid w:val="00F45972"/>
    <w:rsid w:val="00F50DA4"/>
    <w:rsid w:val="00F52126"/>
    <w:rsid w:val="00F52AD0"/>
    <w:rsid w:val="00F52F57"/>
    <w:rsid w:val="00F53236"/>
    <w:rsid w:val="00F53574"/>
    <w:rsid w:val="00F5386B"/>
    <w:rsid w:val="00F55A6A"/>
    <w:rsid w:val="00F56917"/>
    <w:rsid w:val="00F576F6"/>
    <w:rsid w:val="00F61E46"/>
    <w:rsid w:val="00F62E0C"/>
    <w:rsid w:val="00F63070"/>
    <w:rsid w:val="00F657F5"/>
    <w:rsid w:val="00F65A00"/>
    <w:rsid w:val="00F66AD6"/>
    <w:rsid w:val="00F67A60"/>
    <w:rsid w:val="00F70314"/>
    <w:rsid w:val="00F705BC"/>
    <w:rsid w:val="00F7582B"/>
    <w:rsid w:val="00F77333"/>
    <w:rsid w:val="00F77C37"/>
    <w:rsid w:val="00F806F6"/>
    <w:rsid w:val="00F815E5"/>
    <w:rsid w:val="00F8347C"/>
    <w:rsid w:val="00F879AC"/>
    <w:rsid w:val="00F90A2A"/>
    <w:rsid w:val="00F91F3F"/>
    <w:rsid w:val="00F9554B"/>
    <w:rsid w:val="00F963D4"/>
    <w:rsid w:val="00FA13BA"/>
    <w:rsid w:val="00FA2007"/>
    <w:rsid w:val="00FA4548"/>
    <w:rsid w:val="00FA56EC"/>
    <w:rsid w:val="00FA5B02"/>
    <w:rsid w:val="00FB0CC2"/>
    <w:rsid w:val="00FB0E69"/>
    <w:rsid w:val="00FB5C21"/>
    <w:rsid w:val="00FB646A"/>
    <w:rsid w:val="00FB674C"/>
    <w:rsid w:val="00FC1EC2"/>
    <w:rsid w:val="00FC2607"/>
    <w:rsid w:val="00FC298F"/>
    <w:rsid w:val="00FC2A67"/>
    <w:rsid w:val="00FC3574"/>
    <w:rsid w:val="00FC69CC"/>
    <w:rsid w:val="00FC6D31"/>
    <w:rsid w:val="00FC7F96"/>
    <w:rsid w:val="00FD1831"/>
    <w:rsid w:val="00FD341D"/>
    <w:rsid w:val="00FD4419"/>
    <w:rsid w:val="00FD7D38"/>
    <w:rsid w:val="00FE0CDD"/>
    <w:rsid w:val="00FE1AA6"/>
    <w:rsid w:val="00FE26B7"/>
    <w:rsid w:val="00FE372D"/>
    <w:rsid w:val="00FE4BDF"/>
    <w:rsid w:val="00FE4D76"/>
    <w:rsid w:val="00FF1C4F"/>
    <w:rsid w:val="00FF5D0D"/>
    <w:rsid w:val="00FF6727"/>
    <w:rsid w:val="00FF6E41"/>
    <w:rsid w:val="00FF70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5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link w:val="regparChar"/>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 w:type="paragraph" w:customStyle="1" w:styleId="LetterheadBOI">
    <w:name w:val="Letterhead BOI"/>
    <w:basedOn w:val="regpar"/>
    <w:link w:val="LetterheadBOIChar"/>
    <w:qFormat/>
    <w:rsid w:val="0094738B"/>
    <w:pPr>
      <w:spacing w:line="300" w:lineRule="atLeast"/>
      <w:ind w:firstLine="0"/>
      <w:jc w:val="center"/>
    </w:pPr>
    <w:rPr>
      <w:rFonts w:ascii="Times New Roman" w:hAnsi="Times New Roman" w:cs="David"/>
      <w:b/>
    </w:rPr>
  </w:style>
  <w:style w:type="paragraph" w:customStyle="1" w:styleId="Letterhead2">
    <w:name w:val="Letterhead 2"/>
    <w:basedOn w:val="regpar"/>
    <w:link w:val="Letterhead2Char"/>
    <w:qFormat/>
    <w:rsid w:val="0094738B"/>
    <w:pPr>
      <w:spacing w:line="300" w:lineRule="atLeast"/>
      <w:ind w:firstLine="0"/>
      <w:jc w:val="center"/>
    </w:pPr>
    <w:rPr>
      <w:rFonts w:ascii="Times New Roman" w:hAnsi="Times New Roman" w:cs="Times New Roman"/>
      <w:sz w:val="26"/>
      <w:szCs w:val="26"/>
    </w:rPr>
  </w:style>
  <w:style w:type="character" w:customStyle="1" w:styleId="regparChar">
    <w:name w:val="regpar Char"/>
    <w:basedOn w:val="a0"/>
    <w:link w:val="regpar"/>
    <w:rsid w:val="0094738B"/>
    <w:rPr>
      <w:rFonts w:ascii="Times" w:hAnsi="Times" w:cs="Times"/>
      <w:sz w:val="24"/>
      <w:szCs w:val="24"/>
    </w:rPr>
  </w:style>
  <w:style w:type="character" w:customStyle="1" w:styleId="LetterheadBOIChar">
    <w:name w:val="Letterhead BOI Char"/>
    <w:basedOn w:val="regparChar"/>
    <w:link w:val="LetterheadBOI"/>
    <w:rsid w:val="0094738B"/>
    <w:rPr>
      <w:rFonts w:ascii="Times" w:hAnsi="Times" w:cs="David"/>
      <w:b/>
      <w:sz w:val="24"/>
      <w:szCs w:val="24"/>
    </w:rPr>
  </w:style>
  <w:style w:type="paragraph" w:customStyle="1" w:styleId="PressReleaseTitle">
    <w:name w:val="Press Release Title"/>
    <w:basedOn w:val="a"/>
    <w:link w:val="PressReleaseTitleChar"/>
    <w:qFormat/>
    <w:rsid w:val="0094738B"/>
    <w:pPr>
      <w:tabs>
        <w:tab w:val="center" w:pos="4156"/>
        <w:tab w:val="right" w:pos="8312"/>
      </w:tabs>
      <w:bidi w:val="0"/>
      <w:jc w:val="center"/>
    </w:pPr>
    <w:rPr>
      <w:rFonts w:cs="David"/>
      <w:b/>
      <w:bCs/>
      <w:sz w:val="26"/>
      <w:szCs w:val="26"/>
    </w:rPr>
  </w:style>
  <w:style w:type="character" w:customStyle="1" w:styleId="Letterhead2Char">
    <w:name w:val="Letterhead 2 Char"/>
    <w:basedOn w:val="regparChar"/>
    <w:link w:val="Letterhead2"/>
    <w:rsid w:val="0094738B"/>
    <w:rPr>
      <w:rFonts w:ascii="Times" w:hAnsi="Times" w:cs="Times"/>
      <w:sz w:val="26"/>
      <w:szCs w:val="26"/>
    </w:rPr>
  </w:style>
  <w:style w:type="paragraph" w:customStyle="1" w:styleId="Pressreleaseheading2">
    <w:name w:val="Press release heading 2"/>
    <w:basedOn w:val="PressReleaseTitle"/>
    <w:link w:val="Pressreleaseheading2Char"/>
    <w:qFormat/>
    <w:rsid w:val="0094738B"/>
    <w:rPr>
      <w:b w:val="0"/>
      <w:bCs w:val="0"/>
    </w:rPr>
  </w:style>
  <w:style w:type="character" w:customStyle="1" w:styleId="PressReleaseTitleChar">
    <w:name w:val="Press Release Title Char"/>
    <w:basedOn w:val="a0"/>
    <w:link w:val="PressReleaseTitle"/>
    <w:rsid w:val="0094738B"/>
    <w:rPr>
      <w:rFonts w:cs="David"/>
      <w:b/>
      <w:bCs/>
      <w:sz w:val="26"/>
      <w:szCs w:val="26"/>
    </w:rPr>
  </w:style>
  <w:style w:type="character" w:customStyle="1" w:styleId="Pressreleaseheading2Char">
    <w:name w:val="Press release heading 2 Char"/>
    <w:basedOn w:val="PressReleaseTitleChar"/>
    <w:link w:val="Pressreleaseheading2"/>
    <w:rsid w:val="0094738B"/>
    <w:rPr>
      <w:rFonts w:cs="David"/>
      <w:b w:val="0"/>
      <w:bCs w:val="0"/>
      <w:sz w:val="26"/>
      <w:szCs w:val="26"/>
    </w:rPr>
  </w:style>
  <w:style w:type="character" w:styleId="ae">
    <w:name w:val="annotation reference"/>
    <w:basedOn w:val="a0"/>
    <w:rsid w:val="00833AF3"/>
    <w:rPr>
      <w:sz w:val="16"/>
      <w:szCs w:val="16"/>
    </w:rPr>
  </w:style>
  <w:style w:type="paragraph" w:styleId="af">
    <w:name w:val="annotation text"/>
    <w:basedOn w:val="a"/>
    <w:link w:val="af0"/>
    <w:rsid w:val="00833AF3"/>
    <w:rPr>
      <w:sz w:val="20"/>
      <w:szCs w:val="20"/>
    </w:rPr>
  </w:style>
  <w:style w:type="character" w:customStyle="1" w:styleId="af0">
    <w:name w:val="טקסט הערה תו"/>
    <w:basedOn w:val="a0"/>
    <w:link w:val="af"/>
    <w:rsid w:val="00833AF3"/>
  </w:style>
  <w:style w:type="paragraph" w:styleId="af1">
    <w:name w:val="annotation subject"/>
    <w:basedOn w:val="af"/>
    <w:next w:val="af"/>
    <w:link w:val="af2"/>
    <w:rsid w:val="00833AF3"/>
    <w:rPr>
      <w:b/>
      <w:bCs/>
    </w:rPr>
  </w:style>
  <w:style w:type="character" w:customStyle="1" w:styleId="af2">
    <w:name w:val="נושא הערה תו"/>
    <w:basedOn w:val="af0"/>
    <w:link w:val="af1"/>
    <w:rsid w:val="00833AF3"/>
    <w:rPr>
      <w:b/>
      <w:bCs/>
    </w:rPr>
  </w:style>
  <w:style w:type="paragraph" w:customStyle="1" w:styleId="af3">
    <w:name w:val="כותרת לוח"/>
    <w:basedOn w:val="af4"/>
    <w:link w:val="af5"/>
    <w:qFormat/>
    <w:rsid w:val="00903E7A"/>
    <w:pPr>
      <w:pBdr>
        <w:bottom w:val="none" w:sz="0" w:space="0" w:color="auto"/>
      </w:pBdr>
      <w:spacing w:before="240" w:after="60"/>
      <w:contextualSpacing w:val="0"/>
      <w:jc w:val="center"/>
      <w:outlineLvl w:val="0"/>
    </w:pPr>
    <w:rPr>
      <w:rFonts w:cs="David"/>
      <w:b/>
      <w:bCs/>
      <w:sz w:val="24"/>
      <w:szCs w:val="24"/>
      <w:u w:val="single"/>
      <w:lang w:eastAsia="he-IL"/>
    </w:rPr>
  </w:style>
  <w:style w:type="character" w:customStyle="1" w:styleId="af5">
    <w:name w:val="כותרת לוח תו"/>
    <w:basedOn w:val="af6"/>
    <w:link w:val="af3"/>
    <w:rsid w:val="00903E7A"/>
    <w:rPr>
      <w:rFonts w:asciiTheme="majorHAnsi" w:eastAsiaTheme="majorEastAsia" w:hAnsiTheme="majorHAnsi" w:cs="David"/>
      <w:b/>
      <w:bCs/>
      <w:color w:val="17365D" w:themeColor="text2" w:themeShade="BF"/>
      <w:spacing w:val="5"/>
      <w:kern w:val="28"/>
      <w:sz w:val="24"/>
      <w:szCs w:val="24"/>
      <w:u w:val="single"/>
      <w:lang w:eastAsia="he-IL"/>
    </w:rPr>
  </w:style>
  <w:style w:type="paragraph" w:styleId="af4">
    <w:name w:val="Title"/>
    <w:basedOn w:val="a"/>
    <w:next w:val="a"/>
    <w:link w:val="af6"/>
    <w:qFormat/>
    <w:rsid w:val="00903E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כותרת טקסט תו"/>
    <w:basedOn w:val="a0"/>
    <w:link w:val="af4"/>
    <w:rsid w:val="00903E7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nkisrael.gov.il/deptdata/pik_mth/pikmth_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A40B6-82A5-436E-90E1-CBF3DD3B7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1168</Words>
  <Characters>6153</Characters>
  <Application>Microsoft Office Word</Application>
  <DocSecurity>4</DocSecurity>
  <Lines>51</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7307</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2025-06-18T09:59:00Z</dcterms:created>
  <dcterms:modified xsi:type="dcterms:W3CDTF">2025-06-18T09:59:00Z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