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846" w:rsidRPr="00EE4846" w:rsidRDefault="00EE4846">
      <w:pPr>
        <w:rPr>
          <w:rFonts w:ascii="David" w:eastAsiaTheme="majorEastAsia" w:hAnsi="David" w:cs="David"/>
          <w:sz w:val="24"/>
          <w:szCs w:val="24"/>
          <w:rtl/>
        </w:rPr>
      </w:pPr>
      <w:bookmarkStart w:id="0" w:name="_GoBack"/>
      <w:bookmarkEnd w:id="0"/>
    </w:p>
    <w:tbl>
      <w:tblPr>
        <w:tblpPr w:leftFromText="180" w:rightFromText="180" w:bottomFromText="200" w:horzAnchor="margin" w:tblpXSpec="center" w:tblpY="-540"/>
        <w:bidiVisual/>
        <w:tblW w:w="8520" w:type="dxa"/>
        <w:tblLayout w:type="fixed"/>
        <w:tblLook w:val="04A0" w:firstRow="1" w:lastRow="0" w:firstColumn="1" w:lastColumn="0" w:noHBand="0" w:noVBand="1"/>
      </w:tblPr>
      <w:tblGrid>
        <w:gridCol w:w="2840"/>
        <w:gridCol w:w="2596"/>
        <w:gridCol w:w="3084"/>
      </w:tblGrid>
      <w:tr w:rsidR="00EE4846" w:rsidRPr="00EE4846" w:rsidTr="0024572E">
        <w:tc>
          <w:tcPr>
            <w:tcW w:w="2840" w:type="dxa"/>
            <w:vAlign w:val="center"/>
            <w:hideMark/>
          </w:tcPr>
          <w:p w:rsidR="00EE4846" w:rsidRPr="00EE4846" w:rsidRDefault="00EE4846" w:rsidP="00EE4846">
            <w:pPr>
              <w:rPr>
                <w:rFonts w:ascii="David" w:eastAsiaTheme="majorEastAsia" w:hAnsi="David" w:cs="David"/>
                <w:sz w:val="24"/>
                <w:szCs w:val="24"/>
              </w:rPr>
            </w:pPr>
            <w:r w:rsidRPr="00EE4846">
              <w:rPr>
                <w:rFonts w:ascii="David" w:eastAsiaTheme="majorEastAsia" w:hAnsi="David" w:cs="David"/>
                <w:sz w:val="24"/>
                <w:szCs w:val="24"/>
                <w:rtl/>
              </w:rPr>
              <w:t>בנק ישראל</w:t>
            </w:r>
          </w:p>
          <w:p w:rsidR="00EE4846" w:rsidRPr="00EE4846" w:rsidRDefault="00EE4846" w:rsidP="00EE4846">
            <w:pPr>
              <w:rPr>
                <w:rFonts w:ascii="David" w:eastAsiaTheme="majorEastAsia" w:hAnsi="David" w:cs="David"/>
                <w:sz w:val="24"/>
                <w:szCs w:val="24"/>
              </w:rPr>
            </w:pPr>
            <w:r w:rsidRPr="00EE4846">
              <w:rPr>
                <w:rFonts w:ascii="David" w:eastAsiaTheme="majorEastAsia" w:hAnsi="David" w:cs="David"/>
                <w:sz w:val="24"/>
                <w:szCs w:val="24"/>
                <w:rtl/>
              </w:rPr>
              <w:t>דוברות והסברה כלכלית</w:t>
            </w:r>
          </w:p>
        </w:tc>
        <w:tc>
          <w:tcPr>
            <w:tcW w:w="2596" w:type="dxa"/>
            <w:hideMark/>
          </w:tcPr>
          <w:p w:rsidR="00EE4846" w:rsidRPr="00EE4846" w:rsidRDefault="00EE4846" w:rsidP="00EE4846">
            <w:pPr>
              <w:rPr>
                <w:rFonts w:ascii="David" w:eastAsiaTheme="majorEastAsia" w:hAnsi="David" w:cs="David"/>
                <w:sz w:val="24"/>
                <w:szCs w:val="24"/>
              </w:rPr>
            </w:pPr>
            <w:r w:rsidRPr="00EE4846">
              <w:rPr>
                <w:rFonts w:ascii="David" w:eastAsiaTheme="majorEastAsia" w:hAnsi="David" w:cs="David"/>
                <w:noProof/>
                <w:sz w:val="24"/>
                <w:szCs w:val="24"/>
              </w:rPr>
              <w:drawing>
                <wp:anchor distT="0" distB="0" distL="114300" distR="114300" simplePos="0" relativeHeight="251659264" behindDoc="0" locked="0" layoutInCell="1" allowOverlap="1" wp14:anchorId="6341CE2F" wp14:editId="6E8FC22E">
                  <wp:simplePos x="0" y="0"/>
                  <wp:positionH relativeFrom="column">
                    <wp:align>center</wp:align>
                  </wp:positionH>
                  <wp:positionV relativeFrom="paragraph">
                    <wp:posOffset>154940</wp:posOffset>
                  </wp:positionV>
                  <wp:extent cx="1050925" cy="1050925"/>
                  <wp:effectExtent l="0" t="0" r="0" b="0"/>
                  <wp:wrapSquare wrapText="bothSides"/>
                  <wp:docPr id="2" name="תמונה 2" descr="Logo Bank of Israel 2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Logo Bank of Israel 2 col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0925" cy="1050925"/>
                          </a:xfrm>
                          <a:prstGeom prst="rect">
                            <a:avLst/>
                          </a:prstGeom>
                          <a:noFill/>
                        </pic:spPr>
                      </pic:pic>
                    </a:graphicData>
                  </a:graphic>
                  <wp14:sizeRelH relativeFrom="margin">
                    <wp14:pctWidth>0</wp14:pctWidth>
                  </wp14:sizeRelH>
                  <wp14:sizeRelV relativeFrom="margin">
                    <wp14:pctHeight>0</wp14:pctHeight>
                  </wp14:sizeRelV>
                </wp:anchor>
              </w:drawing>
            </w:r>
            <w:r w:rsidRPr="00EE4846">
              <w:rPr>
                <w:rFonts w:ascii="David" w:eastAsiaTheme="majorEastAsia" w:hAnsi="David" w:cs="David"/>
                <w:sz w:val="24"/>
                <w:szCs w:val="24"/>
              </w:rPr>
              <w:tab/>
            </w:r>
          </w:p>
        </w:tc>
        <w:tc>
          <w:tcPr>
            <w:tcW w:w="3084" w:type="dxa"/>
            <w:vAlign w:val="center"/>
            <w:hideMark/>
          </w:tcPr>
          <w:tbl>
            <w:tblPr>
              <w:bidiVisual/>
              <w:tblW w:w="0" w:type="auto"/>
              <w:jc w:val="center"/>
              <w:tblLayout w:type="fixed"/>
              <w:tblLook w:val="04A0" w:firstRow="1" w:lastRow="0" w:firstColumn="1" w:lastColumn="0" w:noHBand="0" w:noVBand="1"/>
            </w:tblPr>
            <w:tblGrid>
              <w:gridCol w:w="3084"/>
            </w:tblGrid>
            <w:tr w:rsidR="00EE4846" w:rsidRPr="00EE4846" w:rsidTr="0024572E">
              <w:trPr>
                <w:jc w:val="center"/>
              </w:trPr>
              <w:tc>
                <w:tcPr>
                  <w:tcW w:w="3084" w:type="dxa"/>
                  <w:vAlign w:val="center"/>
                  <w:hideMark/>
                </w:tcPr>
                <w:p w:rsidR="00EE4846" w:rsidRPr="00EE4846" w:rsidRDefault="00EE4846" w:rsidP="00B75FF3">
                  <w:pPr>
                    <w:framePr w:hSpace="180" w:wrap="around" w:hAnchor="margin" w:xAlign="center" w:y="-540"/>
                    <w:rPr>
                      <w:rFonts w:ascii="David" w:eastAsiaTheme="majorEastAsia" w:hAnsi="David" w:cs="David"/>
                      <w:sz w:val="24"/>
                      <w:szCs w:val="24"/>
                    </w:rPr>
                  </w:pPr>
                  <w:r w:rsidRPr="00EE4846">
                    <w:rPr>
                      <w:rFonts w:ascii="David" w:eastAsiaTheme="majorEastAsia" w:hAnsi="David" w:cs="David"/>
                      <w:sz w:val="24"/>
                      <w:szCs w:val="24"/>
                      <w:rtl/>
                    </w:rPr>
                    <w:t xml:space="preserve">‏ירושלים, </w:t>
                  </w:r>
                  <w:r w:rsidRPr="00EE4846">
                    <w:rPr>
                      <w:rFonts w:ascii="David" w:eastAsiaTheme="majorEastAsia" w:hAnsi="David" w:cs="David" w:hint="cs"/>
                      <w:sz w:val="24"/>
                      <w:szCs w:val="24"/>
                      <w:rtl/>
                    </w:rPr>
                    <w:t>י"ג באב</w:t>
                  </w:r>
                  <w:r w:rsidRPr="00EE4846">
                    <w:rPr>
                      <w:rFonts w:ascii="David" w:eastAsiaTheme="majorEastAsia" w:hAnsi="David" w:cs="David"/>
                      <w:sz w:val="24"/>
                      <w:szCs w:val="24"/>
                      <w:rtl/>
                    </w:rPr>
                    <w:t>, תשפ"ב</w:t>
                  </w:r>
                </w:p>
                <w:p w:rsidR="00EE4846" w:rsidRPr="00EE4846" w:rsidRDefault="00EE4846" w:rsidP="00B75FF3">
                  <w:pPr>
                    <w:framePr w:hSpace="180" w:wrap="around" w:hAnchor="margin" w:xAlign="center" w:y="-540"/>
                    <w:rPr>
                      <w:rFonts w:ascii="David" w:eastAsiaTheme="majorEastAsia" w:hAnsi="David" w:cs="David"/>
                      <w:sz w:val="24"/>
                      <w:szCs w:val="24"/>
                    </w:rPr>
                  </w:pPr>
                  <w:r w:rsidRPr="00EE4846">
                    <w:rPr>
                      <w:rFonts w:ascii="David" w:eastAsiaTheme="majorEastAsia" w:hAnsi="David" w:cs="David"/>
                      <w:sz w:val="24"/>
                      <w:szCs w:val="24"/>
                      <w:rtl/>
                    </w:rPr>
                    <w:t>‏</w:t>
                  </w:r>
                  <w:r w:rsidRPr="00EE4846">
                    <w:rPr>
                      <w:rFonts w:ascii="David" w:eastAsiaTheme="majorEastAsia" w:hAnsi="David" w:cs="David" w:hint="cs"/>
                      <w:sz w:val="24"/>
                      <w:szCs w:val="24"/>
                      <w:rtl/>
                    </w:rPr>
                    <w:t>10</w:t>
                  </w:r>
                  <w:r w:rsidRPr="00EE4846">
                    <w:rPr>
                      <w:rFonts w:ascii="David" w:eastAsiaTheme="majorEastAsia" w:hAnsi="David" w:cs="David"/>
                      <w:sz w:val="24"/>
                      <w:szCs w:val="24"/>
                      <w:rtl/>
                    </w:rPr>
                    <w:t xml:space="preserve"> </w:t>
                  </w:r>
                  <w:r w:rsidRPr="00EE4846">
                    <w:rPr>
                      <w:rFonts w:ascii="David" w:eastAsiaTheme="majorEastAsia" w:hAnsi="David" w:cs="David" w:hint="cs"/>
                      <w:sz w:val="24"/>
                      <w:szCs w:val="24"/>
                      <w:rtl/>
                    </w:rPr>
                    <w:t>באוגוסט</w:t>
                  </w:r>
                  <w:r w:rsidRPr="00EE4846">
                    <w:rPr>
                      <w:rFonts w:ascii="David" w:eastAsiaTheme="majorEastAsia" w:hAnsi="David" w:cs="David"/>
                      <w:sz w:val="24"/>
                      <w:szCs w:val="24"/>
                      <w:rtl/>
                    </w:rPr>
                    <w:t>, 2022</w:t>
                  </w:r>
                </w:p>
              </w:tc>
            </w:tr>
          </w:tbl>
          <w:p w:rsidR="00EE4846" w:rsidRPr="00EE4846" w:rsidRDefault="00EE4846" w:rsidP="00EE4846">
            <w:pPr>
              <w:rPr>
                <w:rFonts w:ascii="David" w:eastAsiaTheme="majorEastAsia" w:hAnsi="David" w:cs="David"/>
                <w:sz w:val="24"/>
                <w:szCs w:val="24"/>
                <w:rtl/>
              </w:rPr>
            </w:pPr>
          </w:p>
        </w:tc>
      </w:tr>
    </w:tbl>
    <w:p w:rsidR="00EE4846" w:rsidRPr="00EE4846" w:rsidRDefault="00EE4846" w:rsidP="00EE4846">
      <w:pPr>
        <w:rPr>
          <w:rFonts w:ascii="David" w:eastAsiaTheme="majorEastAsia" w:hAnsi="David" w:cs="David"/>
          <w:sz w:val="24"/>
          <w:szCs w:val="24"/>
          <w:rtl/>
        </w:rPr>
      </w:pPr>
      <w:r w:rsidRPr="00EE4846">
        <w:rPr>
          <w:rFonts w:ascii="David" w:eastAsiaTheme="majorEastAsia" w:hAnsi="David" w:cs="David" w:hint="cs"/>
          <w:sz w:val="24"/>
          <w:szCs w:val="24"/>
          <w:rtl/>
        </w:rPr>
        <w:t>הודעה לעיתונות:</w:t>
      </w:r>
    </w:p>
    <w:p w:rsidR="00EE4846" w:rsidRPr="00EE4846" w:rsidRDefault="00EE4846" w:rsidP="00EE4846">
      <w:pPr>
        <w:jc w:val="center"/>
        <w:rPr>
          <w:rFonts w:ascii="David" w:eastAsiaTheme="majorEastAsia" w:hAnsi="David" w:cs="David"/>
          <w:b/>
          <w:bCs/>
          <w:sz w:val="24"/>
          <w:szCs w:val="24"/>
          <w:rtl/>
        </w:rPr>
      </w:pPr>
    </w:p>
    <w:p w:rsidR="00116F0C" w:rsidRPr="00EE4846" w:rsidRDefault="00116F0C" w:rsidP="00EE4846">
      <w:pPr>
        <w:jc w:val="center"/>
        <w:rPr>
          <w:rFonts w:ascii="David" w:eastAsiaTheme="majorEastAsia" w:hAnsi="David" w:cs="David"/>
          <w:b/>
          <w:bCs/>
          <w:sz w:val="28"/>
          <w:szCs w:val="28"/>
          <w:rtl/>
        </w:rPr>
      </w:pPr>
      <w:r w:rsidRPr="00EE4846">
        <w:rPr>
          <w:rFonts w:ascii="David" w:eastAsiaTheme="majorEastAsia" w:hAnsi="David" w:cs="David"/>
          <w:b/>
          <w:bCs/>
          <w:sz w:val="28"/>
          <w:szCs w:val="28"/>
          <w:rtl/>
        </w:rPr>
        <w:t>דוח היציבות הפיננסית למחצית הראשונה של 2022</w:t>
      </w:r>
    </w:p>
    <w:p w:rsidR="00F202FC" w:rsidRPr="00EE4846" w:rsidRDefault="00116F0C" w:rsidP="00116F0C">
      <w:pPr>
        <w:spacing w:line="360" w:lineRule="auto"/>
        <w:jc w:val="both"/>
        <w:rPr>
          <w:rFonts w:ascii="David" w:hAnsi="David" w:cs="David"/>
          <w:sz w:val="24"/>
          <w:szCs w:val="24"/>
          <w:rtl/>
        </w:rPr>
      </w:pPr>
      <w:r w:rsidRPr="00EE4846">
        <w:rPr>
          <w:rFonts w:ascii="David" w:hAnsi="David" w:cs="David"/>
          <w:sz w:val="24"/>
          <w:szCs w:val="24"/>
          <w:rtl/>
        </w:rPr>
        <w:t>דוח היציבות הפיננסית של בנק ישראל מתפרסם פעמיים בשנה. בדוח זה מבטאים כלכלני הבנק את הערכתם בעניין החשיפות לסיכונים העיקריים הנשקפים למערכת הפיננסית, מנתחים את החשיפות העיקריות ומעריכים תרחישי סיכון פוטנציאליים. ההערכות והניתוחים מתבססים על סקירת ההתפתחויות בתקופה הנסקרת, בחינת השינויים המבניים, שימוש במודלים אנליטיים והערכה של תנאי הרקע בכלכלות העולמיות והמקומית. הדוח מתאר את ההשפעה של התממשות תרחישי סיכון על המערכת הפיננסית בטווחים הקצר והבינוני, במטרה להגביר את המודעות להם בקרב קובעי המדיניות ובציבור הרחב ולאפשר היערכות מתאימה.</w:t>
      </w:r>
    </w:p>
    <w:p w:rsidR="00116F0C" w:rsidRPr="00EE4846" w:rsidRDefault="00116F0C" w:rsidP="00116F0C">
      <w:pPr>
        <w:keepNext/>
        <w:keepLines/>
        <w:numPr>
          <w:ilvl w:val="1"/>
          <w:numId w:val="0"/>
        </w:numPr>
        <w:spacing w:before="40" w:after="0" w:line="360" w:lineRule="auto"/>
        <w:ind w:left="360" w:hanging="360"/>
        <w:jc w:val="both"/>
        <w:outlineLvl w:val="2"/>
        <w:rPr>
          <w:rFonts w:ascii="David" w:eastAsiaTheme="majorEastAsia" w:hAnsi="David" w:cs="David"/>
          <w:sz w:val="24"/>
          <w:szCs w:val="24"/>
          <w:rtl/>
        </w:rPr>
      </w:pPr>
      <w:bookmarkStart w:id="1" w:name="_Toc102389429"/>
      <w:bookmarkStart w:id="2" w:name="_Toc110496336"/>
      <w:r w:rsidRPr="00EE4846">
        <w:rPr>
          <w:rFonts w:ascii="David" w:eastAsiaTheme="majorEastAsia" w:hAnsi="David" w:cs="David"/>
          <w:sz w:val="24"/>
          <w:szCs w:val="24"/>
          <w:rtl/>
        </w:rPr>
        <w:t>עיקרי הממצאים</w:t>
      </w:r>
      <w:bookmarkEnd w:id="1"/>
      <w:bookmarkEnd w:id="2"/>
    </w:p>
    <w:p w:rsidR="00116F0C" w:rsidRPr="00EE4846" w:rsidRDefault="00116F0C" w:rsidP="0054188D">
      <w:pPr>
        <w:numPr>
          <w:ilvl w:val="0"/>
          <w:numId w:val="1"/>
        </w:numPr>
        <w:spacing w:after="0" w:line="360" w:lineRule="auto"/>
        <w:contextualSpacing/>
        <w:jc w:val="both"/>
        <w:rPr>
          <w:rFonts w:ascii="David" w:hAnsi="David" w:cs="David"/>
          <w:sz w:val="24"/>
          <w:szCs w:val="24"/>
          <w:rtl/>
        </w:rPr>
      </w:pPr>
      <w:r w:rsidRPr="00EE4846">
        <w:rPr>
          <w:rFonts w:ascii="David" w:hAnsi="David" w:cs="David"/>
          <w:sz w:val="24"/>
          <w:szCs w:val="24"/>
          <w:rtl/>
        </w:rPr>
        <w:t xml:space="preserve">המשק הישראלי התאושש ממשבר הקורונה. התוצר נמוך רק במקצת מקו המגמה שלפני המשבר; שוק העבודה הדוק, והביקוש לעובדים גבוה; הגירעון הלך והצטמצם בעקביות, עד שהפך, ביוני,  לעודף .   </w:t>
      </w:r>
    </w:p>
    <w:p w:rsidR="00116F0C" w:rsidRPr="00EE4846" w:rsidRDefault="00116F0C" w:rsidP="00116F0C">
      <w:pPr>
        <w:numPr>
          <w:ilvl w:val="0"/>
          <w:numId w:val="1"/>
        </w:numPr>
        <w:spacing w:after="0" w:line="360" w:lineRule="auto"/>
        <w:jc w:val="both"/>
        <w:rPr>
          <w:rFonts w:ascii="David" w:hAnsi="David" w:cs="David"/>
          <w:sz w:val="24"/>
          <w:szCs w:val="24"/>
          <w:rtl/>
        </w:rPr>
      </w:pPr>
      <w:r w:rsidRPr="00EE4846">
        <w:rPr>
          <w:rFonts w:ascii="David" w:hAnsi="David" w:cs="David"/>
          <w:sz w:val="24"/>
          <w:szCs w:val="24"/>
          <w:rtl/>
        </w:rPr>
        <w:t>האינפלציה הואצה במהלך שנת 2021, ומתחילת 2022 עליית המחירים ב-12 החודשים האחרונים הייתה מעל לגבול העליון של יעד האינפלציה. עד תחילת חודש יולי הועלתה ריבית בנק ישראל שלוש פעמים, לרמה של 1.25%.</w:t>
      </w:r>
    </w:p>
    <w:p w:rsidR="00116F0C" w:rsidRPr="00EE4846" w:rsidRDefault="00116F0C" w:rsidP="0026017C">
      <w:pPr>
        <w:numPr>
          <w:ilvl w:val="0"/>
          <w:numId w:val="1"/>
        </w:numPr>
        <w:spacing w:after="0" w:line="360" w:lineRule="auto"/>
        <w:jc w:val="both"/>
        <w:rPr>
          <w:rFonts w:ascii="David" w:hAnsi="David" w:cs="David"/>
          <w:sz w:val="24"/>
          <w:szCs w:val="24"/>
          <w:rtl/>
        </w:rPr>
      </w:pPr>
      <w:r w:rsidRPr="00EE4846">
        <w:rPr>
          <w:rFonts w:ascii="David" w:hAnsi="David" w:cs="David"/>
          <w:sz w:val="24"/>
          <w:szCs w:val="24"/>
          <w:rtl/>
        </w:rPr>
        <w:t>למלחמה באוקראינה השפעה ישירה מוגבלת על המשק הישראלי. ההשפעה העקיפה עוברת בעיקר באמצעות עליית מחירי הסחורות.</w:t>
      </w:r>
    </w:p>
    <w:p w:rsidR="00116F0C" w:rsidRPr="00EE4846" w:rsidRDefault="00116F0C" w:rsidP="00116F0C">
      <w:pPr>
        <w:numPr>
          <w:ilvl w:val="0"/>
          <w:numId w:val="1"/>
        </w:numPr>
        <w:spacing w:before="120" w:after="0" w:line="360" w:lineRule="auto"/>
        <w:jc w:val="both"/>
        <w:rPr>
          <w:rFonts w:ascii="David" w:hAnsi="David" w:cs="David"/>
          <w:sz w:val="24"/>
          <w:szCs w:val="24"/>
          <w:rtl/>
        </w:rPr>
      </w:pPr>
      <w:r w:rsidRPr="00EE4846">
        <w:rPr>
          <w:rFonts w:ascii="David" w:hAnsi="David" w:cs="David"/>
          <w:sz w:val="24"/>
          <w:szCs w:val="24"/>
          <w:rtl/>
        </w:rPr>
        <w:t>התנאים הפיננסיים התהדקו ברוב המשקים הגדולים, והסיכונים לצמיחה הגלובלית גברו בהשפעת המלחמה בין רוסיה</w:t>
      </w:r>
      <w:r w:rsidRPr="00EE4846">
        <w:rPr>
          <w:rFonts w:ascii="David" w:hAnsi="David" w:cs="David"/>
          <w:sz w:val="24"/>
          <w:szCs w:val="24"/>
          <w:rtl/>
        </w:rPr>
        <w:softHyphen/>
      </w:r>
      <w:r w:rsidRPr="00EE4846">
        <w:rPr>
          <w:rFonts w:ascii="David" w:hAnsi="David" w:cs="David"/>
          <w:sz w:val="24"/>
          <w:szCs w:val="24"/>
          <w:rtl/>
        </w:rPr>
        <w:softHyphen/>
      </w:r>
      <w:r w:rsidRPr="00EE4846">
        <w:rPr>
          <w:rFonts w:ascii="David" w:hAnsi="David" w:cs="David"/>
          <w:sz w:val="24"/>
          <w:szCs w:val="24"/>
          <w:rtl/>
        </w:rPr>
        <w:softHyphen/>
        <w:t xml:space="preserve"> לאוקראינה, מעבר של בנקים מרכזיים ברחבי העולם להידוק מוניטרי  והאטת הפעילות הכלכלית בסין. </w:t>
      </w:r>
    </w:p>
    <w:p w:rsidR="00116F0C" w:rsidRPr="00EE4846" w:rsidRDefault="00116F0C" w:rsidP="00116F0C">
      <w:pPr>
        <w:numPr>
          <w:ilvl w:val="0"/>
          <w:numId w:val="1"/>
        </w:numPr>
        <w:spacing w:after="200" w:line="360" w:lineRule="auto"/>
        <w:contextualSpacing/>
        <w:jc w:val="both"/>
        <w:rPr>
          <w:rFonts w:ascii="David" w:hAnsi="David" w:cs="David"/>
          <w:sz w:val="24"/>
          <w:szCs w:val="24"/>
        </w:rPr>
      </w:pPr>
      <w:r w:rsidRPr="00EE4846">
        <w:rPr>
          <w:rFonts w:ascii="David" w:hAnsi="David" w:cs="David"/>
          <w:sz w:val="24"/>
          <w:szCs w:val="24"/>
          <w:rtl/>
        </w:rPr>
        <w:t>הידוק המדיניות המוניטרית בזמן רגיש, כאשר משקים רבים עדיין משתקמים מנזקי משבר הקורונה, מעמיד בנקים מרכזיים בפני האתגר לאזן בין הצורך לרסן את האינפלציה לצורך לאפשר המשך התאוששות של הכלכלה תוך שמירה על היציבות הפיננסית.</w:t>
      </w:r>
    </w:p>
    <w:p w:rsidR="00116F0C" w:rsidRPr="00EE4846" w:rsidRDefault="00116F0C" w:rsidP="00116F0C">
      <w:pPr>
        <w:numPr>
          <w:ilvl w:val="0"/>
          <w:numId w:val="3"/>
        </w:numPr>
        <w:spacing w:after="0" w:line="360" w:lineRule="auto"/>
        <w:jc w:val="both"/>
        <w:rPr>
          <w:rFonts w:ascii="David" w:hAnsi="David" w:cs="David"/>
          <w:sz w:val="24"/>
          <w:szCs w:val="24"/>
          <w:rtl/>
        </w:rPr>
      </w:pPr>
      <w:r w:rsidRPr="00EE4846">
        <w:rPr>
          <w:rFonts w:ascii="David" w:hAnsi="David" w:cs="David"/>
          <w:sz w:val="24"/>
          <w:szCs w:val="24"/>
          <w:rtl/>
        </w:rPr>
        <w:t xml:space="preserve">בתקופה הנסקרת נרשמו ירידות שערים בשוק ניירות הערך ועלייה של מרווחי הריבית בין אג"ח החברות לאג"ח הממשלתיות. זאת בהשפעת עלייתה של האינפלציה בישראל ובעולם,  ובעקבותיה עליית הריבית,  ועליית המתח </w:t>
      </w:r>
      <w:proofErr w:type="spellStart"/>
      <w:r w:rsidRPr="00EE4846">
        <w:rPr>
          <w:rFonts w:ascii="David" w:hAnsi="David" w:cs="David"/>
          <w:sz w:val="24"/>
          <w:szCs w:val="24"/>
          <w:rtl/>
        </w:rPr>
        <w:t>הגיאו</w:t>
      </w:r>
      <w:proofErr w:type="spellEnd"/>
      <w:r w:rsidRPr="00EE4846">
        <w:rPr>
          <w:rFonts w:ascii="David" w:hAnsi="David" w:cs="David"/>
          <w:sz w:val="24"/>
          <w:szCs w:val="24"/>
          <w:rtl/>
        </w:rPr>
        <w:t xml:space="preserve">-פוליטי. </w:t>
      </w:r>
    </w:p>
    <w:p w:rsidR="00116F0C" w:rsidRPr="00EE4846" w:rsidRDefault="00116F0C" w:rsidP="00116F0C">
      <w:pPr>
        <w:numPr>
          <w:ilvl w:val="0"/>
          <w:numId w:val="2"/>
        </w:numPr>
        <w:spacing w:after="0" w:line="360" w:lineRule="auto"/>
        <w:jc w:val="both"/>
        <w:rPr>
          <w:rFonts w:ascii="David" w:hAnsi="David" w:cs="David"/>
          <w:sz w:val="24"/>
          <w:szCs w:val="24"/>
        </w:rPr>
      </w:pPr>
      <w:r w:rsidRPr="00EE4846">
        <w:rPr>
          <w:rFonts w:ascii="David" w:hAnsi="David" w:cs="David"/>
          <w:sz w:val="24"/>
          <w:szCs w:val="24"/>
          <w:rtl/>
        </w:rPr>
        <w:t xml:space="preserve">מחירי הדירות עלו בשנת 2021 עלייה חדה, וזו נמשכת גם בתחילת 2022. גם יחס מדד מחירי הדירות למדד מחירי השכירות המשיך לעלות. </w:t>
      </w:r>
    </w:p>
    <w:p w:rsidR="00116F0C" w:rsidRPr="00EE4846" w:rsidRDefault="00116F0C" w:rsidP="00CD296C">
      <w:pPr>
        <w:numPr>
          <w:ilvl w:val="0"/>
          <w:numId w:val="2"/>
        </w:numPr>
        <w:spacing w:after="0" w:line="360" w:lineRule="auto"/>
        <w:jc w:val="both"/>
        <w:rPr>
          <w:rFonts w:ascii="David" w:eastAsia="Calibri" w:hAnsi="David" w:cs="David"/>
          <w:sz w:val="24"/>
          <w:szCs w:val="24"/>
          <w:rtl/>
        </w:rPr>
      </w:pPr>
      <w:r w:rsidRPr="00EE4846">
        <w:rPr>
          <w:rFonts w:ascii="David" w:eastAsia="Calibri" w:hAnsi="David" w:cs="David"/>
          <w:sz w:val="24"/>
          <w:szCs w:val="24"/>
          <w:rtl/>
        </w:rPr>
        <w:lastRenderedPageBreak/>
        <w:t>האשראי למגזר העסקי צמח במהירות בשנת 2021 וברבעון הראשון של 2022, בהובלת האשראי הבנקאי, שהתרחב תוך ירידת הריביות במגזר העסקים הגדולים והבינוניים. התרחבות האשראי העסקי נמשכה גם בחודשים אפריל–מאי 2022, וזאת למרות עלייה של הריביות בכל המגזרים.</w:t>
      </w:r>
    </w:p>
    <w:p w:rsidR="00116F0C" w:rsidRPr="00EE4846" w:rsidRDefault="00116F0C" w:rsidP="00116F0C">
      <w:pPr>
        <w:numPr>
          <w:ilvl w:val="0"/>
          <w:numId w:val="2"/>
        </w:numPr>
        <w:spacing w:after="0" w:line="360" w:lineRule="auto"/>
        <w:jc w:val="both"/>
        <w:rPr>
          <w:rFonts w:ascii="David" w:eastAsia="Calibri" w:hAnsi="David" w:cs="David"/>
          <w:sz w:val="24"/>
          <w:szCs w:val="24"/>
          <w:rtl/>
        </w:rPr>
      </w:pPr>
      <w:r w:rsidRPr="00EE4846">
        <w:rPr>
          <w:rFonts w:ascii="David" w:eastAsia="Calibri" w:hAnsi="David" w:cs="David"/>
          <w:sz w:val="24"/>
          <w:szCs w:val="24"/>
          <w:rtl/>
        </w:rPr>
        <w:t xml:space="preserve">ניתוח נתוני החברות הציבוריות מעלה כי נכון למועד הניתוח, האינדיקטורים לעמידות העסקים מצביעים על איתנות גבוהה וסיכון נמוך, המתבטאים בירידה מסוימת של המינוף ועלייה של כושר ההחזר במרבית הענפים. </w:t>
      </w:r>
    </w:p>
    <w:p w:rsidR="00116F0C" w:rsidRPr="00EE4846" w:rsidRDefault="00116F0C" w:rsidP="00116F0C">
      <w:pPr>
        <w:numPr>
          <w:ilvl w:val="0"/>
          <w:numId w:val="2"/>
        </w:numPr>
        <w:spacing w:after="0" w:line="360" w:lineRule="auto"/>
        <w:jc w:val="both"/>
        <w:rPr>
          <w:rFonts w:ascii="David" w:eastAsia="Calibri" w:hAnsi="David" w:cs="David"/>
          <w:sz w:val="24"/>
          <w:szCs w:val="24"/>
          <w:rtl/>
        </w:rPr>
      </w:pPr>
      <w:r w:rsidRPr="00EE4846">
        <w:rPr>
          <w:rFonts w:ascii="David" w:hAnsi="David" w:cs="David"/>
          <w:sz w:val="24"/>
          <w:szCs w:val="24"/>
          <w:rtl/>
        </w:rPr>
        <w:t>האשראי הבנקאי לענף הבינוי גדל בשנתיים האחרונות בקצב מואץ,</w:t>
      </w:r>
      <w:r w:rsidRPr="00EE4846">
        <w:rPr>
          <w:rFonts w:ascii="David" w:eastAsia="Calibri" w:hAnsi="David" w:cs="David"/>
          <w:sz w:val="24"/>
          <w:szCs w:val="24"/>
          <w:rtl/>
        </w:rPr>
        <w:t xml:space="preserve"> תוך כדי עלייה בתיאבון -לסיכון. </w:t>
      </w:r>
      <w:r w:rsidRPr="00EE4846">
        <w:rPr>
          <w:rFonts w:ascii="David" w:hAnsi="David" w:cs="David"/>
          <w:sz w:val="24"/>
          <w:szCs w:val="24"/>
          <w:rtl/>
        </w:rPr>
        <w:t xml:space="preserve">חלק מרכזי של גידול האשראי נועד למימון קרקעות בשיעורי מימון גבוהים ובמחירים חריגים בהשוואה לעבר, אשר מגלמים ציפייה להמשך עלייתם של מחירי הדירות. במהלך התקופה הנסקרת הורה בנק ישראל לחזק את ניהול הסיכונים בבנקים, בין היתר באמצעות הקצאת הון נוספת בגין מימון קרקעות במינוף גבוה. מדדי העמידות (המינוף וכושר ההחזר) בענף הבינוי והנדל"ן נמוכים מאשר בשאר הענפים. </w:t>
      </w:r>
    </w:p>
    <w:p w:rsidR="00116F0C" w:rsidRPr="00EE4846" w:rsidRDefault="00116F0C" w:rsidP="00116F0C">
      <w:pPr>
        <w:numPr>
          <w:ilvl w:val="0"/>
          <w:numId w:val="4"/>
        </w:numPr>
        <w:spacing w:after="0" w:line="360" w:lineRule="auto"/>
        <w:jc w:val="both"/>
        <w:rPr>
          <w:rFonts w:ascii="David" w:hAnsi="David" w:cs="David"/>
          <w:sz w:val="24"/>
          <w:szCs w:val="24"/>
          <w:rtl/>
        </w:rPr>
      </w:pPr>
      <w:r w:rsidRPr="00EE4846">
        <w:rPr>
          <w:rFonts w:ascii="David" w:hAnsi="David" w:cs="David"/>
          <w:sz w:val="24"/>
          <w:szCs w:val="24"/>
          <w:rtl/>
        </w:rPr>
        <w:t>נמשכה מגמת ההתרחבות של האשראי למשקי הבית, לדיור ולא לדיור, לצד עלייתן של הריביות החל מחודש מרץ. איכות האשראי, הנמדדת כשיעור האשראי בפיגור והאשראי הפגום, טובה בהסתכלות היסטורית.</w:t>
      </w:r>
    </w:p>
    <w:p w:rsidR="00116F0C" w:rsidRPr="00EE4846" w:rsidRDefault="00116F0C" w:rsidP="00116F0C">
      <w:pPr>
        <w:numPr>
          <w:ilvl w:val="1"/>
          <w:numId w:val="5"/>
        </w:numPr>
        <w:spacing w:after="0" w:line="360" w:lineRule="auto"/>
        <w:jc w:val="both"/>
        <w:rPr>
          <w:rFonts w:ascii="David" w:hAnsi="David" w:cs="David"/>
          <w:sz w:val="24"/>
          <w:szCs w:val="24"/>
          <w:rtl/>
        </w:rPr>
      </w:pPr>
      <w:r w:rsidRPr="00EE4846">
        <w:rPr>
          <w:rFonts w:ascii="David" w:hAnsi="David" w:cs="David"/>
          <w:sz w:val="24"/>
          <w:szCs w:val="24"/>
          <w:rtl/>
        </w:rPr>
        <w:t>העלייה בביצועי המשכנתאות לוותה בעלייה של שיעור המימון ושיעור ההחזר מההכנסה הפנויה. כ-15% מהמשכנתאות נלקחות יחד עם הלוואה צרכנית סמוכה ללקיחת המשכנתא.</w:t>
      </w:r>
    </w:p>
    <w:p w:rsidR="00116F0C" w:rsidRPr="00EE4846" w:rsidRDefault="00116F0C" w:rsidP="00116F0C">
      <w:pPr>
        <w:numPr>
          <w:ilvl w:val="1"/>
          <w:numId w:val="5"/>
        </w:numPr>
        <w:spacing w:after="0" w:line="360" w:lineRule="auto"/>
        <w:jc w:val="both"/>
        <w:rPr>
          <w:rFonts w:ascii="David" w:hAnsi="David" w:cs="David"/>
          <w:sz w:val="24"/>
          <w:szCs w:val="24"/>
          <w:rtl/>
        </w:rPr>
      </w:pPr>
      <w:r w:rsidRPr="00EE4846">
        <w:rPr>
          <w:rFonts w:ascii="David" w:hAnsi="David" w:cs="David"/>
          <w:sz w:val="24"/>
          <w:szCs w:val="24"/>
          <w:rtl/>
        </w:rPr>
        <w:t xml:space="preserve">כמחצית ממסגרות </w:t>
      </w:r>
      <w:proofErr w:type="spellStart"/>
      <w:r w:rsidRPr="00EE4846">
        <w:rPr>
          <w:rFonts w:ascii="David" w:hAnsi="David" w:cs="David"/>
          <w:sz w:val="24"/>
          <w:szCs w:val="24"/>
          <w:rtl/>
        </w:rPr>
        <w:t>העו"ש</w:t>
      </w:r>
      <w:proofErr w:type="spellEnd"/>
      <w:r w:rsidRPr="00EE4846">
        <w:rPr>
          <w:rFonts w:ascii="David" w:hAnsi="David" w:cs="David"/>
          <w:sz w:val="24"/>
          <w:szCs w:val="24"/>
          <w:rtl/>
        </w:rPr>
        <w:t xml:space="preserve"> הקיימות היו בפברואר 2022 במצב של משיכת יתר, וכרבע מסך המסגרות היו במצב של משיכת יתר מתמשכת. שיעורים אלה נמוכים בהשוואה לשנים קודמות, לפני פרוץ משבר הקורונה.</w:t>
      </w:r>
    </w:p>
    <w:p w:rsidR="00116F0C" w:rsidRPr="00EE4846" w:rsidRDefault="00116F0C" w:rsidP="00116F0C">
      <w:pPr>
        <w:numPr>
          <w:ilvl w:val="0"/>
          <w:numId w:val="5"/>
        </w:numPr>
        <w:spacing w:after="200" w:line="360" w:lineRule="auto"/>
        <w:contextualSpacing/>
        <w:jc w:val="both"/>
        <w:rPr>
          <w:rFonts w:ascii="David" w:hAnsi="David" w:cs="David"/>
          <w:sz w:val="24"/>
          <w:szCs w:val="24"/>
        </w:rPr>
      </w:pPr>
      <w:r w:rsidRPr="00EE4846">
        <w:rPr>
          <w:rFonts w:ascii="David" w:hAnsi="David" w:cs="David"/>
          <w:sz w:val="24"/>
          <w:szCs w:val="24"/>
          <w:rtl/>
        </w:rPr>
        <w:t xml:space="preserve">בחודשים האחרונים ירדה רמת הנזילות בשוק </w:t>
      </w:r>
      <w:proofErr w:type="spellStart"/>
      <w:r w:rsidRPr="00EE4846">
        <w:rPr>
          <w:rFonts w:ascii="David" w:hAnsi="David" w:cs="David"/>
          <w:sz w:val="24"/>
          <w:szCs w:val="24"/>
          <w:rtl/>
        </w:rPr>
        <w:t>האג"ח</w:t>
      </w:r>
      <w:proofErr w:type="spellEnd"/>
      <w:r w:rsidRPr="00EE4846">
        <w:rPr>
          <w:rFonts w:ascii="David" w:hAnsi="David" w:cs="David"/>
          <w:sz w:val="24"/>
          <w:szCs w:val="24"/>
          <w:rtl/>
        </w:rPr>
        <w:t xml:space="preserve"> הממשלתיות, בדומה להתפתחויות במדינות רבות. בשוק אג"ח החברות התופעה מתונה יותר, ובשוק המניות רמת הנזילות נותרה יציבה. </w:t>
      </w:r>
    </w:p>
    <w:p w:rsidR="00116F0C" w:rsidRPr="00EE4846" w:rsidRDefault="00116F0C" w:rsidP="00116F0C">
      <w:pPr>
        <w:numPr>
          <w:ilvl w:val="0"/>
          <w:numId w:val="5"/>
        </w:numPr>
        <w:spacing w:after="200" w:line="360" w:lineRule="auto"/>
        <w:contextualSpacing/>
        <w:jc w:val="both"/>
        <w:rPr>
          <w:rFonts w:ascii="David" w:hAnsi="David" w:cs="David"/>
          <w:sz w:val="24"/>
          <w:szCs w:val="24"/>
        </w:rPr>
      </w:pPr>
      <w:r w:rsidRPr="00EE4846">
        <w:rPr>
          <w:rFonts w:ascii="David" w:hAnsi="David" w:cs="David"/>
          <w:sz w:val="24"/>
          <w:szCs w:val="24"/>
          <w:rtl/>
        </w:rPr>
        <w:t xml:space="preserve">הגופים הפיננסיים, ובראשם הבנקים וחברות הביטוח, שמרו בתקופה הנסקרת על יציבות, תוך גידול ברווחים. </w:t>
      </w:r>
    </w:p>
    <w:p w:rsidR="00116F0C" w:rsidRPr="00EE4846" w:rsidRDefault="00116F0C" w:rsidP="00116F0C">
      <w:pPr>
        <w:numPr>
          <w:ilvl w:val="0"/>
          <w:numId w:val="5"/>
        </w:numPr>
        <w:spacing w:after="200" w:line="360" w:lineRule="auto"/>
        <w:contextualSpacing/>
        <w:jc w:val="both"/>
        <w:rPr>
          <w:rFonts w:ascii="David" w:hAnsi="David" w:cs="David"/>
          <w:sz w:val="24"/>
          <w:szCs w:val="24"/>
          <w:rtl/>
        </w:rPr>
      </w:pPr>
      <w:r w:rsidRPr="00EE4846">
        <w:rPr>
          <w:rFonts w:ascii="David" w:hAnsi="David" w:cs="David"/>
          <w:sz w:val="24"/>
          <w:szCs w:val="24"/>
          <w:rtl/>
        </w:rPr>
        <w:t xml:space="preserve">תרחישי הסיכון העיקריים מתמקדים בהתמתנות הפעילות הגלובלית כתוצאה מהידוק המדיניות המוניטרית, המתחייב מעליית האינפלציה; בהמשך חוסר הוודאות הפוליטית בישראל; ובירידת האיכות של האשראי היזמי בענף הבנייה. </w:t>
      </w:r>
    </w:p>
    <w:p w:rsidR="00116F0C" w:rsidRDefault="00116F0C"/>
    <w:sectPr w:rsidR="00116F0C" w:rsidSect="00B30CA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634" w:rsidRDefault="00934634" w:rsidP="00D8598E">
      <w:pPr>
        <w:spacing w:after="0" w:line="240" w:lineRule="auto"/>
      </w:pPr>
      <w:r>
        <w:separator/>
      </w:r>
    </w:p>
  </w:endnote>
  <w:endnote w:type="continuationSeparator" w:id="0">
    <w:p w:rsidR="00934634" w:rsidRDefault="00934634" w:rsidP="00D85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98E" w:rsidRDefault="00D8598E">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98E" w:rsidRDefault="00D8598E">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98E" w:rsidRDefault="00D8598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634" w:rsidRDefault="00934634" w:rsidP="00D8598E">
      <w:pPr>
        <w:spacing w:after="0" w:line="240" w:lineRule="auto"/>
      </w:pPr>
      <w:r>
        <w:separator/>
      </w:r>
    </w:p>
  </w:footnote>
  <w:footnote w:type="continuationSeparator" w:id="0">
    <w:p w:rsidR="00934634" w:rsidRDefault="00934634" w:rsidP="00D85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98E" w:rsidRDefault="00D8598E">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98E" w:rsidRDefault="00D8598E">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98E" w:rsidRDefault="00D8598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3240C"/>
    <w:multiLevelType w:val="hybridMultilevel"/>
    <w:tmpl w:val="E592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A5E95"/>
    <w:multiLevelType w:val="hybridMultilevel"/>
    <w:tmpl w:val="B8286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235677"/>
    <w:multiLevelType w:val="hybridMultilevel"/>
    <w:tmpl w:val="C41A8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A01B18"/>
    <w:multiLevelType w:val="hybridMultilevel"/>
    <w:tmpl w:val="7C94C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7E2804"/>
    <w:multiLevelType w:val="hybridMultilevel"/>
    <w:tmpl w:val="9F980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F0C"/>
    <w:rsid w:val="00116F0C"/>
    <w:rsid w:val="0026017C"/>
    <w:rsid w:val="002E6766"/>
    <w:rsid w:val="003D4B79"/>
    <w:rsid w:val="0054188D"/>
    <w:rsid w:val="00904320"/>
    <w:rsid w:val="00934634"/>
    <w:rsid w:val="009C4D23"/>
    <w:rsid w:val="00B30CA0"/>
    <w:rsid w:val="00B75FF3"/>
    <w:rsid w:val="00CD296C"/>
    <w:rsid w:val="00D8598E"/>
    <w:rsid w:val="00EE4846"/>
    <w:rsid w:val="00EF462A"/>
    <w:rsid w:val="00F202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98E"/>
    <w:pPr>
      <w:tabs>
        <w:tab w:val="center" w:pos="4153"/>
        <w:tab w:val="right" w:pos="8306"/>
      </w:tabs>
      <w:spacing w:after="0" w:line="240" w:lineRule="auto"/>
    </w:pPr>
  </w:style>
  <w:style w:type="character" w:customStyle="1" w:styleId="a4">
    <w:name w:val="כותרת עליונה תו"/>
    <w:basedOn w:val="a0"/>
    <w:link w:val="a3"/>
    <w:uiPriority w:val="99"/>
    <w:rsid w:val="00D8598E"/>
  </w:style>
  <w:style w:type="paragraph" w:styleId="a5">
    <w:name w:val="footer"/>
    <w:basedOn w:val="a"/>
    <w:link w:val="a6"/>
    <w:uiPriority w:val="99"/>
    <w:unhideWhenUsed/>
    <w:rsid w:val="00D8598E"/>
    <w:pPr>
      <w:tabs>
        <w:tab w:val="center" w:pos="4153"/>
        <w:tab w:val="right" w:pos="8306"/>
      </w:tabs>
      <w:spacing w:after="0" w:line="240" w:lineRule="auto"/>
    </w:pPr>
  </w:style>
  <w:style w:type="character" w:customStyle="1" w:styleId="a6">
    <w:name w:val="כותרת תחתונה תו"/>
    <w:basedOn w:val="a0"/>
    <w:link w:val="a5"/>
    <w:uiPriority w:val="99"/>
    <w:rsid w:val="00D8598E"/>
  </w:style>
  <w:style w:type="paragraph" w:styleId="a7">
    <w:name w:val="Balloon Text"/>
    <w:basedOn w:val="a"/>
    <w:link w:val="a8"/>
    <w:uiPriority w:val="99"/>
    <w:semiHidden/>
    <w:unhideWhenUsed/>
    <w:rsid w:val="0026017C"/>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26017C"/>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593524C5-8BE1-41A7-B7C7-8F7108A8990D}"/>
</file>

<file path=customXml/itemProps2.xml><?xml version="1.0" encoding="utf-8"?>
<ds:datastoreItem xmlns:ds="http://schemas.openxmlformats.org/officeDocument/2006/customXml" ds:itemID="{45DE1EB0-BD00-4773-A2EF-0B817915FD3A}"/>
</file>

<file path=customXml/itemProps3.xml><?xml version="1.0" encoding="utf-8"?>
<ds:datastoreItem xmlns:ds="http://schemas.openxmlformats.org/officeDocument/2006/customXml" ds:itemID="{36B85DBA-10CC-4D86-AB79-DF28EC846C0E}"/>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3116</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2022-08-10T10:57:00Z</dcterms:created>
  <dcterms:modified xsi:type="dcterms:W3CDTF">2022-08-10T10:57:00Z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