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D0" w:rsidRPr="0072334B" w:rsidRDefault="00331AD0" w:rsidP="00EA2621">
      <w:pPr>
        <w:spacing w:before="120"/>
        <w:jc w:val="center"/>
        <w:rPr>
          <w:rFonts w:asciiTheme="minorHAnsi" w:hAnsiTheme="minorHAnsi" w:cstheme="minorHAnsi"/>
          <w:b/>
          <w:bCs/>
          <w:sz w:val="22"/>
          <w:szCs w:val="22"/>
          <w:u w:val="single"/>
          <w:rtl/>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331AD0" w:rsidRPr="0072334B" w:rsidTr="00E13DF9">
        <w:tc>
          <w:tcPr>
            <w:tcW w:w="3343" w:type="dxa"/>
            <w:tcBorders>
              <w:top w:val="nil"/>
              <w:left w:val="nil"/>
              <w:bottom w:val="nil"/>
              <w:right w:val="nil"/>
            </w:tcBorders>
            <w:vAlign w:val="center"/>
          </w:tcPr>
          <w:p w:rsidR="00331AD0" w:rsidRPr="0072334B" w:rsidRDefault="00331AD0" w:rsidP="00E13DF9">
            <w:pPr>
              <w:spacing w:line="276" w:lineRule="auto"/>
              <w:jc w:val="center"/>
              <w:rPr>
                <w:rFonts w:asciiTheme="minorHAnsi" w:hAnsiTheme="minorHAnsi" w:cstheme="minorHAnsi"/>
                <w:b/>
                <w:bCs/>
                <w:rtl/>
              </w:rPr>
            </w:pPr>
            <w:r w:rsidRPr="0072334B">
              <w:rPr>
                <w:rFonts w:asciiTheme="minorHAnsi" w:hAnsiTheme="minorHAnsi" w:cstheme="minorHAnsi"/>
                <w:b/>
                <w:bCs/>
                <w:rtl/>
              </w:rPr>
              <w:t>בנק ישראל</w:t>
            </w:r>
          </w:p>
          <w:p w:rsidR="00331AD0" w:rsidRPr="0072334B" w:rsidRDefault="00331AD0" w:rsidP="00E13DF9">
            <w:pPr>
              <w:spacing w:line="276" w:lineRule="auto"/>
              <w:jc w:val="center"/>
              <w:rPr>
                <w:rFonts w:asciiTheme="minorHAnsi" w:hAnsiTheme="minorHAnsi" w:cstheme="minorHAnsi"/>
                <w:b/>
                <w:bCs/>
              </w:rPr>
            </w:pPr>
            <w:r w:rsidRPr="0072334B">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331AD0" w:rsidRPr="0072334B" w:rsidRDefault="00331AD0" w:rsidP="00E13DF9">
            <w:pPr>
              <w:jc w:val="center"/>
              <w:rPr>
                <w:rFonts w:asciiTheme="minorHAnsi" w:hAnsiTheme="minorHAnsi" w:cstheme="minorHAnsi"/>
              </w:rPr>
            </w:pPr>
            <w:r w:rsidRPr="0072334B">
              <w:rPr>
                <w:rFonts w:asciiTheme="minorHAnsi" w:hAnsiTheme="minorHAnsi" w:cstheme="minorHAnsi"/>
                <w:noProof/>
              </w:rPr>
              <w:drawing>
                <wp:inline distT="0" distB="0" distL="0" distR="0" wp14:anchorId="3DF1FACE" wp14:editId="072F770C">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331AD0" w:rsidRPr="0072334B" w:rsidRDefault="00331AD0" w:rsidP="00E13DF9">
            <w:pPr>
              <w:spacing w:line="276" w:lineRule="auto"/>
              <w:jc w:val="center"/>
              <w:rPr>
                <w:rFonts w:asciiTheme="minorHAnsi" w:hAnsiTheme="minorHAnsi" w:cstheme="minorHAnsi"/>
                <w:rtl/>
              </w:rPr>
            </w:pPr>
            <w:r w:rsidRPr="0072334B">
              <w:rPr>
                <w:rFonts w:asciiTheme="minorHAnsi" w:hAnsiTheme="minorHAnsi" w:cstheme="minorHAnsi"/>
                <w:highlight w:val="green"/>
                <w:rtl/>
              </w:rPr>
              <w:t>‏</w:t>
            </w:r>
            <w:r w:rsidRPr="0072334B">
              <w:rPr>
                <w:rFonts w:asciiTheme="minorHAnsi" w:hAnsiTheme="minorHAnsi" w:cstheme="minorHAnsi"/>
                <w:rtl/>
              </w:rPr>
              <w:t xml:space="preserve">ירושלים, </w:t>
            </w:r>
            <w:r w:rsidRPr="0072334B">
              <w:rPr>
                <w:rFonts w:asciiTheme="minorHAnsi" w:hAnsiTheme="minorHAnsi" w:cstheme="minorHAnsi"/>
                <w:rtl/>
              </w:rPr>
              <w:fldChar w:fldCharType="begin"/>
            </w:r>
            <w:r w:rsidRPr="0072334B">
              <w:rPr>
                <w:rFonts w:asciiTheme="minorHAnsi" w:hAnsiTheme="minorHAnsi" w:cstheme="minorHAnsi"/>
                <w:rtl/>
              </w:rPr>
              <w:instrText xml:space="preserve"> </w:instrText>
            </w:r>
            <w:r w:rsidRPr="0072334B">
              <w:rPr>
                <w:rFonts w:asciiTheme="minorHAnsi" w:hAnsiTheme="minorHAnsi" w:cstheme="minorHAnsi"/>
              </w:rPr>
              <w:instrText>DATE</w:instrText>
            </w:r>
            <w:r w:rsidRPr="0072334B">
              <w:rPr>
                <w:rFonts w:asciiTheme="minorHAnsi" w:hAnsiTheme="minorHAnsi" w:cstheme="minorHAnsi"/>
                <w:rtl/>
              </w:rPr>
              <w:instrText xml:space="preserve"> \@ "</w:instrText>
            </w:r>
            <w:r w:rsidRPr="0072334B">
              <w:rPr>
                <w:rFonts w:asciiTheme="minorHAnsi" w:hAnsiTheme="minorHAnsi" w:cstheme="minorHAnsi"/>
              </w:rPr>
              <w:instrText>d MMMM, yyyy" \h</w:instrText>
            </w:r>
            <w:r w:rsidRPr="0072334B">
              <w:rPr>
                <w:rFonts w:asciiTheme="minorHAnsi" w:hAnsiTheme="minorHAnsi" w:cstheme="minorHAnsi"/>
                <w:rtl/>
              </w:rPr>
              <w:instrText xml:space="preserve"> </w:instrText>
            </w:r>
            <w:r w:rsidRPr="0072334B">
              <w:rPr>
                <w:rFonts w:asciiTheme="minorHAnsi" w:hAnsiTheme="minorHAnsi" w:cstheme="minorHAnsi"/>
                <w:rtl/>
              </w:rPr>
              <w:fldChar w:fldCharType="separate"/>
            </w:r>
            <w:r w:rsidR="0072334B" w:rsidRPr="0072334B">
              <w:rPr>
                <w:rFonts w:asciiTheme="minorHAnsi" w:hAnsiTheme="minorHAnsi" w:cstheme="minorHAnsi"/>
                <w:noProof/>
                <w:rtl/>
              </w:rPr>
              <w:t>‏י"ט אייר, תשפ"ו</w:t>
            </w:r>
            <w:r w:rsidRPr="0072334B">
              <w:rPr>
                <w:rFonts w:asciiTheme="minorHAnsi" w:hAnsiTheme="minorHAnsi" w:cstheme="minorHAnsi"/>
                <w:rtl/>
              </w:rPr>
              <w:fldChar w:fldCharType="end"/>
            </w:r>
          </w:p>
          <w:p w:rsidR="00331AD0" w:rsidRPr="0072334B" w:rsidRDefault="00331AD0" w:rsidP="00E13DF9">
            <w:pPr>
              <w:spacing w:line="276" w:lineRule="auto"/>
              <w:jc w:val="center"/>
              <w:rPr>
                <w:rFonts w:asciiTheme="minorHAnsi" w:hAnsiTheme="minorHAnsi" w:cstheme="minorHAnsi"/>
                <w:highlight w:val="green"/>
              </w:rPr>
            </w:pPr>
            <w:r w:rsidRPr="0072334B">
              <w:rPr>
                <w:rFonts w:asciiTheme="minorHAnsi" w:hAnsiTheme="minorHAnsi" w:cstheme="minorHAnsi"/>
                <w:rtl/>
              </w:rPr>
              <w:fldChar w:fldCharType="begin"/>
            </w:r>
            <w:r w:rsidRPr="0072334B">
              <w:rPr>
                <w:rFonts w:asciiTheme="minorHAnsi" w:hAnsiTheme="minorHAnsi" w:cstheme="minorHAnsi"/>
                <w:rtl/>
              </w:rPr>
              <w:instrText xml:space="preserve"> </w:instrText>
            </w:r>
            <w:r w:rsidRPr="0072334B">
              <w:rPr>
                <w:rFonts w:asciiTheme="minorHAnsi" w:hAnsiTheme="minorHAnsi" w:cstheme="minorHAnsi"/>
              </w:rPr>
              <w:instrText>DATE</w:instrText>
            </w:r>
            <w:r w:rsidRPr="0072334B">
              <w:rPr>
                <w:rFonts w:asciiTheme="minorHAnsi" w:hAnsiTheme="minorHAnsi" w:cstheme="minorHAnsi"/>
                <w:rtl/>
              </w:rPr>
              <w:instrText xml:space="preserve"> \@ "</w:instrText>
            </w:r>
            <w:r w:rsidRPr="0072334B">
              <w:rPr>
                <w:rFonts w:asciiTheme="minorHAnsi" w:hAnsiTheme="minorHAnsi" w:cstheme="minorHAnsi"/>
              </w:rPr>
              <w:instrText>d MMMM, yyyy</w:instrText>
            </w:r>
            <w:r w:rsidRPr="0072334B">
              <w:rPr>
                <w:rFonts w:asciiTheme="minorHAnsi" w:hAnsiTheme="minorHAnsi" w:cstheme="minorHAnsi"/>
                <w:rtl/>
              </w:rPr>
              <w:instrText xml:space="preserve">" </w:instrText>
            </w:r>
            <w:r w:rsidRPr="0072334B">
              <w:rPr>
                <w:rFonts w:asciiTheme="minorHAnsi" w:hAnsiTheme="minorHAnsi" w:cstheme="minorHAnsi"/>
                <w:rtl/>
              </w:rPr>
              <w:fldChar w:fldCharType="separate"/>
            </w:r>
            <w:r w:rsidR="0072334B" w:rsidRPr="0072334B">
              <w:rPr>
                <w:rFonts w:asciiTheme="minorHAnsi" w:hAnsiTheme="minorHAnsi" w:cstheme="minorHAnsi"/>
                <w:noProof/>
                <w:rtl/>
              </w:rPr>
              <w:t>‏6 מאי, 2026</w:t>
            </w:r>
            <w:r w:rsidRPr="0072334B">
              <w:rPr>
                <w:rFonts w:asciiTheme="minorHAnsi" w:hAnsiTheme="minorHAnsi" w:cstheme="minorHAnsi"/>
                <w:rtl/>
              </w:rPr>
              <w:fldChar w:fldCharType="end"/>
            </w:r>
          </w:p>
        </w:tc>
      </w:tr>
    </w:tbl>
    <w:p w:rsidR="00331AD0" w:rsidRPr="0072334B" w:rsidRDefault="00B0133B" w:rsidP="00331AD0">
      <w:pPr>
        <w:spacing w:before="120"/>
        <w:jc w:val="left"/>
        <w:rPr>
          <w:rFonts w:asciiTheme="minorHAnsi" w:hAnsiTheme="minorHAnsi" w:cstheme="minorHAnsi"/>
          <w:sz w:val="22"/>
          <w:szCs w:val="22"/>
          <w:rtl/>
        </w:rPr>
      </w:pPr>
      <w:r w:rsidRPr="0072334B">
        <w:rPr>
          <w:rFonts w:asciiTheme="minorHAnsi" w:hAnsiTheme="minorHAnsi" w:cstheme="minorHAnsi"/>
          <w:sz w:val="22"/>
          <w:szCs w:val="22"/>
          <w:rtl/>
        </w:rPr>
        <w:t>הודעה לעיתונות:</w:t>
      </w:r>
    </w:p>
    <w:p w:rsidR="00A92CDF" w:rsidRPr="0072334B" w:rsidRDefault="00B0133B" w:rsidP="00331AD0">
      <w:pPr>
        <w:spacing w:before="120"/>
        <w:jc w:val="center"/>
        <w:rPr>
          <w:rFonts w:asciiTheme="minorHAnsi" w:hAnsiTheme="minorHAnsi" w:cstheme="minorHAnsi"/>
          <w:b/>
          <w:bCs/>
          <w:sz w:val="28"/>
          <w:szCs w:val="28"/>
          <w:rtl/>
        </w:rPr>
      </w:pPr>
      <w:r w:rsidRPr="0072334B">
        <w:rPr>
          <w:rFonts w:asciiTheme="minorHAnsi" w:hAnsiTheme="minorHAnsi" w:cstheme="minorHAnsi"/>
          <w:b/>
          <w:bCs/>
          <w:sz w:val="28"/>
          <w:szCs w:val="28"/>
          <w:rtl/>
        </w:rPr>
        <w:t xml:space="preserve">עמדת בנק ישראל בנוגע </w:t>
      </w:r>
      <w:r w:rsidR="007F5326" w:rsidRPr="0072334B">
        <w:rPr>
          <w:rFonts w:asciiTheme="minorHAnsi" w:hAnsiTheme="minorHAnsi" w:cstheme="minorHAnsi"/>
          <w:b/>
          <w:bCs/>
          <w:sz w:val="28"/>
          <w:szCs w:val="28"/>
          <w:rtl/>
        </w:rPr>
        <w:t xml:space="preserve">להכרזת </w:t>
      </w:r>
      <w:bookmarkStart w:id="0" w:name="_GoBack"/>
      <w:bookmarkEnd w:id="0"/>
      <w:r w:rsidRPr="0072334B">
        <w:rPr>
          <w:rFonts w:asciiTheme="minorHAnsi" w:hAnsiTheme="minorHAnsi" w:cstheme="minorHAnsi"/>
          <w:b/>
          <w:bCs/>
          <w:sz w:val="28"/>
          <w:szCs w:val="28"/>
          <w:rtl/>
        </w:rPr>
        <w:t>הממונה על התחרות על חמש הקבוצות הבנקאיות כקבוצת ריכוז</w:t>
      </w:r>
      <w:r w:rsidR="00467B6E" w:rsidRPr="0072334B">
        <w:rPr>
          <w:rFonts w:asciiTheme="minorHAnsi" w:hAnsiTheme="minorHAnsi" w:cstheme="minorHAnsi"/>
          <w:b/>
          <w:bCs/>
          <w:sz w:val="28"/>
          <w:szCs w:val="28"/>
          <w:rtl/>
        </w:rPr>
        <w:t xml:space="preserve"> ומתן הוראות </w:t>
      </w:r>
      <w:r w:rsidR="00EA2621" w:rsidRPr="0072334B">
        <w:rPr>
          <w:rFonts w:asciiTheme="minorHAnsi" w:hAnsiTheme="minorHAnsi" w:cstheme="minorHAnsi"/>
          <w:b/>
          <w:bCs/>
          <w:sz w:val="28"/>
          <w:szCs w:val="28"/>
          <w:rtl/>
        </w:rPr>
        <w:t>בתחום הפיקדונות</w:t>
      </w:r>
    </w:p>
    <w:p w:rsidR="00AC7DFA" w:rsidRPr="0072334B" w:rsidRDefault="0057388F" w:rsidP="002B1AD6">
      <w:pPr>
        <w:spacing w:before="240"/>
        <w:rPr>
          <w:rStyle w:val="ng-star-inserted"/>
          <w:rFonts w:asciiTheme="minorHAnsi" w:hAnsiTheme="minorHAnsi" w:cstheme="minorHAnsi"/>
          <w:shd w:val="clear" w:color="auto" w:fill="FFFFFF"/>
          <w:rtl/>
        </w:rPr>
      </w:pPr>
      <w:r w:rsidRPr="0072334B">
        <w:rPr>
          <w:rStyle w:val="ng-star-inserted"/>
          <w:rFonts w:asciiTheme="minorHAnsi" w:hAnsiTheme="minorHAnsi" w:cstheme="minorHAnsi"/>
          <w:shd w:val="clear" w:color="auto" w:fill="FFFFFF"/>
          <w:rtl/>
        </w:rPr>
        <w:t xml:space="preserve">בנק ישראל </w:t>
      </w:r>
      <w:r w:rsidR="0087503B" w:rsidRPr="0072334B">
        <w:rPr>
          <w:rStyle w:val="ng-star-inserted"/>
          <w:rFonts w:asciiTheme="minorHAnsi" w:hAnsiTheme="minorHAnsi" w:cstheme="minorHAnsi"/>
          <w:shd w:val="clear" w:color="auto" w:fill="FFFFFF"/>
          <w:rtl/>
        </w:rPr>
        <w:t xml:space="preserve">רואה </w:t>
      </w:r>
      <w:r w:rsidRPr="0072334B">
        <w:rPr>
          <w:rStyle w:val="ng-star-inserted"/>
          <w:rFonts w:asciiTheme="minorHAnsi" w:hAnsiTheme="minorHAnsi" w:cstheme="minorHAnsi"/>
          <w:b/>
          <w:bCs/>
          <w:shd w:val="clear" w:color="auto" w:fill="FFFFFF"/>
          <w:rtl/>
        </w:rPr>
        <w:t xml:space="preserve">חשיבות רבה בקידום התחרות </w:t>
      </w:r>
      <w:r w:rsidR="00417FAD" w:rsidRPr="0072334B">
        <w:rPr>
          <w:rStyle w:val="ng-star-inserted"/>
          <w:rFonts w:asciiTheme="minorHAnsi" w:hAnsiTheme="minorHAnsi" w:cstheme="minorHAnsi"/>
          <w:b/>
          <w:bCs/>
          <w:shd w:val="clear" w:color="auto" w:fill="FFFFFF"/>
          <w:rtl/>
        </w:rPr>
        <w:t xml:space="preserve">וההוגנות </w:t>
      </w:r>
      <w:r w:rsidRPr="0072334B">
        <w:rPr>
          <w:rStyle w:val="ng-star-inserted"/>
          <w:rFonts w:asciiTheme="minorHAnsi" w:hAnsiTheme="minorHAnsi" w:cstheme="minorHAnsi"/>
          <w:b/>
          <w:bCs/>
          <w:shd w:val="clear" w:color="auto" w:fill="FFFFFF"/>
          <w:rtl/>
        </w:rPr>
        <w:t xml:space="preserve">במערכת </w:t>
      </w:r>
      <w:r w:rsidR="005B1F28" w:rsidRPr="0072334B">
        <w:rPr>
          <w:rStyle w:val="ng-star-inserted"/>
          <w:rFonts w:asciiTheme="minorHAnsi" w:hAnsiTheme="minorHAnsi" w:cstheme="minorHAnsi"/>
          <w:b/>
          <w:bCs/>
          <w:shd w:val="clear" w:color="auto" w:fill="FFFFFF"/>
          <w:rtl/>
        </w:rPr>
        <w:t>הפיננסית</w:t>
      </w:r>
      <w:r w:rsidRPr="0072334B">
        <w:rPr>
          <w:rStyle w:val="ng-star-inserted"/>
          <w:rFonts w:asciiTheme="minorHAnsi" w:hAnsiTheme="minorHAnsi" w:cstheme="minorHAnsi"/>
          <w:b/>
          <w:bCs/>
          <w:shd w:val="clear" w:color="auto" w:fill="FFFFFF"/>
          <w:rtl/>
        </w:rPr>
        <w:t xml:space="preserve">, </w:t>
      </w:r>
      <w:r w:rsidR="0087503B" w:rsidRPr="0072334B">
        <w:rPr>
          <w:rStyle w:val="ng-star-inserted"/>
          <w:rFonts w:asciiTheme="minorHAnsi" w:hAnsiTheme="minorHAnsi" w:cstheme="minorHAnsi"/>
          <w:b/>
          <w:bCs/>
          <w:shd w:val="clear" w:color="auto" w:fill="FFFFFF"/>
          <w:rtl/>
        </w:rPr>
        <w:t>ופועל</w:t>
      </w:r>
      <w:r w:rsidRPr="0072334B">
        <w:rPr>
          <w:rStyle w:val="ng-star-inserted"/>
          <w:rFonts w:asciiTheme="minorHAnsi" w:hAnsiTheme="minorHAnsi" w:cstheme="minorHAnsi"/>
          <w:b/>
          <w:bCs/>
          <w:shd w:val="clear" w:color="auto" w:fill="FFFFFF"/>
          <w:rtl/>
        </w:rPr>
        <w:t xml:space="preserve"> לאורך השנים לקידום רפורמות משמעותיות בתחום זה</w:t>
      </w:r>
      <w:r w:rsidR="00B45267" w:rsidRPr="0072334B">
        <w:rPr>
          <w:rStyle w:val="ng-star-inserted"/>
          <w:rFonts w:asciiTheme="minorHAnsi" w:hAnsiTheme="minorHAnsi" w:cstheme="minorHAnsi"/>
          <w:shd w:val="clear" w:color="auto" w:fill="FFFFFF"/>
          <w:rtl/>
        </w:rPr>
        <w:t>. הרפורמות האמורות נועדו</w:t>
      </w:r>
      <w:r w:rsidR="003E2A17" w:rsidRPr="0072334B">
        <w:rPr>
          <w:rStyle w:val="ng-star-inserted"/>
          <w:rFonts w:asciiTheme="minorHAnsi" w:hAnsiTheme="minorHAnsi" w:cstheme="minorHAnsi"/>
          <w:shd w:val="clear" w:color="auto" w:fill="FFFFFF"/>
          <w:rtl/>
        </w:rPr>
        <w:t>, בין היתר,</w:t>
      </w:r>
      <w:r w:rsidR="00B45267" w:rsidRPr="0072334B">
        <w:rPr>
          <w:rStyle w:val="ng-star-inserted"/>
          <w:rFonts w:asciiTheme="minorHAnsi" w:hAnsiTheme="minorHAnsi" w:cstheme="minorHAnsi"/>
          <w:shd w:val="clear" w:color="auto" w:fill="FFFFFF"/>
          <w:rtl/>
        </w:rPr>
        <w:t xml:space="preserve"> ל</w:t>
      </w:r>
      <w:r w:rsidR="00B831A0" w:rsidRPr="0072334B">
        <w:rPr>
          <w:rStyle w:val="ng-star-inserted"/>
          <w:rFonts w:asciiTheme="minorHAnsi" w:hAnsiTheme="minorHAnsi" w:cstheme="minorHAnsi"/>
          <w:shd w:val="clear" w:color="auto" w:fill="FFFFFF"/>
          <w:rtl/>
        </w:rPr>
        <w:t xml:space="preserve">חזק את כוחו של הצרכן מול הבנקים, להגביר את השקיפות, להקל על המעבר בין הבנקים ולתמרץ גופים חדשים </w:t>
      </w:r>
      <w:r w:rsidR="00B317D7" w:rsidRPr="0072334B">
        <w:rPr>
          <w:rStyle w:val="ng-star-inserted"/>
          <w:rFonts w:asciiTheme="minorHAnsi" w:hAnsiTheme="minorHAnsi" w:cstheme="minorHAnsi"/>
          <w:shd w:val="clear" w:color="auto" w:fill="FFFFFF"/>
          <w:rtl/>
        </w:rPr>
        <w:t>להיכנס ל</w:t>
      </w:r>
      <w:r w:rsidR="00B831A0" w:rsidRPr="0072334B">
        <w:rPr>
          <w:rStyle w:val="ng-star-inserted"/>
          <w:rFonts w:asciiTheme="minorHAnsi" w:hAnsiTheme="minorHAnsi" w:cstheme="minorHAnsi"/>
          <w:shd w:val="clear" w:color="auto" w:fill="FFFFFF"/>
          <w:rtl/>
        </w:rPr>
        <w:t>עולם הבנקאות</w:t>
      </w:r>
      <w:r w:rsidRPr="0072334B">
        <w:rPr>
          <w:rStyle w:val="ng-star-inserted"/>
          <w:rFonts w:asciiTheme="minorHAnsi" w:hAnsiTheme="minorHAnsi" w:cstheme="minorHAnsi"/>
          <w:shd w:val="clear" w:color="auto" w:fill="FFFFFF"/>
          <w:rtl/>
        </w:rPr>
        <w:t>.</w:t>
      </w:r>
      <w:r w:rsidR="00B831A0" w:rsidRPr="0072334B">
        <w:rPr>
          <w:rStyle w:val="ng-star-inserted"/>
          <w:rFonts w:asciiTheme="minorHAnsi" w:hAnsiTheme="minorHAnsi" w:cstheme="minorHAnsi"/>
          <w:shd w:val="clear" w:color="auto" w:fill="FFFFFF"/>
          <w:rtl/>
        </w:rPr>
        <w:t xml:space="preserve"> </w:t>
      </w:r>
      <w:r w:rsidR="00B45267" w:rsidRPr="0072334B">
        <w:rPr>
          <w:rStyle w:val="ng-star-inserted"/>
          <w:rFonts w:asciiTheme="minorHAnsi" w:hAnsiTheme="minorHAnsi" w:cstheme="minorHAnsi"/>
          <w:shd w:val="clear" w:color="auto" w:fill="FFFFFF"/>
          <w:rtl/>
        </w:rPr>
        <w:t xml:space="preserve">כל </w:t>
      </w:r>
      <w:r w:rsidR="00B317D7" w:rsidRPr="0072334B">
        <w:rPr>
          <w:rStyle w:val="ng-star-inserted"/>
          <w:rFonts w:asciiTheme="minorHAnsi" w:hAnsiTheme="minorHAnsi" w:cstheme="minorHAnsi"/>
          <w:shd w:val="clear" w:color="auto" w:fill="FFFFFF"/>
          <w:rtl/>
        </w:rPr>
        <w:t>זאת, תוך המשך השמירה על כספי המפקידים ועל יציבות המערכת הבנקאית.</w:t>
      </w:r>
    </w:p>
    <w:p w:rsidR="0030230F" w:rsidRPr="0072334B" w:rsidRDefault="00B317D7" w:rsidP="00BD233F">
      <w:pPr>
        <w:spacing w:before="240"/>
        <w:rPr>
          <w:rStyle w:val="ng-star-inserted"/>
          <w:rFonts w:asciiTheme="minorHAnsi" w:hAnsiTheme="minorHAnsi" w:cstheme="minorHAnsi"/>
          <w:rtl/>
        </w:rPr>
      </w:pPr>
      <w:r w:rsidRPr="0072334B">
        <w:rPr>
          <w:rStyle w:val="ng-star-inserted"/>
          <w:rFonts w:asciiTheme="minorHAnsi" w:hAnsiTheme="minorHAnsi" w:cstheme="minorHAnsi"/>
          <w:shd w:val="clear" w:color="auto" w:fill="FFFFFF"/>
          <w:rtl/>
        </w:rPr>
        <w:t xml:space="preserve">בהמשך </w:t>
      </w:r>
      <w:r w:rsidR="00AC7DFA" w:rsidRPr="0072334B">
        <w:rPr>
          <w:rStyle w:val="ng-star-inserted"/>
          <w:rFonts w:asciiTheme="minorHAnsi" w:hAnsiTheme="minorHAnsi" w:cstheme="minorHAnsi"/>
          <w:shd w:val="clear" w:color="auto" w:fill="FFFFFF"/>
          <w:rtl/>
        </w:rPr>
        <w:t>להכרזת</w:t>
      </w:r>
      <w:r w:rsidR="00B831A0" w:rsidRPr="0072334B">
        <w:rPr>
          <w:rStyle w:val="ng-star-inserted"/>
          <w:rFonts w:asciiTheme="minorHAnsi" w:hAnsiTheme="minorHAnsi" w:cstheme="minorHAnsi"/>
          <w:shd w:val="clear" w:color="auto" w:fill="FFFFFF"/>
          <w:rtl/>
        </w:rPr>
        <w:t xml:space="preserve"> ה</w:t>
      </w:r>
      <w:r w:rsidR="00C378E0" w:rsidRPr="0072334B">
        <w:rPr>
          <w:rStyle w:val="ng-star-inserted"/>
          <w:rFonts w:asciiTheme="minorHAnsi" w:hAnsiTheme="minorHAnsi" w:cstheme="minorHAnsi"/>
          <w:shd w:val="clear" w:color="auto" w:fill="FFFFFF"/>
          <w:rtl/>
        </w:rPr>
        <w:t>ממונה על התחרות</w:t>
      </w:r>
      <w:r w:rsidR="00B831A0" w:rsidRPr="0072334B">
        <w:rPr>
          <w:rStyle w:val="ng-star-inserted"/>
          <w:rFonts w:asciiTheme="minorHAnsi" w:hAnsiTheme="minorHAnsi" w:cstheme="minorHAnsi"/>
          <w:shd w:val="clear" w:color="auto" w:fill="FFFFFF"/>
          <w:rtl/>
        </w:rPr>
        <w:t xml:space="preserve"> על חמש הקבוצות הבנקאיות הגדולות כקבוצת ריכוז ומתן הוראות בתחום הפיקדונות</w:t>
      </w:r>
      <w:r w:rsidR="000D4ECD" w:rsidRPr="0072334B">
        <w:rPr>
          <w:rStyle w:val="ng-star-inserted"/>
          <w:rFonts w:asciiTheme="minorHAnsi" w:hAnsiTheme="minorHAnsi" w:cstheme="minorHAnsi"/>
          <w:shd w:val="clear" w:color="auto" w:fill="FFFFFF"/>
          <w:rtl/>
        </w:rPr>
        <w:t xml:space="preserve"> (להלן – </w:t>
      </w:r>
      <w:r w:rsidR="00AC7DFA" w:rsidRPr="0072334B">
        <w:rPr>
          <w:rStyle w:val="ng-star-inserted"/>
          <w:rFonts w:asciiTheme="minorHAnsi" w:hAnsiTheme="minorHAnsi" w:cstheme="minorHAnsi"/>
          <w:shd w:val="clear" w:color="auto" w:fill="FFFFFF"/>
          <w:rtl/>
        </w:rPr>
        <w:t>ההוראות)</w:t>
      </w:r>
      <w:r w:rsidR="00B831A0" w:rsidRPr="0072334B">
        <w:rPr>
          <w:rStyle w:val="ng-star-inserted"/>
          <w:rFonts w:asciiTheme="minorHAnsi" w:hAnsiTheme="minorHAnsi" w:cstheme="minorHAnsi"/>
          <w:shd w:val="clear" w:color="auto" w:fill="FFFFFF"/>
          <w:rtl/>
        </w:rPr>
        <w:t xml:space="preserve"> </w:t>
      </w:r>
      <w:r w:rsidR="000639AA" w:rsidRPr="0072334B">
        <w:rPr>
          <w:rStyle w:val="ng-star-inserted"/>
          <w:rFonts w:asciiTheme="minorHAnsi" w:hAnsiTheme="minorHAnsi" w:cstheme="minorHAnsi"/>
          <w:b/>
          <w:bCs/>
          <w:rtl/>
        </w:rPr>
        <w:t>עמדת בנק ישראל היא</w:t>
      </w:r>
      <w:r w:rsidRPr="0072334B">
        <w:rPr>
          <w:rStyle w:val="ng-star-inserted"/>
          <w:rFonts w:asciiTheme="minorHAnsi" w:hAnsiTheme="minorHAnsi" w:cstheme="minorHAnsi"/>
          <w:b/>
          <w:bCs/>
          <w:rtl/>
        </w:rPr>
        <w:t xml:space="preserve"> כי </w:t>
      </w:r>
      <w:r w:rsidR="00A31049" w:rsidRPr="0072334B">
        <w:rPr>
          <w:rStyle w:val="ng-star-inserted"/>
          <w:rFonts w:asciiTheme="minorHAnsi" w:hAnsiTheme="minorHAnsi" w:cstheme="minorHAnsi"/>
          <w:b/>
          <w:bCs/>
          <w:rtl/>
        </w:rPr>
        <w:t>בנסיבות העניין</w:t>
      </w:r>
      <w:r w:rsidR="00BD233F" w:rsidRPr="0072334B">
        <w:rPr>
          <w:rStyle w:val="ng-star-inserted"/>
          <w:rFonts w:asciiTheme="minorHAnsi" w:hAnsiTheme="minorHAnsi" w:cstheme="minorHAnsi"/>
          <w:b/>
          <w:bCs/>
          <w:rtl/>
        </w:rPr>
        <w:t>,</w:t>
      </w:r>
      <w:r w:rsidR="00A31049" w:rsidRPr="0072334B">
        <w:rPr>
          <w:rStyle w:val="ng-star-inserted"/>
          <w:rFonts w:asciiTheme="minorHAnsi" w:hAnsiTheme="minorHAnsi" w:cstheme="minorHAnsi"/>
          <w:b/>
          <w:bCs/>
          <w:rtl/>
        </w:rPr>
        <w:t xml:space="preserve"> </w:t>
      </w:r>
      <w:r w:rsidR="00AC7DFA" w:rsidRPr="0072334B">
        <w:rPr>
          <w:rStyle w:val="ng-star-inserted"/>
          <w:rFonts w:asciiTheme="minorHAnsi" w:hAnsiTheme="minorHAnsi" w:cstheme="minorHAnsi"/>
          <w:b/>
          <w:bCs/>
          <w:rtl/>
        </w:rPr>
        <w:t>ה</w:t>
      </w:r>
      <w:r w:rsidRPr="0072334B">
        <w:rPr>
          <w:rStyle w:val="ng-star-inserted"/>
          <w:rFonts w:asciiTheme="minorHAnsi" w:hAnsiTheme="minorHAnsi" w:cstheme="minorHAnsi"/>
          <w:b/>
          <w:bCs/>
          <w:rtl/>
        </w:rPr>
        <w:t>הכרזה על הבנקים כקבוצת ריכוז</w:t>
      </w:r>
      <w:r w:rsidR="00D528BE" w:rsidRPr="0072334B">
        <w:rPr>
          <w:rStyle w:val="ng-star-inserted"/>
          <w:rFonts w:asciiTheme="minorHAnsi" w:hAnsiTheme="minorHAnsi" w:cstheme="minorHAnsi"/>
          <w:b/>
          <w:bCs/>
          <w:rtl/>
        </w:rPr>
        <w:t xml:space="preserve"> </w:t>
      </w:r>
      <w:r w:rsidR="00A93465" w:rsidRPr="0072334B">
        <w:rPr>
          <w:rStyle w:val="ng-star-inserted"/>
          <w:rFonts w:asciiTheme="minorHAnsi" w:hAnsiTheme="minorHAnsi" w:cstheme="minorHAnsi"/>
          <w:b/>
          <w:bCs/>
          <w:rtl/>
        </w:rPr>
        <w:t>היא צעד קיצוני ולא מידתי ש</w:t>
      </w:r>
      <w:r w:rsidR="00D528BE" w:rsidRPr="0072334B">
        <w:rPr>
          <w:rStyle w:val="ng-star-inserted"/>
          <w:rFonts w:asciiTheme="minorHAnsi" w:hAnsiTheme="minorHAnsi" w:cstheme="minorHAnsi"/>
          <w:b/>
          <w:bCs/>
          <w:rtl/>
        </w:rPr>
        <w:t>עלול</w:t>
      </w:r>
      <w:r w:rsidR="005B1F28" w:rsidRPr="0072334B">
        <w:rPr>
          <w:rStyle w:val="ng-star-inserted"/>
          <w:rFonts w:asciiTheme="minorHAnsi" w:hAnsiTheme="minorHAnsi" w:cstheme="minorHAnsi"/>
          <w:b/>
          <w:bCs/>
          <w:rtl/>
        </w:rPr>
        <w:t xml:space="preserve"> מחד</w:t>
      </w:r>
      <w:r w:rsidR="00D528BE" w:rsidRPr="0072334B">
        <w:rPr>
          <w:rStyle w:val="ng-star-inserted"/>
          <w:rFonts w:asciiTheme="minorHAnsi" w:hAnsiTheme="minorHAnsi" w:cstheme="minorHAnsi"/>
          <w:b/>
          <w:bCs/>
          <w:rtl/>
        </w:rPr>
        <w:t xml:space="preserve"> להרתיע משקיעים מלפעול בישראל</w:t>
      </w:r>
      <w:r w:rsidR="006D5DB2" w:rsidRPr="0072334B">
        <w:rPr>
          <w:rStyle w:val="ng-star-inserted"/>
          <w:rFonts w:asciiTheme="minorHAnsi" w:hAnsiTheme="minorHAnsi" w:cstheme="minorHAnsi"/>
          <w:b/>
          <w:bCs/>
          <w:rtl/>
        </w:rPr>
        <w:t xml:space="preserve"> ומאידך אינו צ</w:t>
      </w:r>
      <w:r w:rsidR="00FE1210" w:rsidRPr="0072334B">
        <w:rPr>
          <w:rStyle w:val="ng-star-inserted"/>
          <w:rFonts w:asciiTheme="minorHAnsi" w:hAnsiTheme="minorHAnsi" w:cstheme="minorHAnsi"/>
          <w:b/>
          <w:bCs/>
          <w:rtl/>
        </w:rPr>
        <w:t xml:space="preserve">פוי להוביל באופן כלשהו להגברת הרווחה של לקוחות הבנקים. </w:t>
      </w:r>
      <w:r w:rsidRPr="0072334B">
        <w:rPr>
          <w:rStyle w:val="ng-star-inserted"/>
          <w:rFonts w:asciiTheme="minorHAnsi" w:hAnsiTheme="minorHAnsi" w:cstheme="minorHAnsi"/>
          <w:b/>
          <w:bCs/>
          <w:rtl/>
        </w:rPr>
        <w:t>זאת,</w:t>
      </w:r>
      <w:r w:rsidR="00AC7DFA" w:rsidRPr="0072334B">
        <w:rPr>
          <w:rStyle w:val="ng-star-inserted"/>
          <w:rFonts w:asciiTheme="minorHAnsi" w:hAnsiTheme="minorHAnsi" w:cstheme="minorHAnsi"/>
          <w:b/>
          <w:bCs/>
          <w:rtl/>
        </w:rPr>
        <w:t xml:space="preserve"> </w:t>
      </w:r>
      <w:r w:rsidR="00A23BA5" w:rsidRPr="0072334B">
        <w:rPr>
          <w:rStyle w:val="ng-star-inserted"/>
          <w:rFonts w:asciiTheme="minorHAnsi" w:hAnsiTheme="minorHAnsi" w:cstheme="minorHAnsi"/>
          <w:b/>
          <w:bCs/>
          <w:rtl/>
        </w:rPr>
        <w:t xml:space="preserve">בפרט בשל העובדה כי </w:t>
      </w:r>
      <w:r w:rsidR="00AC7DFA" w:rsidRPr="0072334B">
        <w:rPr>
          <w:rStyle w:val="ng-star-inserted"/>
          <w:rFonts w:asciiTheme="minorHAnsi" w:hAnsiTheme="minorHAnsi" w:cstheme="minorHAnsi"/>
          <w:b/>
          <w:bCs/>
          <w:rtl/>
        </w:rPr>
        <w:t>מרבית</w:t>
      </w:r>
      <w:r w:rsidR="00E6561F" w:rsidRPr="0072334B">
        <w:rPr>
          <w:rStyle w:val="ng-star-inserted"/>
          <w:rFonts w:asciiTheme="minorHAnsi" w:hAnsiTheme="minorHAnsi" w:cstheme="minorHAnsi"/>
          <w:b/>
          <w:bCs/>
          <w:rtl/>
        </w:rPr>
        <w:t xml:space="preserve"> ההוראות הנלוות להכרזה</w:t>
      </w:r>
      <w:r w:rsidR="00AC7DFA" w:rsidRPr="0072334B">
        <w:rPr>
          <w:rStyle w:val="ng-star-inserted"/>
          <w:rFonts w:asciiTheme="minorHAnsi" w:hAnsiTheme="minorHAnsi" w:cstheme="minorHAnsi"/>
          <w:b/>
          <w:bCs/>
          <w:rtl/>
        </w:rPr>
        <w:t xml:space="preserve"> כבר </w:t>
      </w:r>
      <w:r w:rsidR="0030230F" w:rsidRPr="0072334B">
        <w:rPr>
          <w:rStyle w:val="ng-star-inserted"/>
          <w:rFonts w:asciiTheme="minorHAnsi" w:hAnsiTheme="minorHAnsi" w:cstheme="minorHAnsi"/>
          <w:b/>
          <w:bCs/>
          <w:rtl/>
        </w:rPr>
        <w:t>יושמו בפועל</w:t>
      </w:r>
      <w:r w:rsidR="00AC7DFA" w:rsidRPr="0072334B">
        <w:rPr>
          <w:rStyle w:val="ng-star-inserted"/>
          <w:rFonts w:asciiTheme="minorHAnsi" w:hAnsiTheme="minorHAnsi" w:cstheme="minorHAnsi"/>
          <w:b/>
          <w:bCs/>
          <w:rtl/>
        </w:rPr>
        <w:t xml:space="preserve"> </w:t>
      </w:r>
      <w:r w:rsidR="0030230F" w:rsidRPr="0072334B">
        <w:rPr>
          <w:rStyle w:val="ng-star-inserted"/>
          <w:rFonts w:asciiTheme="minorHAnsi" w:hAnsiTheme="minorHAnsi" w:cstheme="minorHAnsi"/>
          <w:b/>
          <w:bCs/>
          <w:rtl/>
        </w:rPr>
        <w:t xml:space="preserve">על ידי </w:t>
      </w:r>
      <w:r w:rsidR="00BD233F" w:rsidRPr="0072334B">
        <w:rPr>
          <w:rStyle w:val="ng-star-inserted"/>
          <w:rFonts w:asciiTheme="minorHAnsi" w:hAnsiTheme="minorHAnsi" w:cstheme="minorHAnsi"/>
          <w:b/>
          <w:bCs/>
          <w:rtl/>
        </w:rPr>
        <w:t>הפיקוח על הבנקים</w:t>
      </w:r>
      <w:r w:rsidR="00B7265E" w:rsidRPr="0072334B">
        <w:rPr>
          <w:rStyle w:val="ng-star-inserted"/>
          <w:rFonts w:asciiTheme="minorHAnsi" w:hAnsiTheme="minorHAnsi" w:cstheme="minorHAnsi"/>
          <w:b/>
          <w:bCs/>
          <w:rtl/>
        </w:rPr>
        <w:t xml:space="preserve"> בבנק ישראל</w:t>
      </w:r>
      <w:r w:rsidR="00757BF5" w:rsidRPr="0072334B">
        <w:rPr>
          <w:rStyle w:val="ng-star-inserted"/>
          <w:rFonts w:asciiTheme="minorHAnsi" w:hAnsiTheme="minorHAnsi" w:cstheme="minorHAnsi"/>
          <w:b/>
          <w:bCs/>
          <w:rtl/>
        </w:rPr>
        <w:t xml:space="preserve"> </w:t>
      </w:r>
      <w:r w:rsidR="0030230F" w:rsidRPr="0072334B">
        <w:rPr>
          <w:rStyle w:val="ng-star-inserted"/>
          <w:rFonts w:asciiTheme="minorHAnsi" w:hAnsiTheme="minorHAnsi" w:cstheme="minorHAnsi"/>
          <w:b/>
          <w:bCs/>
          <w:rtl/>
        </w:rPr>
        <w:t xml:space="preserve">במסגרת רפורמות תשתיתיות </w:t>
      </w:r>
      <w:r w:rsidR="00757BF5" w:rsidRPr="0072334B">
        <w:rPr>
          <w:rStyle w:val="ng-star-inserted"/>
          <w:rFonts w:asciiTheme="minorHAnsi" w:hAnsiTheme="minorHAnsi" w:cstheme="minorHAnsi"/>
          <w:b/>
          <w:bCs/>
          <w:rtl/>
        </w:rPr>
        <w:t>שהוא הוביל</w:t>
      </w:r>
      <w:r w:rsidR="00EE1EFB" w:rsidRPr="0072334B">
        <w:rPr>
          <w:rStyle w:val="ng-star-inserted"/>
          <w:rFonts w:asciiTheme="minorHAnsi" w:hAnsiTheme="minorHAnsi" w:cstheme="minorHAnsi"/>
          <w:rtl/>
        </w:rPr>
        <w:t>,</w:t>
      </w:r>
      <w:r w:rsidR="00A23BA5" w:rsidRPr="0072334B">
        <w:rPr>
          <w:rStyle w:val="ng-star-inserted"/>
          <w:rFonts w:asciiTheme="minorHAnsi" w:hAnsiTheme="minorHAnsi" w:cstheme="minorHAnsi"/>
          <w:rtl/>
        </w:rPr>
        <w:t xml:space="preserve"> </w:t>
      </w:r>
      <w:r w:rsidR="00BD233F" w:rsidRPr="0072334B">
        <w:rPr>
          <w:rStyle w:val="ng-star-inserted"/>
          <w:rFonts w:asciiTheme="minorHAnsi" w:hAnsiTheme="minorHAnsi" w:cstheme="minorHAnsi"/>
          <w:rtl/>
        </w:rPr>
        <w:t>כדוגמת</w:t>
      </w:r>
      <w:r w:rsidR="0030230F" w:rsidRPr="0072334B">
        <w:rPr>
          <w:rStyle w:val="ng-star-inserted"/>
          <w:rFonts w:asciiTheme="minorHAnsi" w:hAnsiTheme="minorHAnsi" w:cstheme="minorHAnsi"/>
          <w:rtl/>
        </w:rPr>
        <w:t>:</w:t>
      </w:r>
    </w:p>
    <w:p w:rsidR="0030230F" w:rsidRPr="0072334B" w:rsidRDefault="0030230F" w:rsidP="002B1AD6">
      <w:pPr>
        <w:pStyle w:val="af0"/>
        <w:numPr>
          <w:ilvl w:val="0"/>
          <w:numId w:val="20"/>
        </w:numPr>
        <w:spacing w:before="120" w:after="0" w:line="360" w:lineRule="auto"/>
        <w:contextualSpacing w:val="0"/>
        <w:jc w:val="both"/>
        <w:rPr>
          <w:rStyle w:val="ng-star-inserted"/>
          <w:rFonts w:cstheme="minorHAnsi"/>
          <w:sz w:val="24"/>
          <w:szCs w:val="24"/>
        </w:rPr>
      </w:pPr>
      <w:r w:rsidRPr="0072334B">
        <w:rPr>
          <w:rStyle w:val="ng-star-inserted"/>
          <w:rFonts w:cstheme="minorHAnsi"/>
          <w:sz w:val="24"/>
          <w:szCs w:val="24"/>
          <w:rtl/>
        </w:rPr>
        <w:t xml:space="preserve">חובת פרסום מרוכז והשוואתי של פיקדונות נפוצים, לרבות מנגנוני חיפוש והשוואה, </w:t>
      </w:r>
      <w:r w:rsidRPr="0072334B">
        <w:rPr>
          <w:rStyle w:val="ng-star-inserted"/>
          <w:rFonts w:cstheme="minorHAnsi"/>
          <w:sz w:val="24"/>
          <w:szCs w:val="24"/>
          <w:u w:val="single"/>
          <w:rtl/>
        </w:rPr>
        <w:t>מוסדרת בהוראת ניהול בנקאי תקין</w:t>
      </w:r>
      <w:r w:rsidRPr="0072334B">
        <w:rPr>
          <w:rStyle w:val="ng-star-inserted"/>
          <w:rFonts w:cstheme="minorHAnsi"/>
          <w:sz w:val="24"/>
          <w:szCs w:val="24"/>
          <w:rtl/>
        </w:rPr>
        <w:t xml:space="preserve"> מספר 447 בנושא "פרסום שיעורי ריבית על פיקדונות ועל יתרות זכות בחשבון"</w:t>
      </w:r>
      <w:r w:rsidR="00AC7DFA" w:rsidRPr="0072334B">
        <w:rPr>
          <w:rStyle w:val="ng-star-inserted"/>
          <w:rFonts w:cstheme="minorHAnsi"/>
          <w:sz w:val="24"/>
          <w:szCs w:val="24"/>
          <w:rtl/>
        </w:rPr>
        <w:t xml:space="preserve"> ומיושמת בפועל</w:t>
      </w:r>
      <w:r w:rsidRPr="0072334B">
        <w:rPr>
          <w:rStyle w:val="ng-star-inserted"/>
          <w:rFonts w:cstheme="minorHAnsi"/>
          <w:sz w:val="24"/>
          <w:szCs w:val="24"/>
          <w:rtl/>
        </w:rPr>
        <w:t>;</w:t>
      </w:r>
    </w:p>
    <w:p w:rsidR="003F41EF" w:rsidRPr="0072334B" w:rsidRDefault="00232978" w:rsidP="002B1AD6">
      <w:pPr>
        <w:pStyle w:val="af0"/>
        <w:numPr>
          <w:ilvl w:val="0"/>
          <w:numId w:val="20"/>
        </w:numPr>
        <w:spacing w:before="120" w:after="0" w:line="360" w:lineRule="auto"/>
        <w:ind w:left="357" w:hanging="357"/>
        <w:contextualSpacing w:val="0"/>
        <w:jc w:val="both"/>
        <w:rPr>
          <w:rStyle w:val="ng-star-inserted"/>
          <w:rFonts w:cstheme="minorHAnsi"/>
          <w:sz w:val="24"/>
          <w:szCs w:val="24"/>
        </w:rPr>
      </w:pPr>
      <w:r w:rsidRPr="0072334B">
        <w:rPr>
          <w:rStyle w:val="ng-star-inserted"/>
          <w:rFonts w:cstheme="minorHAnsi"/>
          <w:sz w:val="24"/>
          <w:szCs w:val="24"/>
          <w:rtl/>
        </w:rPr>
        <w:t>חובת הצגת מידע ביחס לקרנות כספיות מוסדרת בהוראת ניהול בנקאי תקין מספר</w:t>
      </w:r>
      <w:r w:rsidR="00C51182" w:rsidRPr="0072334B">
        <w:rPr>
          <w:rStyle w:val="ng-star-inserted"/>
          <w:rFonts w:cstheme="minorHAnsi"/>
          <w:sz w:val="24"/>
          <w:szCs w:val="24"/>
          <w:rtl/>
        </w:rPr>
        <w:t xml:space="preserve"> </w:t>
      </w:r>
      <w:r w:rsidR="00C51182" w:rsidRPr="0072334B">
        <w:rPr>
          <w:rStyle w:val="ng-star-inserted"/>
          <w:rFonts w:cstheme="minorHAnsi"/>
          <w:sz w:val="24"/>
          <w:szCs w:val="24"/>
        </w:rPr>
        <w:t>447A</w:t>
      </w:r>
      <w:r w:rsidR="00C51182" w:rsidRPr="0072334B">
        <w:rPr>
          <w:rStyle w:val="ng-star-inserted"/>
          <w:rFonts w:cstheme="minorHAnsi"/>
          <w:sz w:val="24"/>
          <w:szCs w:val="24"/>
          <w:rtl/>
        </w:rPr>
        <w:t xml:space="preserve"> בנושא "פרסום מידע מרוכז על קרנות כספיות ומק"מ" ומיושמת בפועל.</w:t>
      </w:r>
    </w:p>
    <w:p w:rsidR="0030230F" w:rsidRPr="0072334B" w:rsidRDefault="0030230F" w:rsidP="00E54C5E">
      <w:pPr>
        <w:pStyle w:val="af0"/>
        <w:numPr>
          <w:ilvl w:val="0"/>
          <w:numId w:val="20"/>
        </w:numPr>
        <w:spacing w:before="120" w:after="0" w:line="360" w:lineRule="auto"/>
        <w:ind w:left="357" w:hanging="357"/>
        <w:contextualSpacing w:val="0"/>
        <w:jc w:val="both"/>
        <w:rPr>
          <w:rStyle w:val="ng-star-inserted"/>
          <w:rFonts w:cstheme="minorHAnsi"/>
          <w:sz w:val="24"/>
          <w:szCs w:val="24"/>
        </w:rPr>
      </w:pPr>
      <w:r w:rsidRPr="0072334B">
        <w:rPr>
          <w:rStyle w:val="ng-star-inserted"/>
          <w:rFonts w:cstheme="minorHAnsi"/>
          <w:sz w:val="24"/>
          <w:szCs w:val="24"/>
          <w:rtl/>
        </w:rPr>
        <w:t xml:space="preserve">האפשרות </w:t>
      </w:r>
      <w:r w:rsidR="00A23BA5" w:rsidRPr="0072334B">
        <w:rPr>
          <w:rStyle w:val="ng-star-inserted"/>
          <w:rFonts w:cstheme="minorHAnsi"/>
          <w:sz w:val="24"/>
          <w:szCs w:val="24"/>
          <w:rtl/>
        </w:rPr>
        <w:t xml:space="preserve">לפתיחה </w:t>
      </w:r>
      <w:r w:rsidRPr="0072334B">
        <w:rPr>
          <w:rStyle w:val="ng-star-inserted"/>
          <w:rFonts w:cstheme="minorHAnsi"/>
          <w:sz w:val="24"/>
          <w:szCs w:val="24"/>
          <w:rtl/>
        </w:rPr>
        <w:t>ו</w:t>
      </w:r>
      <w:r w:rsidR="00A23BA5" w:rsidRPr="0072334B">
        <w:rPr>
          <w:rStyle w:val="ng-star-inserted"/>
          <w:rFonts w:cstheme="minorHAnsi"/>
          <w:sz w:val="24"/>
          <w:szCs w:val="24"/>
          <w:rtl/>
        </w:rPr>
        <w:t>ל</w:t>
      </w:r>
      <w:r w:rsidRPr="0072334B">
        <w:rPr>
          <w:rStyle w:val="ng-star-inserted"/>
          <w:rFonts w:cstheme="minorHAnsi"/>
          <w:sz w:val="24"/>
          <w:szCs w:val="24"/>
          <w:rtl/>
        </w:rPr>
        <w:t xml:space="preserve">ניהול פיקדון ללא חשבון עו״ש, וכן הקלות בניוד כספים בין בנקים, </w:t>
      </w:r>
      <w:r w:rsidRPr="0072334B">
        <w:rPr>
          <w:rStyle w:val="ng-star-inserted"/>
          <w:rFonts w:cstheme="minorHAnsi"/>
          <w:sz w:val="24"/>
          <w:szCs w:val="24"/>
          <w:u w:val="single"/>
          <w:rtl/>
        </w:rPr>
        <w:t>הוסדרו במסגרת הוראת ניהול בנקאי תקין</w:t>
      </w:r>
      <w:r w:rsidRPr="0072334B">
        <w:rPr>
          <w:rStyle w:val="ng-star-inserted"/>
          <w:rFonts w:cstheme="minorHAnsi"/>
          <w:sz w:val="24"/>
          <w:szCs w:val="24"/>
          <w:rtl/>
        </w:rPr>
        <w:t xml:space="preserve"> מספר 417 בנושא "פעילות תאגיד בנקאי במערכת סגורה". לאחר דיון ציבורי בנושא, בו השתתפה גם רשות התחרות, </w:t>
      </w:r>
      <w:r w:rsidRPr="0072334B">
        <w:rPr>
          <w:rStyle w:val="ng-star-inserted"/>
          <w:rFonts w:cstheme="minorHAnsi"/>
          <w:sz w:val="24"/>
          <w:szCs w:val="24"/>
          <w:u w:val="single"/>
          <w:rtl/>
        </w:rPr>
        <w:t>נכנס לתוקף סעיף 5ב2 לחוק הבנקאות (שירות ללקוח)</w:t>
      </w:r>
      <w:r w:rsidRPr="0072334B">
        <w:rPr>
          <w:rStyle w:val="ng-star-inserted"/>
          <w:rFonts w:cstheme="minorHAnsi"/>
          <w:sz w:val="24"/>
          <w:szCs w:val="24"/>
          <w:rtl/>
        </w:rPr>
        <w:t xml:space="preserve"> שעניינו "הפקדת כספים במערכת סגורה – ניוד פיקדונות"</w:t>
      </w:r>
      <w:r w:rsidR="00741923" w:rsidRPr="0072334B">
        <w:rPr>
          <w:rStyle w:val="ng-star-inserted"/>
          <w:rFonts w:cstheme="minorHAnsi"/>
          <w:sz w:val="24"/>
          <w:szCs w:val="24"/>
          <w:rtl/>
        </w:rPr>
        <w:t xml:space="preserve"> שמחייב את הבנקים לאפשר </w:t>
      </w:r>
      <w:r w:rsidR="00E54C5E" w:rsidRPr="0072334B">
        <w:rPr>
          <w:rStyle w:val="ng-star-inserted"/>
          <w:rFonts w:cstheme="minorHAnsi"/>
          <w:sz w:val="24"/>
          <w:szCs w:val="24"/>
          <w:rtl/>
        </w:rPr>
        <w:t>ללקוחות להפקיד פיקדונות</w:t>
      </w:r>
      <w:r w:rsidR="00741923" w:rsidRPr="0072334B">
        <w:rPr>
          <w:rStyle w:val="ng-star-inserted"/>
          <w:rFonts w:cstheme="minorHAnsi"/>
          <w:sz w:val="24"/>
          <w:szCs w:val="24"/>
          <w:rtl/>
        </w:rPr>
        <w:t xml:space="preserve"> </w:t>
      </w:r>
      <w:r w:rsidR="00E54C5E" w:rsidRPr="0072334B">
        <w:rPr>
          <w:rStyle w:val="ng-star-inserted"/>
          <w:rFonts w:cstheme="minorHAnsi"/>
          <w:sz w:val="24"/>
          <w:szCs w:val="24"/>
          <w:rtl/>
        </w:rPr>
        <w:t>ב</w:t>
      </w:r>
      <w:r w:rsidR="00741923" w:rsidRPr="0072334B">
        <w:rPr>
          <w:rStyle w:val="ng-star-inserted"/>
          <w:rFonts w:cstheme="minorHAnsi"/>
          <w:sz w:val="24"/>
          <w:szCs w:val="24"/>
          <w:rtl/>
        </w:rPr>
        <w:t>מערכת סגורה</w:t>
      </w:r>
      <w:r w:rsidRPr="0072334B">
        <w:rPr>
          <w:rStyle w:val="ng-star-inserted"/>
          <w:rFonts w:cstheme="minorHAnsi"/>
          <w:sz w:val="24"/>
          <w:szCs w:val="24"/>
          <w:rtl/>
        </w:rPr>
        <w:t>;</w:t>
      </w:r>
    </w:p>
    <w:p w:rsidR="00C95BBE" w:rsidRPr="0072334B" w:rsidRDefault="009F132B" w:rsidP="002B1AD6">
      <w:pPr>
        <w:spacing w:before="240"/>
        <w:rPr>
          <w:rStyle w:val="ng-star-inserted"/>
          <w:rFonts w:asciiTheme="minorHAnsi" w:hAnsiTheme="minorHAnsi" w:cstheme="minorHAnsi"/>
          <w:b/>
          <w:bCs/>
          <w:rtl/>
        </w:rPr>
      </w:pPr>
      <w:r w:rsidRPr="0072334B">
        <w:rPr>
          <w:rStyle w:val="ng-star-inserted"/>
          <w:rFonts w:asciiTheme="minorHAnsi" w:hAnsiTheme="minorHAnsi" w:cstheme="minorHAnsi"/>
          <w:rtl/>
        </w:rPr>
        <w:lastRenderedPageBreak/>
        <w:t xml:space="preserve">בנסיבות אלה, ההכרזה וההוראות הנלוות לה נותרות במידה רבה </w:t>
      </w:r>
      <w:r w:rsidRPr="0072334B">
        <w:rPr>
          <w:rStyle w:val="ng-star-inserted"/>
          <w:rFonts w:asciiTheme="minorHAnsi" w:hAnsiTheme="minorHAnsi" w:cstheme="minorHAnsi"/>
          <w:b/>
          <w:bCs/>
          <w:rtl/>
        </w:rPr>
        <w:t>מהלך הצהרתי</w:t>
      </w:r>
      <w:r w:rsidR="00C95BBE" w:rsidRPr="0072334B">
        <w:rPr>
          <w:rStyle w:val="ng-star-inserted"/>
          <w:rFonts w:asciiTheme="minorHAnsi" w:hAnsiTheme="minorHAnsi" w:cstheme="minorHAnsi"/>
          <w:rtl/>
        </w:rPr>
        <w:t xml:space="preserve"> </w:t>
      </w:r>
      <w:r w:rsidR="00C95BBE" w:rsidRPr="0072334B">
        <w:rPr>
          <w:rStyle w:val="ng-star-inserted"/>
          <w:rFonts w:asciiTheme="minorHAnsi" w:hAnsiTheme="minorHAnsi" w:cstheme="minorHAnsi"/>
          <w:b/>
          <w:bCs/>
          <w:rtl/>
        </w:rPr>
        <w:t>בלבד</w:t>
      </w:r>
      <w:r w:rsidRPr="0072334B">
        <w:rPr>
          <w:rStyle w:val="ng-star-inserted"/>
          <w:rFonts w:asciiTheme="minorHAnsi" w:hAnsiTheme="minorHAnsi" w:cstheme="minorHAnsi"/>
          <w:rtl/>
        </w:rPr>
        <w:t xml:space="preserve">, אשר </w:t>
      </w:r>
      <w:r w:rsidR="00953969" w:rsidRPr="0072334B">
        <w:rPr>
          <w:rStyle w:val="ng-star-inserted"/>
          <w:rFonts w:asciiTheme="minorHAnsi" w:hAnsiTheme="minorHAnsi" w:cstheme="minorHAnsi"/>
          <w:rtl/>
        </w:rPr>
        <w:t>פוגע בוודאות הרגולטורית במשק הישראלי ו</w:t>
      </w:r>
      <w:r w:rsidR="00F16FAD" w:rsidRPr="0072334B">
        <w:rPr>
          <w:rStyle w:val="ng-star-inserted"/>
          <w:rFonts w:asciiTheme="minorHAnsi" w:hAnsiTheme="minorHAnsi" w:cstheme="minorHAnsi"/>
          <w:rtl/>
        </w:rPr>
        <w:t xml:space="preserve">לכן </w:t>
      </w:r>
      <w:r w:rsidR="00953969" w:rsidRPr="0072334B">
        <w:rPr>
          <w:rStyle w:val="ng-star-inserted"/>
          <w:rFonts w:asciiTheme="minorHAnsi" w:hAnsiTheme="minorHAnsi" w:cstheme="minorHAnsi"/>
          <w:rtl/>
        </w:rPr>
        <w:t>עלול להרתיע משקיעים מלפעול בישראל</w:t>
      </w:r>
      <w:r w:rsidR="00F16FAD" w:rsidRPr="0072334B">
        <w:rPr>
          <w:rStyle w:val="ng-star-inserted"/>
          <w:rFonts w:asciiTheme="minorHAnsi" w:hAnsiTheme="minorHAnsi" w:cstheme="minorHAnsi"/>
          <w:rtl/>
        </w:rPr>
        <w:t xml:space="preserve">, </w:t>
      </w:r>
      <w:r w:rsidR="00C95BBE" w:rsidRPr="0072334B">
        <w:rPr>
          <w:rStyle w:val="ng-star-inserted"/>
          <w:rFonts w:asciiTheme="minorHAnsi" w:hAnsiTheme="minorHAnsi" w:cstheme="minorHAnsi"/>
          <w:b/>
          <w:bCs/>
          <w:rtl/>
        </w:rPr>
        <w:t xml:space="preserve">מבלי לייצר תועלת תחרותית </w:t>
      </w:r>
      <w:r w:rsidR="00F16FAD" w:rsidRPr="0072334B">
        <w:rPr>
          <w:rStyle w:val="ng-star-inserted"/>
          <w:rFonts w:asciiTheme="minorHAnsi" w:hAnsiTheme="minorHAnsi" w:cstheme="minorHAnsi"/>
          <w:b/>
          <w:bCs/>
          <w:rtl/>
        </w:rPr>
        <w:t>כלשהי</w:t>
      </w:r>
      <w:r w:rsidR="00C95BBE" w:rsidRPr="0072334B">
        <w:rPr>
          <w:rStyle w:val="ng-star-inserted"/>
          <w:rFonts w:asciiTheme="minorHAnsi" w:hAnsiTheme="minorHAnsi" w:cstheme="minorHAnsi"/>
          <w:rtl/>
        </w:rPr>
        <w:t>.</w:t>
      </w:r>
      <w:r w:rsidR="003F41EF" w:rsidRPr="0072334B">
        <w:rPr>
          <w:rStyle w:val="ng-star-inserted"/>
          <w:rFonts w:asciiTheme="minorHAnsi" w:hAnsiTheme="minorHAnsi" w:cstheme="minorHAnsi"/>
          <w:rtl/>
        </w:rPr>
        <w:t xml:space="preserve"> </w:t>
      </w:r>
    </w:p>
    <w:p w:rsidR="00323380" w:rsidRPr="0072334B" w:rsidRDefault="00F16FAD" w:rsidP="0060492E">
      <w:pPr>
        <w:spacing w:before="240"/>
        <w:rPr>
          <w:rStyle w:val="ng-star-inserted"/>
          <w:rFonts w:asciiTheme="minorHAnsi" w:hAnsiTheme="minorHAnsi" w:cstheme="minorHAnsi"/>
          <w:b/>
          <w:bCs/>
          <w:rtl/>
        </w:rPr>
      </w:pPr>
      <w:r w:rsidRPr="0072334B">
        <w:rPr>
          <w:rStyle w:val="ng-star-inserted"/>
          <w:rFonts w:asciiTheme="minorHAnsi" w:hAnsiTheme="minorHAnsi" w:cstheme="minorHAnsi"/>
          <w:b/>
          <w:bCs/>
          <w:shd w:val="clear" w:color="auto" w:fill="FFFFFF"/>
          <w:rtl/>
        </w:rPr>
        <w:t xml:space="preserve">בנק ישראל סבור כי </w:t>
      </w:r>
      <w:r w:rsidR="00293C76" w:rsidRPr="0072334B">
        <w:rPr>
          <w:rStyle w:val="ng-star-inserted"/>
          <w:rFonts w:asciiTheme="minorHAnsi" w:hAnsiTheme="minorHAnsi" w:cstheme="minorHAnsi"/>
          <w:b/>
          <w:bCs/>
          <w:shd w:val="clear" w:color="auto" w:fill="FFFFFF"/>
          <w:rtl/>
        </w:rPr>
        <w:t xml:space="preserve">דרך המלך להגברת </w:t>
      </w:r>
      <w:r w:rsidR="002B1AD6" w:rsidRPr="0072334B">
        <w:rPr>
          <w:rStyle w:val="ng-star-inserted"/>
          <w:rFonts w:asciiTheme="minorHAnsi" w:hAnsiTheme="minorHAnsi" w:cstheme="minorHAnsi"/>
          <w:b/>
          <w:bCs/>
          <w:shd w:val="clear" w:color="auto" w:fill="FFFFFF"/>
          <w:rtl/>
        </w:rPr>
        <w:t xml:space="preserve">רווחתם </w:t>
      </w:r>
      <w:r w:rsidR="00293C76" w:rsidRPr="0072334B">
        <w:rPr>
          <w:rStyle w:val="ng-star-inserted"/>
          <w:rFonts w:asciiTheme="minorHAnsi" w:hAnsiTheme="minorHAnsi" w:cstheme="minorHAnsi"/>
          <w:b/>
          <w:bCs/>
          <w:shd w:val="clear" w:color="auto" w:fill="FFFFFF"/>
          <w:rtl/>
        </w:rPr>
        <w:t xml:space="preserve">של </w:t>
      </w:r>
      <w:r w:rsidR="00136642" w:rsidRPr="0072334B">
        <w:rPr>
          <w:rStyle w:val="ng-star-inserted"/>
          <w:rFonts w:asciiTheme="minorHAnsi" w:hAnsiTheme="minorHAnsi" w:cstheme="minorHAnsi"/>
          <w:b/>
          <w:bCs/>
          <w:shd w:val="clear" w:color="auto" w:fill="FFFFFF"/>
          <w:rtl/>
        </w:rPr>
        <w:t>הצרכנים</w:t>
      </w:r>
      <w:r w:rsidR="00293C76" w:rsidRPr="0072334B">
        <w:rPr>
          <w:rStyle w:val="ng-star-inserted"/>
          <w:rFonts w:asciiTheme="minorHAnsi" w:hAnsiTheme="minorHAnsi" w:cstheme="minorHAnsi"/>
          <w:b/>
          <w:bCs/>
          <w:shd w:val="clear" w:color="auto" w:fill="FFFFFF"/>
          <w:rtl/>
        </w:rPr>
        <w:t xml:space="preserve"> היא הסרת חסמים </w:t>
      </w:r>
      <w:r w:rsidR="007B09D7" w:rsidRPr="0072334B">
        <w:rPr>
          <w:rStyle w:val="ng-star-inserted"/>
          <w:rFonts w:asciiTheme="minorHAnsi" w:hAnsiTheme="minorHAnsi" w:cstheme="minorHAnsi"/>
          <w:b/>
          <w:bCs/>
          <w:shd w:val="clear" w:color="auto" w:fill="FFFFFF"/>
          <w:rtl/>
        </w:rPr>
        <w:t>והגברת השקיפות.</w:t>
      </w:r>
      <w:r w:rsidR="007B09D7" w:rsidRPr="0072334B">
        <w:rPr>
          <w:rStyle w:val="ng-star-inserted"/>
          <w:rFonts w:asciiTheme="minorHAnsi" w:hAnsiTheme="minorHAnsi" w:cstheme="minorHAnsi"/>
          <w:shd w:val="clear" w:color="auto" w:fill="FFFFFF"/>
          <w:rtl/>
        </w:rPr>
        <w:t xml:space="preserve"> </w:t>
      </w:r>
      <w:r w:rsidR="00136642" w:rsidRPr="0072334B">
        <w:rPr>
          <w:rStyle w:val="ng-star-inserted"/>
          <w:rFonts w:asciiTheme="minorHAnsi" w:hAnsiTheme="minorHAnsi" w:cstheme="minorHAnsi"/>
          <w:shd w:val="clear" w:color="auto" w:fill="FFFFFF"/>
          <w:rtl/>
        </w:rPr>
        <w:t>בהתאם, נוקט בנק ישראל לאורך השנים האחרונות במ</w:t>
      </w:r>
      <w:r w:rsidR="007B09D7" w:rsidRPr="0072334B">
        <w:rPr>
          <w:rStyle w:val="ng-star-inserted"/>
          <w:rFonts w:asciiTheme="minorHAnsi" w:hAnsiTheme="minorHAnsi" w:cstheme="minorHAnsi"/>
          <w:shd w:val="clear" w:color="auto" w:fill="FFFFFF"/>
          <w:rtl/>
        </w:rPr>
        <w:t>הלכים רבים בהקשר זה וחלקם כבר משפיעים לחיוב על רמת התחרות במערכת הפיננסית.</w:t>
      </w:r>
      <w:r w:rsidR="005F20FA" w:rsidRPr="0072334B">
        <w:rPr>
          <w:rStyle w:val="ng-star-inserted"/>
          <w:rFonts w:asciiTheme="minorHAnsi" w:hAnsiTheme="minorHAnsi" w:cstheme="minorHAnsi"/>
          <w:b/>
          <w:bCs/>
          <w:rtl/>
        </w:rPr>
        <w:t xml:space="preserve"> </w:t>
      </w:r>
      <w:r w:rsidR="005A1CF7" w:rsidRPr="0072334B">
        <w:rPr>
          <w:rStyle w:val="ng-star-inserted"/>
          <w:rFonts w:asciiTheme="minorHAnsi" w:hAnsiTheme="minorHAnsi" w:cstheme="minorHAnsi"/>
          <w:b/>
          <w:bCs/>
          <w:rtl/>
        </w:rPr>
        <w:t>צעד ראוי לציון מהעת האחרונה הוא</w:t>
      </w:r>
      <w:r w:rsidR="00AC5E01" w:rsidRPr="0072334B">
        <w:rPr>
          <w:rStyle w:val="ng-star-inserted"/>
          <w:rFonts w:asciiTheme="minorHAnsi" w:hAnsiTheme="minorHAnsi" w:cstheme="minorHAnsi"/>
          <w:b/>
          <w:bCs/>
          <w:rtl/>
        </w:rPr>
        <w:t xml:space="preserve"> הסרת חסמי הכניסה לבנקים קטנים שקוד</w:t>
      </w:r>
      <w:r w:rsidR="0060492E" w:rsidRPr="0072334B">
        <w:rPr>
          <w:rStyle w:val="ng-star-inserted"/>
          <w:rFonts w:asciiTheme="minorHAnsi" w:hAnsiTheme="minorHAnsi" w:cstheme="minorHAnsi"/>
          <w:b/>
          <w:bCs/>
          <w:rtl/>
        </w:rPr>
        <w:t>ם</w:t>
      </w:r>
      <w:r w:rsidR="00AC5E01" w:rsidRPr="0072334B">
        <w:rPr>
          <w:rStyle w:val="ng-star-inserted"/>
          <w:rFonts w:asciiTheme="minorHAnsi" w:hAnsiTheme="minorHAnsi" w:cstheme="minorHAnsi"/>
          <w:b/>
          <w:bCs/>
          <w:rtl/>
        </w:rPr>
        <w:t xml:space="preserve"> במסגרת</w:t>
      </w:r>
      <w:r w:rsidR="005F20FA" w:rsidRPr="0072334B">
        <w:rPr>
          <w:rStyle w:val="ng-star-inserted"/>
          <w:rFonts w:asciiTheme="minorHAnsi" w:hAnsiTheme="minorHAnsi" w:cstheme="minorHAnsi"/>
          <w:b/>
          <w:bCs/>
          <w:rtl/>
        </w:rPr>
        <w:t xml:space="preserve"> </w:t>
      </w:r>
      <w:r w:rsidR="0060492E" w:rsidRPr="0072334B">
        <w:rPr>
          <w:rStyle w:val="ng-star-inserted"/>
          <w:rFonts w:asciiTheme="minorHAnsi" w:hAnsiTheme="minorHAnsi" w:cstheme="minorHAnsi"/>
          <w:b/>
          <w:bCs/>
          <w:rtl/>
        </w:rPr>
        <w:t>ה</w:t>
      </w:r>
      <w:r w:rsidR="005F20FA" w:rsidRPr="0072334B">
        <w:rPr>
          <w:rStyle w:val="ng-star-inserted"/>
          <w:rFonts w:asciiTheme="minorHAnsi" w:hAnsiTheme="minorHAnsi" w:cstheme="minorHAnsi"/>
          <w:b/>
          <w:bCs/>
          <w:rtl/>
        </w:rPr>
        <w:t xml:space="preserve">מתווה </w:t>
      </w:r>
      <w:r w:rsidR="0060492E" w:rsidRPr="0072334B">
        <w:rPr>
          <w:rStyle w:val="ng-star-inserted"/>
          <w:rFonts w:asciiTheme="minorHAnsi" w:hAnsiTheme="minorHAnsi" w:cstheme="minorHAnsi"/>
          <w:b/>
          <w:bCs/>
          <w:rtl/>
        </w:rPr>
        <w:t>למתן רישיון בנק מדורג</w:t>
      </w:r>
      <w:r w:rsidR="00AC5E01" w:rsidRPr="0072334B">
        <w:rPr>
          <w:rStyle w:val="ng-star-inserted"/>
          <w:rFonts w:asciiTheme="minorHAnsi" w:hAnsiTheme="minorHAnsi" w:cstheme="minorHAnsi"/>
          <w:b/>
          <w:bCs/>
          <w:rtl/>
        </w:rPr>
        <w:t xml:space="preserve"> – מתווה לו הייתה שותפה גם רשות התחרות.</w:t>
      </w:r>
    </w:p>
    <w:p w:rsidR="00741923" w:rsidRPr="0072334B" w:rsidRDefault="00AB255F" w:rsidP="00BD233F">
      <w:pPr>
        <w:spacing w:before="240"/>
        <w:rPr>
          <w:rStyle w:val="ng-star-inserted"/>
          <w:rFonts w:asciiTheme="minorHAnsi" w:hAnsiTheme="minorHAnsi" w:cstheme="minorHAnsi"/>
          <w:b/>
          <w:bCs/>
        </w:rPr>
      </w:pPr>
      <w:r w:rsidRPr="0072334B">
        <w:rPr>
          <w:rStyle w:val="ng-star-inserted"/>
          <w:rFonts w:asciiTheme="minorHAnsi" w:hAnsiTheme="minorHAnsi" w:cstheme="minorHAnsi"/>
          <w:b/>
          <w:bCs/>
          <w:shd w:val="clear" w:color="auto" w:fill="FFFFFF"/>
          <w:rtl/>
        </w:rPr>
        <w:t xml:space="preserve">סטייה מהעיקרון האמור ושימוש בכלי ההכרזה </w:t>
      </w:r>
      <w:r w:rsidR="006A6D62" w:rsidRPr="0072334B">
        <w:rPr>
          <w:rStyle w:val="ng-star-inserted"/>
          <w:rFonts w:asciiTheme="minorHAnsi" w:hAnsiTheme="minorHAnsi" w:cstheme="minorHAnsi"/>
          <w:b/>
          <w:bCs/>
          <w:shd w:val="clear" w:color="auto" w:fill="FFFFFF"/>
          <w:rtl/>
        </w:rPr>
        <w:t xml:space="preserve">נועד למקרים קיצוניים במיוחד בהם קיימת תשתית מוצקה </w:t>
      </w:r>
      <w:r w:rsidR="00136642" w:rsidRPr="0072334B">
        <w:rPr>
          <w:rStyle w:val="ng-star-inserted"/>
          <w:rFonts w:asciiTheme="minorHAnsi" w:hAnsiTheme="minorHAnsi" w:cstheme="minorHAnsi"/>
          <w:b/>
          <w:bCs/>
          <w:shd w:val="clear" w:color="auto" w:fill="FFFFFF"/>
          <w:rtl/>
        </w:rPr>
        <w:t xml:space="preserve">וברורה </w:t>
      </w:r>
      <w:r w:rsidR="006A6D62" w:rsidRPr="0072334B">
        <w:rPr>
          <w:rStyle w:val="ng-star-inserted"/>
          <w:rFonts w:asciiTheme="minorHAnsi" w:hAnsiTheme="minorHAnsi" w:cstheme="minorHAnsi"/>
          <w:b/>
          <w:bCs/>
          <w:shd w:val="clear" w:color="auto" w:fill="FFFFFF"/>
          <w:rtl/>
        </w:rPr>
        <w:t>המראה כי התועלת מההכרזה עולה על עלותה</w:t>
      </w:r>
      <w:r w:rsidR="00070AC9" w:rsidRPr="0072334B">
        <w:rPr>
          <w:rStyle w:val="ng-star-inserted"/>
          <w:rFonts w:asciiTheme="minorHAnsi" w:hAnsiTheme="minorHAnsi" w:cstheme="minorHAnsi"/>
          <w:b/>
          <w:bCs/>
          <w:shd w:val="clear" w:color="auto" w:fill="FFFFFF"/>
          <w:rtl/>
        </w:rPr>
        <w:t xml:space="preserve"> ולאחר שנבחנו חלופות מידתיות יותר</w:t>
      </w:r>
      <w:r w:rsidR="006A6D62" w:rsidRPr="0072334B">
        <w:rPr>
          <w:rStyle w:val="ng-star-inserted"/>
          <w:rFonts w:asciiTheme="minorHAnsi" w:hAnsiTheme="minorHAnsi" w:cstheme="minorHAnsi"/>
          <w:b/>
          <w:bCs/>
          <w:shd w:val="clear" w:color="auto" w:fill="FFFFFF"/>
          <w:rtl/>
        </w:rPr>
        <w:t xml:space="preserve">. </w:t>
      </w:r>
      <w:r w:rsidR="00741923" w:rsidRPr="0072334B">
        <w:rPr>
          <w:rStyle w:val="ng-star-inserted"/>
          <w:rFonts w:asciiTheme="minorHAnsi" w:hAnsiTheme="minorHAnsi" w:cstheme="minorHAnsi"/>
          <w:rtl/>
        </w:rPr>
        <w:t>אף שהתקיים שיח פורמלי בין הפיקוח על הבנקים לרשות התחרות</w:t>
      </w:r>
      <w:r w:rsidR="00741923" w:rsidRPr="0072334B">
        <w:rPr>
          <w:rStyle w:val="ad"/>
          <w:rFonts w:asciiTheme="minorHAnsi" w:hAnsiTheme="minorHAnsi" w:cstheme="minorHAnsi"/>
          <w:rtl/>
        </w:rPr>
        <w:footnoteReference w:id="2"/>
      </w:r>
      <w:r w:rsidR="00741923" w:rsidRPr="0072334B">
        <w:rPr>
          <w:rStyle w:val="ng-star-inserted"/>
          <w:rFonts w:asciiTheme="minorHAnsi" w:hAnsiTheme="minorHAnsi" w:cstheme="minorHAnsi"/>
          <w:shd w:val="clear" w:color="auto" w:fill="FFFFFF"/>
          <w:rtl/>
        </w:rPr>
        <w:t xml:space="preserve">, </w:t>
      </w:r>
      <w:r w:rsidR="00741923" w:rsidRPr="0072334B">
        <w:rPr>
          <w:rStyle w:val="ng-star-inserted"/>
          <w:rFonts w:asciiTheme="minorHAnsi" w:hAnsiTheme="minorHAnsi" w:cstheme="minorHAnsi"/>
          <w:rtl/>
        </w:rPr>
        <w:t xml:space="preserve">לא הוצגה </w:t>
      </w:r>
      <w:r w:rsidR="00BD233F" w:rsidRPr="0072334B">
        <w:rPr>
          <w:rStyle w:val="ng-star-inserted"/>
          <w:rFonts w:asciiTheme="minorHAnsi" w:hAnsiTheme="minorHAnsi" w:cstheme="minorHAnsi"/>
          <w:rtl/>
        </w:rPr>
        <w:t xml:space="preserve">על-ידי הרשות </w:t>
      </w:r>
      <w:r w:rsidR="00741923" w:rsidRPr="0072334B">
        <w:rPr>
          <w:rStyle w:val="ng-star-inserted"/>
          <w:rFonts w:asciiTheme="minorHAnsi" w:hAnsiTheme="minorHAnsi" w:cstheme="minorHAnsi"/>
          <w:rtl/>
        </w:rPr>
        <w:t xml:space="preserve">תשתית משכנעת המראה כי ההוראות הנשקלות צפויות להניב תועלת תחרותית העולה על עלותן, או כי נשקלו לעומק הסיכונים וההשלכות המערכתיות שלהן. </w:t>
      </w:r>
      <w:r w:rsidR="00741923" w:rsidRPr="0072334B">
        <w:rPr>
          <w:rStyle w:val="ng-star-inserted"/>
          <w:rFonts w:asciiTheme="minorHAnsi" w:hAnsiTheme="minorHAnsi" w:cstheme="minorHAnsi"/>
          <w:b/>
          <w:bCs/>
          <w:rtl/>
        </w:rPr>
        <w:t xml:space="preserve">בהיעדר בחינה כזו, ובפרט כאשר ההוראות חופפות לצעדים </w:t>
      </w:r>
      <w:r w:rsidR="00BD233F" w:rsidRPr="0072334B">
        <w:rPr>
          <w:rStyle w:val="ng-star-inserted"/>
          <w:rFonts w:asciiTheme="minorHAnsi" w:hAnsiTheme="minorHAnsi" w:cstheme="minorHAnsi"/>
          <w:b/>
          <w:bCs/>
          <w:rtl/>
        </w:rPr>
        <w:t>שכבר קידם בנק ישראל</w:t>
      </w:r>
      <w:r w:rsidR="00741923" w:rsidRPr="0072334B">
        <w:rPr>
          <w:rStyle w:val="ng-star-inserted"/>
          <w:rFonts w:asciiTheme="minorHAnsi" w:hAnsiTheme="minorHAnsi" w:cstheme="minorHAnsi"/>
          <w:b/>
          <w:bCs/>
          <w:rtl/>
        </w:rPr>
        <w:t>, קשה להצדיק שימוש בכלי כה חריג כמו הכרזה על קבוצת ריכוז</w:t>
      </w:r>
      <w:r w:rsidR="00741923" w:rsidRPr="0072334B">
        <w:rPr>
          <w:rStyle w:val="ng-star-inserted"/>
          <w:rFonts w:asciiTheme="minorHAnsi" w:hAnsiTheme="minorHAnsi" w:cstheme="minorHAnsi"/>
          <w:b/>
          <w:bCs/>
          <w:shd w:val="clear" w:color="auto" w:fill="FFFFFF"/>
          <w:rtl/>
        </w:rPr>
        <w:t>.</w:t>
      </w:r>
    </w:p>
    <w:p w:rsidR="0030230F" w:rsidRPr="0072334B" w:rsidRDefault="00657F83" w:rsidP="002B1AD6">
      <w:pPr>
        <w:spacing w:before="240"/>
        <w:rPr>
          <w:rStyle w:val="ng-star-inserted"/>
          <w:rFonts w:asciiTheme="minorHAnsi" w:hAnsiTheme="minorHAnsi" w:cstheme="minorHAnsi"/>
          <w:b/>
          <w:bCs/>
          <w:rtl/>
        </w:rPr>
      </w:pPr>
      <w:r w:rsidRPr="0072334B">
        <w:rPr>
          <w:rStyle w:val="ng-star-inserted"/>
          <w:rFonts w:asciiTheme="minorHAnsi" w:hAnsiTheme="minorHAnsi" w:cstheme="minorHAnsi"/>
          <w:rtl/>
        </w:rPr>
        <w:t>יצוין</w:t>
      </w:r>
      <w:r w:rsidR="00BD233F" w:rsidRPr="0072334B">
        <w:rPr>
          <w:rStyle w:val="ng-star-inserted"/>
          <w:rFonts w:asciiTheme="minorHAnsi" w:hAnsiTheme="minorHAnsi" w:cstheme="minorHAnsi"/>
          <w:rtl/>
        </w:rPr>
        <w:t>,</w:t>
      </w:r>
      <w:r w:rsidRPr="0072334B">
        <w:rPr>
          <w:rStyle w:val="ng-star-inserted"/>
          <w:rFonts w:asciiTheme="minorHAnsi" w:hAnsiTheme="minorHAnsi" w:cstheme="minorHAnsi"/>
          <w:rtl/>
        </w:rPr>
        <w:t xml:space="preserve"> כי </w:t>
      </w:r>
      <w:r w:rsidR="00C83D18" w:rsidRPr="0072334B">
        <w:rPr>
          <w:rStyle w:val="ng-star-inserted"/>
          <w:rFonts w:asciiTheme="minorHAnsi" w:hAnsiTheme="minorHAnsi" w:cstheme="minorHAnsi"/>
          <w:shd w:val="clear" w:color="auto" w:fill="FFFFFF"/>
          <w:rtl/>
        </w:rPr>
        <w:t>במסגרת ההליכים שניהלה הממונה מול הפיקוח על הבנק</w:t>
      </w:r>
      <w:r w:rsidR="00063F02" w:rsidRPr="0072334B">
        <w:rPr>
          <w:rStyle w:val="ng-star-inserted"/>
          <w:rFonts w:asciiTheme="minorHAnsi" w:hAnsiTheme="minorHAnsi" w:cstheme="minorHAnsi"/>
          <w:shd w:val="clear" w:color="auto" w:fill="FFFFFF"/>
          <w:rtl/>
        </w:rPr>
        <w:t>ים</w:t>
      </w:r>
      <w:r w:rsidR="00C83D18" w:rsidRPr="0072334B">
        <w:rPr>
          <w:rStyle w:val="ng-star-inserted"/>
          <w:rFonts w:asciiTheme="minorHAnsi" w:hAnsiTheme="minorHAnsi" w:cstheme="minorHAnsi"/>
          <w:shd w:val="clear" w:color="auto" w:fill="FFFFFF"/>
          <w:rtl/>
        </w:rPr>
        <w:t xml:space="preserve"> קודם להכרזה, הפנה בנק ישראל את הממונה לכך שלפחות לגבי חלק מההוראות שביקשה לקבוע, </w:t>
      </w:r>
      <w:r w:rsidR="00C83D18" w:rsidRPr="0072334B">
        <w:rPr>
          <w:rStyle w:val="ng-star-inserted"/>
          <w:rFonts w:asciiTheme="minorHAnsi" w:hAnsiTheme="minorHAnsi" w:cstheme="minorHAnsi"/>
          <w:b/>
          <w:bCs/>
          <w:shd w:val="clear" w:color="auto" w:fill="FFFFFF"/>
          <w:rtl/>
        </w:rPr>
        <w:t>נדרשת</w:t>
      </w:r>
      <w:r w:rsidR="00741923" w:rsidRPr="0072334B">
        <w:rPr>
          <w:rStyle w:val="ng-star-inserted"/>
          <w:rFonts w:asciiTheme="minorHAnsi" w:hAnsiTheme="minorHAnsi" w:cstheme="minorHAnsi"/>
          <w:b/>
          <w:bCs/>
          <w:shd w:val="clear" w:color="auto" w:fill="FFFFFF"/>
          <w:rtl/>
        </w:rPr>
        <w:t>,</w:t>
      </w:r>
      <w:r w:rsidR="00C83D18" w:rsidRPr="0072334B">
        <w:rPr>
          <w:rStyle w:val="ng-star-inserted"/>
          <w:rFonts w:asciiTheme="minorHAnsi" w:hAnsiTheme="minorHAnsi" w:cstheme="minorHAnsi"/>
          <w:b/>
          <w:bCs/>
          <w:shd w:val="clear" w:color="auto" w:fill="FFFFFF"/>
          <w:rtl/>
        </w:rPr>
        <w:t xml:space="preserve"> בהתאם לחוק</w:t>
      </w:r>
      <w:r w:rsidR="00741923" w:rsidRPr="0072334B">
        <w:rPr>
          <w:rStyle w:val="ng-star-inserted"/>
          <w:rFonts w:asciiTheme="minorHAnsi" w:hAnsiTheme="minorHAnsi" w:cstheme="minorHAnsi"/>
          <w:b/>
          <w:bCs/>
          <w:shd w:val="clear" w:color="auto" w:fill="FFFFFF"/>
          <w:rtl/>
        </w:rPr>
        <w:t>,</w:t>
      </w:r>
      <w:r w:rsidR="00C83D18" w:rsidRPr="0072334B">
        <w:rPr>
          <w:rStyle w:val="ng-star-inserted"/>
          <w:rFonts w:asciiTheme="minorHAnsi" w:hAnsiTheme="minorHAnsi" w:cstheme="minorHAnsi"/>
          <w:b/>
          <w:bCs/>
          <w:shd w:val="clear" w:color="auto" w:fill="FFFFFF"/>
          <w:rtl/>
        </w:rPr>
        <w:t xml:space="preserve"> קבלת הסכמת בנק ישראל. הסכמה כאמור לא ניתנה.</w:t>
      </w:r>
    </w:p>
    <w:p w:rsidR="005F483C" w:rsidRPr="0072334B" w:rsidRDefault="00063F02" w:rsidP="002B1AD6">
      <w:pPr>
        <w:spacing w:before="240"/>
        <w:rPr>
          <w:rStyle w:val="ng-star-inserted"/>
          <w:rFonts w:asciiTheme="minorHAnsi" w:hAnsiTheme="minorHAnsi" w:cstheme="minorHAnsi"/>
          <w:b/>
          <w:bCs/>
          <w:shd w:val="clear" w:color="auto" w:fill="FFFFFF"/>
          <w:rtl/>
        </w:rPr>
      </w:pPr>
      <w:r w:rsidRPr="0072334B">
        <w:rPr>
          <w:rStyle w:val="ng-star-inserted"/>
          <w:rFonts w:asciiTheme="minorHAnsi" w:hAnsiTheme="minorHAnsi" w:cstheme="minorHAnsi"/>
          <w:b/>
          <w:bCs/>
          <w:shd w:val="clear" w:color="auto" w:fill="FFFFFF"/>
          <w:rtl/>
        </w:rPr>
        <w:t xml:space="preserve">בנק ישראל </w:t>
      </w:r>
      <w:r w:rsidR="005F483C" w:rsidRPr="0072334B">
        <w:rPr>
          <w:rStyle w:val="ng-star-inserted"/>
          <w:rFonts w:asciiTheme="minorHAnsi" w:hAnsiTheme="minorHAnsi" w:cstheme="minorHAnsi"/>
          <w:b/>
          <w:bCs/>
          <w:shd w:val="clear" w:color="auto" w:fill="FFFFFF"/>
          <w:rtl/>
        </w:rPr>
        <w:t>יוסיף לפעול, במסגרת סמכויותיו ותוך שיח מקצועי עם כלל הגורמים הרלוונטיים, לקידום תחרות הוגנת ואפקטיבי</w:t>
      </w:r>
      <w:r w:rsidR="00592CF1" w:rsidRPr="0072334B">
        <w:rPr>
          <w:rStyle w:val="ng-star-inserted"/>
          <w:rFonts w:asciiTheme="minorHAnsi" w:hAnsiTheme="minorHAnsi" w:cstheme="minorHAnsi"/>
          <w:b/>
          <w:bCs/>
          <w:shd w:val="clear" w:color="auto" w:fill="FFFFFF"/>
          <w:rtl/>
        </w:rPr>
        <w:t>ו</w:t>
      </w:r>
      <w:r w:rsidR="005F483C" w:rsidRPr="0072334B">
        <w:rPr>
          <w:rStyle w:val="ng-star-inserted"/>
          <w:rFonts w:asciiTheme="minorHAnsi" w:hAnsiTheme="minorHAnsi" w:cstheme="minorHAnsi"/>
          <w:b/>
          <w:bCs/>
          <w:shd w:val="clear" w:color="auto" w:fill="FFFFFF"/>
          <w:rtl/>
        </w:rPr>
        <w:t>ת – לצד שמירה קפדנית על יציבות המערכת הבנקאית ועל כספי הציבור ורווחתו.</w:t>
      </w:r>
    </w:p>
    <w:p w:rsidR="00517301" w:rsidRPr="0072334B" w:rsidRDefault="00517301" w:rsidP="006315D0">
      <w:pPr>
        <w:spacing w:before="120"/>
        <w:rPr>
          <w:rFonts w:asciiTheme="minorHAnsi" w:hAnsiTheme="minorHAnsi" w:cstheme="minorHAnsi"/>
        </w:rPr>
      </w:pPr>
    </w:p>
    <w:sectPr w:rsidR="00517301" w:rsidRPr="0072334B" w:rsidSect="000922DC">
      <w:footerReference w:type="default" r:id="rId9"/>
      <w:footerReference w:type="first" r:id="rId10"/>
      <w:pgSz w:w="11906" w:h="16838"/>
      <w:pgMar w:top="1440" w:right="1800" w:bottom="1135" w:left="1800" w:header="708" w:footer="708" w:gutter="0"/>
      <w:cols w:space="708"/>
      <w:titlePg/>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AEADAE" w16cex:dateUtc="2026-05-05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46B5A" w16cid:durableId="50B46B5A"/>
  <w16cid:commentId w16cid:paraId="309181DF" w16cid:durableId="5FAEADAE"/>
  <w16cid:commentId w16cid:paraId="348746EB" w16cid:durableId="348746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9BD" w:rsidRDefault="007869BD" w:rsidP="00721FBE">
      <w:pPr>
        <w:spacing w:line="240" w:lineRule="auto"/>
      </w:pPr>
      <w:r>
        <w:separator/>
      </w:r>
    </w:p>
    <w:p w:rsidR="007869BD" w:rsidRDefault="007869BD"/>
  </w:endnote>
  <w:endnote w:type="continuationSeparator" w:id="0">
    <w:p w:rsidR="007869BD" w:rsidRDefault="007869BD" w:rsidP="00721FBE">
      <w:pPr>
        <w:spacing w:line="240" w:lineRule="auto"/>
      </w:pPr>
      <w:r>
        <w:continuationSeparator/>
      </w:r>
    </w:p>
    <w:p w:rsidR="007869BD" w:rsidRDefault="0078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34" w:rsidRPr="004906C5" w:rsidRDefault="007F1734" w:rsidP="004906C5">
    <w:pPr>
      <w:pStyle w:val="a6"/>
      <w:jc w:val="center"/>
      <w:rPr>
        <w:rFonts w:cs="Times New Roman"/>
        <w:sz w:val="16"/>
        <w:szCs w:val="16"/>
        <w:rtl/>
        <w:lang w:val="he-IL"/>
      </w:rPr>
    </w:pPr>
    <w:r w:rsidRPr="004906C5">
      <w:rPr>
        <w:rFonts w:hint="cs"/>
        <w:noProof/>
        <w:sz w:val="16"/>
        <w:szCs w:val="16"/>
        <w:rtl/>
      </w:rPr>
      <mc:AlternateContent>
        <mc:Choice Requires="wps">
          <w:drawing>
            <wp:anchor distT="0" distB="0" distL="114300" distR="114300" simplePos="0" relativeHeight="251663360" behindDoc="0" locked="0" layoutInCell="1" allowOverlap="1" wp14:anchorId="062B8EA0" wp14:editId="500B433A">
              <wp:simplePos x="0" y="0"/>
              <wp:positionH relativeFrom="column">
                <wp:posOffset>-53340</wp:posOffset>
              </wp:positionH>
              <wp:positionV relativeFrom="paragraph">
                <wp:posOffset>-168275</wp:posOffset>
              </wp:positionV>
              <wp:extent cx="5356860" cy="0"/>
              <wp:effectExtent l="0" t="0" r="15240" b="19050"/>
              <wp:wrapNone/>
              <wp:docPr id="10" name="מחבר ישר 10"/>
              <wp:cNvGraphicFramePr/>
              <a:graphic xmlns:a="http://schemas.openxmlformats.org/drawingml/2006/main">
                <a:graphicData uri="http://schemas.microsoft.com/office/word/2010/wordprocessingShape">
                  <wps:wsp>
                    <wps:cNvCnPr/>
                    <wps:spPr>
                      <a:xfrm flipH="1">
                        <a:off x="0" y="0"/>
                        <a:ext cx="53568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34AC3" id="מחבר ישר 10"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25pt" to="417.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" strokecolor="black [3040]"/>
          </w:pict>
        </mc:Fallback>
      </mc:AlternateContent>
    </w:r>
    <w:r w:rsidR="00331AD0" w:rsidRPr="004906C5">
      <w:rPr>
        <w:rFonts w:cs="Times New Roman"/>
        <w:sz w:val="16"/>
        <w:szCs w:val="16"/>
        <w:rtl/>
        <w:lang w:val="he-I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734" w:rsidRPr="004906C5" w:rsidRDefault="007F1734" w:rsidP="001D526D">
    <w:pPr>
      <w:pStyle w:val="a6"/>
      <w:jc w:val="center"/>
      <w:rPr>
        <w:sz w:val="16"/>
        <w:szCs w:val="16"/>
      </w:rPr>
    </w:pPr>
    <w:r w:rsidRPr="004906C5">
      <w:rPr>
        <w:rFonts w:hint="cs"/>
        <w:noProof/>
        <w:sz w:val="16"/>
        <w:szCs w:val="16"/>
        <w:rtl/>
      </w:rPr>
      <mc:AlternateContent>
        <mc:Choice Requires="wps">
          <w:drawing>
            <wp:anchor distT="0" distB="0" distL="114300" distR="114300" simplePos="0" relativeHeight="251668480" behindDoc="0" locked="0" layoutInCell="1" allowOverlap="1" wp14:anchorId="5B1EDD43" wp14:editId="4A1B4156">
              <wp:simplePos x="0" y="0"/>
              <wp:positionH relativeFrom="column">
                <wp:posOffset>-53340</wp:posOffset>
              </wp:positionH>
              <wp:positionV relativeFrom="paragraph">
                <wp:posOffset>-168275</wp:posOffset>
              </wp:positionV>
              <wp:extent cx="5356860" cy="0"/>
              <wp:effectExtent l="0" t="0" r="15240" b="19050"/>
              <wp:wrapNone/>
              <wp:docPr id="15" name="מחבר ישר 15"/>
              <wp:cNvGraphicFramePr/>
              <a:graphic xmlns:a="http://schemas.openxmlformats.org/drawingml/2006/main">
                <a:graphicData uri="http://schemas.microsoft.com/office/word/2010/wordprocessingShape">
                  <wps:wsp>
                    <wps:cNvCnPr/>
                    <wps:spPr>
                      <a:xfrm flipH="1">
                        <a:off x="0" y="0"/>
                        <a:ext cx="535686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5D66" id="מחבר ישר 1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25pt" to="417.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" strokecolor="black [3040]"/>
          </w:pict>
        </mc:Fallback>
      </mc:AlternateContent>
    </w:r>
    <w:r w:rsidR="00331AD0" w:rsidRPr="004906C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9BD" w:rsidRDefault="007869BD" w:rsidP="000922DC">
      <w:pPr>
        <w:spacing w:line="240" w:lineRule="auto"/>
      </w:pPr>
      <w:r>
        <w:separator/>
      </w:r>
    </w:p>
  </w:footnote>
  <w:footnote w:type="continuationSeparator" w:id="0">
    <w:p w:rsidR="007869BD" w:rsidRDefault="007869BD" w:rsidP="00A93135">
      <w:pPr>
        <w:spacing w:line="240" w:lineRule="auto"/>
      </w:pPr>
      <w:r>
        <w:continuationSeparator/>
      </w:r>
    </w:p>
    <w:p w:rsidR="007869BD" w:rsidRDefault="007869BD"/>
  </w:footnote>
  <w:footnote w:type="continuationNotice" w:id="1">
    <w:p w:rsidR="007869BD" w:rsidRDefault="007869BD" w:rsidP="00A93135">
      <w:pPr>
        <w:spacing w:line="240" w:lineRule="auto"/>
      </w:pPr>
    </w:p>
    <w:p w:rsidR="007869BD" w:rsidRDefault="007869BD"/>
  </w:footnote>
  <w:footnote w:id="2">
    <w:p w:rsidR="00741923" w:rsidRPr="00180F97" w:rsidRDefault="00741923" w:rsidP="00741923">
      <w:pPr>
        <w:pStyle w:val="ab"/>
        <w:rPr>
          <w:rFonts w:ascii="Assistant" w:hAnsi="Assistant" w:cs="Assistant"/>
        </w:rPr>
      </w:pPr>
      <w:r w:rsidRPr="00180F97">
        <w:rPr>
          <w:rStyle w:val="ad"/>
          <w:rFonts w:ascii="Assistant" w:hAnsi="Assistant" w:cs="Assistant"/>
          <w:sz w:val="20"/>
          <w:szCs w:val="20"/>
        </w:rPr>
        <w:footnoteRef/>
      </w:r>
      <w:r w:rsidRPr="00180F97">
        <w:rPr>
          <w:rFonts w:ascii="Assistant" w:hAnsi="Assistant" w:cs="Assistant"/>
          <w:sz w:val="20"/>
          <w:szCs w:val="20"/>
          <w:rtl/>
        </w:rPr>
        <w:t xml:space="preserve"> בשלוש השנים האחרונות התקיים שיח פורמלי בין הפיקוח על הבנקים לרשות התחרות, שכלל מספר פגישות עבודה, פגישות התייעצות ומכתבים נרחבים. לאורך כל הדרך הפיקוח על הבנקים הציג עמדה מקצועית עקבית מבוססת וברורה, הנשענת על אחריותו ותפקידו ליציבות המערכת, להגנה על כספי הציבור, </w:t>
      </w:r>
      <w:r w:rsidRPr="00180F97">
        <w:rPr>
          <w:rFonts w:ascii="Assistant" w:hAnsi="Assistant" w:cs="Assistant" w:hint="cs"/>
          <w:sz w:val="20"/>
          <w:szCs w:val="20"/>
          <w:rtl/>
        </w:rPr>
        <w:t>ומחויבותו</w:t>
      </w:r>
      <w:r w:rsidRPr="00180F97">
        <w:rPr>
          <w:rFonts w:ascii="Assistant" w:hAnsi="Assistant" w:cs="Assistant"/>
          <w:sz w:val="20"/>
          <w:szCs w:val="20"/>
          <w:rtl/>
        </w:rPr>
        <w:t xml:space="preserve"> לשיפור ההוגנות  ולקידום התחרות.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7F6"/>
    <w:multiLevelType w:val="multilevel"/>
    <w:tmpl w:val="EF46FAE4"/>
    <w:styleLink w:val="a"/>
    <w:lvl w:ilvl="0">
      <w:start w:val="1"/>
      <w:numFmt w:val="decimal"/>
      <w:lvlText w:val="%1."/>
      <w:lvlJc w:val="left"/>
      <w:pPr>
        <w:ind w:left="567" w:hanging="567"/>
      </w:pPr>
      <w:rPr>
        <w:rFonts w:cs="David" w:hint="default"/>
      </w:rPr>
    </w:lvl>
    <w:lvl w:ilvl="1">
      <w:start w:val="1"/>
      <w:numFmt w:val="decimal"/>
      <w:lvlText w:val="%1.%2."/>
      <w:lvlJc w:val="left"/>
      <w:pPr>
        <w:ind w:left="851" w:hanging="284"/>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446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86C32"/>
    <w:multiLevelType w:val="hybridMultilevel"/>
    <w:tmpl w:val="2E54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3D30"/>
    <w:multiLevelType w:val="hybridMultilevel"/>
    <w:tmpl w:val="49DE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6666"/>
    <w:multiLevelType w:val="hybridMultilevel"/>
    <w:tmpl w:val="183AD0E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5B7B17"/>
    <w:multiLevelType w:val="hybridMultilevel"/>
    <w:tmpl w:val="E1D4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F0B0E"/>
    <w:multiLevelType w:val="hybridMultilevel"/>
    <w:tmpl w:val="CC44E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72329"/>
    <w:multiLevelType w:val="hybridMultilevel"/>
    <w:tmpl w:val="166A3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B0B76"/>
    <w:multiLevelType w:val="hybridMultilevel"/>
    <w:tmpl w:val="9CBAF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F4DAA"/>
    <w:multiLevelType w:val="multilevel"/>
    <w:tmpl w:val="8CE47F9A"/>
    <w:lvl w:ilvl="0">
      <w:start w:val="1"/>
      <w:numFmt w:val="decimal"/>
      <w:lvlText w:val="%1."/>
      <w:lvlJc w:val="left"/>
      <w:pPr>
        <w:ind w:left="397" w:hanging="397"/>
      </w:pPr>
      <w:rPr>
        <w:rFonts w:cs="David" w:hint="default"/>
      </w:rPr>
    </w:lvl>
    <w:lvl w:ilvl="1">
      <w:start w:val="1"/>
      <w:numFmt w:val="decimal"/>
      <w:lvlText w:val="%1.%2."/>
      <w:lvlJc w:val="left"/>
      <w:pPr>
        <w:ind w:left="794" w:hanging="397"/>
      </w:pPr>
      <w:rPr>
        <w:rFonts w:hint="default"/>
      </w:rPr>
    </w:lvl>
    <w:lvl w:ilvl="2">
      <w:start w:val="1"/>
      <w:numFmt w:val="decimal"/>
      <w:lvlText w:val="%1.%2.%3."/>
      <w:lvlJc w:val="left"/>
      <w:pPr>
        <w:ind w:left="1361" w:hanging="567"/>
      </w:pPr>
      <w:rPr>
        <w:rFonts w:hint="default"/>
      </w:rPr>
    </w:lvl>
    <w:lvl w:ilvl="3">
      <w:start w:val="1"/>
      <w:numFmt w:val="decimal"/>
      <w:lvlText w:val="%1.%2.%3.%4."/>
      <w:lvlJc w:val="left"/>
      <w:pPr>
        <w:ind w:left="2268"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9E4D40"/>
    <w:multiLevelType w:val="hybridMultilevel"/>
    <w:tmpl w:val="FE8E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5EC5"/>
    <w:multiLevelType w:val="hybridMultilevel"/>
    <w:tmpl w:val="DF1A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6347A"/>
    <w:multiLevelType w:val="hybridMultilevel"/>
    <w:tmpl w:val="EEE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B46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C2F1D"/>
    <w:multiLevelType w:val="multilevel"/>
    <w:tmpl w:val="C2C6CB8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F52249"/>
    <w:multiLevelType w:val="hybridMultilevel"/>
    <w:tmpl w:val="23C2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416C0"/>
    <w:multiLevelType w:val="hybridMultilevel"/>
    <w:tmpl w:val="ACD4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A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43025D"/>
    <w:multiLevelType w:val="hybridMultilevel"/>
    <w:tmpl w:val="D7CAE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75A46"/>
    <w:multiLevelType w:val="hybridMultilevel"/>
    <w:tmpl w:val="70F27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A80734"/>
    <w:multiLevelType w:val="hybridMultilevel"/>
    <w:tmpl w:val="2ACE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4"/>
  </w:num>
  <w:num w:numId="5">
    <w:abstractNumId w:val="6"/>
  </w:num>
  <w:num w:numId="6">
    <w:abstractNumId w:val="8"/>
  </w:num>
  <w:num w:numId="7">
    <w:abstractNumId w:val="1"/>
  </w:num>
  <w:num w:numId="8">
    <w:abstractNumId w:val="13"/>
  </w:num>
  <w:num w:numId="9">
    <w:abstractNumId w:val="18"/>
  </w:num>
  <w:num w:numId="10">
    <w:abstractNumId w:val="20"/>
  </w:num>
  <w:num w:numId="11">
    <w:abstractNumId w:val="10"/>
  </w:num>
  <w:num w:numId="12">
    <w:abstractNumId w:val="7"/>
  </w:num>
  <w:num w:numId="13">
    <w:abstractNumId w:val="11"/>
  </w:num>
  <w:num w:numId="14">
    <w:abstractNumId w:val="2"/>
  </w:num>
  <w:num w:numId="15">
    <w:abstractNumId w:val="3"/>
  </w:num>
  <w:num w:numId="16">
    <w:abstractNumId w:val="15"/>
  </w:num>
  <w:num w:numId="17">
    <w:abstractNumId w:val="12"/>
  </w:num>
  <w:num w:numId="18">
    <w:abstractNumId w:val="5"/>
  </w:num>
  <w:num w:numId="19">
    <w:abstractNumId w:val="16"/>
  </w:num>
  <w:num w:numId="20">
    <w:abstractNumId w:val="19"/>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BE"/>
    <w:rsid w:val="000000C9"/>
    <w:rsid w:val="000061BB"/>
    <w:rsid w:val="00044C9A"/>
    <w:rsid w:val="00053B05"/>
    <w:rsid w:val="00055984"/>
    <w:rsid w:val="00055AF0"/>
    <w:rsid w:val="00056133"/>
    <w:rsid w:val="00063703"/>
    <w:rsid w:val="000639AA"/>
    <w:rsid w:val="00063F02"/>
    <w:rsid w:val="00070AC9"/>
    <w:rsid w:val="00072C8D"/>
    <w:rsid w:val="000763AA"/>
    <w:rsid w:val="00082E73"/>
    <w:rsid w:val="000840A7"/>
    <w:rsid w:val="000922DC"/>
    <w:rsid w:val="000947E3"/>
    <w:rsid w:val="000A1115"/>
    <w:rsid w:val="000C6244"/>
    <w:rsid w:val="000D142B"/>
    <w:rsid w:val="000D4ECD"/>
    <w:rsid w:val="000D6B02"/>
    <w:rsid w:val="000F256A"/>
    <w:rsid w:val="000F7142"/>
    <w:rsid w:val="00100598"/>
    <w:rsid w:val="001106F9"/>
    <w:rsid w:val="001176C3"/>
    <w:rsid w:val="00124456"/>
    <w:rsid w:val="00130C80"/>
    <w:rsid w:val="0013273D"/>
    <w:rsid w:val="00132DBC"/>
    <w:rsid w:val="00136642"/>
    <w:rsid w:val="00141434"/>
    <w:rsid w:val="00180F97"/>
    <w:rsid w:val="001859C7"/>
    <w:rsid w:val="001A3043"/>
    <w:rsid w:val="001C18E3"/>
    <w:rsid w:val="001C4F5E"/>
    <w:rsid w:val="001C50E5"/>
    <w:rsid w:val="001C5984"/>
    <w:rsid w:val="001D526D"/>
    <w:rsid w:val="001E13B8"/>
    <w:rsid w:val="001E34B0"/>
    <w:rsid w:val="001E7A98"/>
    <w:rsid w:val="001E7EE3"/>
    <w:rsid w:val="001F5113"/>
    <w:rsid w:val="002200B9"/>
    <w:rsid w:val="00226BF9"/>
    <w:rsid w:val="00227F17"/>
    <w:rsid w:val="00232978"/>
    <w:rsid w:val="00234BA5"/>
    <w:rsid w:val="00242F90"/>
    <w:rsid w:val="002461AB"/>
    <w:rsid w:val="00250870"/>
    <w:rsid w:val="00253ACA"/>
    <w:rsid w:val="0026199C"/>
    <w:rsid w:val="00271114"/>
    <w:rsid w:val="00286819"/>
    <w:rsid w:val="002872BE"/>
    <w:rsid w:val="00292C4E"/>
    <w:rsid w:val="00293C76"/>
    <w:rsid w:val="00296B6B"/>
    <w:rsid w:val="002A004D"/>
    <w:rsid w:val="002B1AD6"/>
    <w:rsid w:val="002B6056"/>
    <w:rsid w:val="002C58EB"/>
    <w:rsid w:val="002E1FC3"/>
    <w:rsid w:val="002F06E5"/>
    <w:rsid w:val="0030230F"/>
    <w:rsid w:val="003046A6"/>
    <w:rsid w:val="00304F9A"/>
    <w:rsid w:val="003175B9"/>
    <w:rsid w:val="003223EA"/>
    <w:rsid w:val="00323380"/>
    <w:rsid w:val="003275F0"/>
    <w:rsid w:val="00331AD0"/>
    <w:rsid w:val="00345540"/>
    <w:rsid w:val="003505FC"/>
    <w:rsid w:val="0035237D"/>
    <w:rsid w:val="00353663"/>
    <w:rsid w:val="00397C57"/>
    <w:rsid w:val="003C22C4"/>
    <w:rsid w:val="003D5168"/>
    <w:rsid w:val="003E1BB2"/>
    <w:rsid w:val="003E2A17"/>
    <w:rsid w:val="003E6D27"/>
    <w:rsid w:val="003F1176"/>
    <w:rsid w:val="003F41EF"/>
    <w:rsid w:val="003F623C"/>
    <w:rsid w:val="00417FAD"/>
    <w:rsid w:val="00435A2C"/>
    <w:rsid w:val="0045141C"/>
    <w:rsid w:val="00452ABE"/>
    <w:rsid w:val="004553AE"/>
    <w:rsid w:val="004556C7"/>
    <w:rsid w:val="00455D9F"/>
    <w:rsid w:val="004622C8"/>
    <w:rsid w:val="00464591"/>
    <w:rsid w:val="00467B6E"/>
    <w:rsid w:val="0047641A"/>
    <w:rsid w:val="00480573"/>
    <w:rsid w:val="004906C5"/>
    <w:rsid w:val="004938CC"/>
    <w:rsid w:val="004A1E2F"/>
    <w:rsid w:val="004C1FF5"/>
    <w:rsid w:val="004C4EE6"/>
    <w:rsid w:val="004C58BA"/>
    <w:rsid w:val="004E0AF5"/>
    <w:rsid w:val="004E4D9D"/>
    <w:rsid w:val="004E6ADB"/>
    <w:rsid w:val="004F358B"/>
    <w:rsid w:val="005130BA"/>
    <w:rsid w:val="00517301"/>
    <w:rsid w:val="00542D46"/>
    <w:rsid w:val="00543C53"/>
    <w:rsid w:val="00544D9D"/>
    <w:rsid w:val="00552B0B"/>
    <w:rsid w:val="0057388F"/>
    <w:rsid w:val="00574628"/>
    <w:rsid w:val="005766A9"/>
    <w:rsid w:val="00581EA5"/>
    <w:rsid w:val="005842CA"/>
    <w:rsid w:val="0058763B"/>
    <w:rsid w:val="00590CD6"/>
    <w:rsid w:val="00592CC0"/>
    <w:rsid w:val="00592CF1"/>
    <w:rsid w:val="00593F64"/>
    <w:rsid w:val="005959B3"/>
    <w:rsid w:val="005A0E19"/>
    <w:rsid w:val="005A1CF7"/>
    <w:rsid w:val="005A44B8"/>
    <w:rsid w:val="005B1F28"/>
    <w:rsid w:val="005C6C69"/>
    <w:rsid w:val="005D2D40"/>
    <w:rsid w:val="005D48F0"/>
    <w:rsid w:val="005D4F29"/>
    <w:rsid w:val="005E226A"/>
    <w:rsid w:val="005F01B1"/>
    <w:rsid w:val="005F20FA"/>
    <w:rsid w:val="005F483C"/>
    <w:rsid w:val="005F7544"/>
    <w:rsid w:val="00604459"/>
    <w:rsid w:val="0060492E"/>
    <w:rsid w:val="0062041F"/>
    <w:rsid w:val="006315D0"/>
    <w:rsid w:val="006323AF"/>
    <w:rsid w:val="00657F83"/>
    <w:rsid w:val="00670577"/>
    <w:rsid w:val="00675A60"/>
    <w:rsid w:val="00691392"/>
    <w:rsid w:val="006A34B9"/>
    <w:rsid w:val="006A6D62"/>
    <w:rsid w:val="006C5EB8"/>
    <w:rsid w:val="006D3B19"/>
    <w:rsid w:val="006D5DB2"/>
    <w:rsid w:val="006D5E90"/>
    <w:rsid w:val="006E70B3"/>
    <w:rsid w:val="006E790D"/>
    <w:rsid w:val="006F2305"/>
    <w:rsid w:val="006F6A71"/>
    <w:rsid w:val="007207A3"/>
    <w:rsid w:val="00721FBE"/>
    <w:rsid w:val="0072334B"/>
    <w:rsid w:val="00727AD8"/>
    <w:rsid w:val="00737E74"/>
    <w:rsid w:val="00741923"/>
    <w:rsid w:val="00757BF5"/>
    <w:rsid w:val="00760BE8"/>
    <w:rsid w:val="00777F0F"/>
    <w:rsid w:val="007869BD"/>
    <w:rsid w:val="00786FBE"/>
    <w:rsid w:val="00797DC7"/>
    <w:rsid w:val="00797E0D"/>
    <w:rsid w:val="007A18D4"/>
    <w:rsid w:val="007A3BA5"/>
    <w:rsid w:val="007B09D7"/>
    <w:rsid w:val="007C6AD8"/>
    <w:rsid w:val="007D589C"/>
    <w:rsid w:val="007D5ABF"/>
    <w:rsid w:val="007E7263"/>
    <w:rsid w:val="007F1734"/>
    <w:rsid w:val="007F5326"/>
    <w:rsid w:val="007F5D91"/>
    <w:rsid w:val="00810637"/>
    <w:rsid w:val="00825B37"/>
    <w:rsid w:val="00835CEC"/>
    <w:rsid w:val="00857346"/>
    <w:rsid w:val="0087503B"/>
    <w:rsid w:val="00882B25"/>
    <w:rsid w:val="008A2736"/>
    <w:rsid w:val="008A2F2E"/>
    <w:rsid w:val="008A60A2"/>
    <w:rsid w:val="008A6D6E"/>
    <w:rsid w:val="008B0B64"/>
    <w:rsid w:val="008B35B4"/>
    <w:rsid w:val="008C079C"/>
    <w:rsid w:val="008C097E"/>
    <w:rsid w:val="008C400E"/>
    <w:rsid w:val="008C661C"/>
    <w:rsid w:val="008E2E94"/>
    <w:rsid w:val="008E3A2D"/>
    <w:rsid w:val="008E5129"/>
    <w:rsid w:val="008E5BA1"/>
    <w:rsid w:val="008E7971"/>
    <w:rsid w:val="008E7F3D"/>
    <w:rsid w:val="0092403D"/>
    <w:rsid w:val="0093342B"/>
    <w:rsid w:val="00953969"/>
    <w:rsid w:val="00953C9E"/>
    <w:rsid w:val="0096410F"/>
    <w:rsid w:val="009814CF"/>
    <w:rsid w:val="009819F5"/>
    <w:rsid w:val="00990EA6"/>
    <w:rsid w:val="009A4CBC"/>
    <w:rsid w:val="009B13AF"/>
    <w:rsid w:val="009B5125"/>
    <w:rsid w:val="009E1787"/>
    <w:rsid w:val="009E70C4"/>
    <w:rsid w:val="009F132B"/>
    <w:rsid w:val="009F72C4"/>
    <w:rsid w:val="00A000DD"/>
    <w:rsid w:val="00A003A1"/>
    <w:rsid w:val="00A105C4"/>
    <w:rsid w:val="00A22227"/>
    <w:rsid w:val="00A23BA5"/>
    <w:rsid w:val="00A2613F"/>
    <w:rsid w:val="00A27A3F"/>
    <w:rsid w:val="00A31049"/>
    <w:rsid w:val="00A35A15"/>
    <w:rsid w:val="00A46CCC"/>
    <w:rsid w:val="00A50E27"/>
    <w:rsid w:val="00A52AED"/>
    <w:rsid w:val="00A6135C"/>
    <w:rsid w:val="00A61982"/>
    <w:rsid w:val="00A71342"/>
    <w:rsid w:val="00A805BB"/>
    <w:rsid w:val="00A81B83"/>
    <w:rsid w:val="00A870FA"/>
    <w:rsid w:val="00A92CDF"/>
    <w:rsid w:val="00A93135"/>
    <w:rsid w:val="00A93465"/>
    <w:rsid w:val="00A97126"/>
    <w:rsid w:val="00AB255F"/>
    <w:rsid w:val="00AB66BE"/>
    <w:rsid w:val="00AC5E01"/>
    <w:rsid w:val="00AC6DF0"/>
    <w:rsid w:val="00AC7DFA"/>
    <w:rsid w:val="00AD2C4D"/>
    <w:rsid w:val="00AD566A"/>
    <w:rsid w:val="00AE157D"/>
    <w:rsid w:val="00AF2415"/>
    <w:rsid w:val="00B0133B"/>
    <w:rsid w:val="00B06DFF"/>
    <w:rsid w:val="00B174D3"/>
    <w:rsid w:val="00B22ABE"/>
    <w:rsid w:val="00B317D7"/>
    <w:rsid w:val="00B32E81"/>
    <w:rsid w:val="00B44B12"/>
    <w:rsid w:val="00B45267"/>
    <w:rsid w:val="00B6170B"/>
    <w:rsid w:val="00B66919"/>
    <w:rsid w:val="00B7265E"/>
    <w:rsid w:val="00B80FF4"/>
    <w:rsid w:val="00B831A0"/>
    <w:rsid w:val="00B91C15"/>
    <w:rsid w:val="00B96949"/>
    <w:rsid w:val="00BB0830"/>
    <w:rsid w:val="00BB3C69"/>
    <w:rsid w:val="00BB79F4"/>
    <w:rsid w:val="00BD233F"/>
    <w:rsid w:val="00BD5C0D"/>
    <w:rsid w:val="00BE4653"/>
    <w:rsid w:val="00BF1BDB"/>
    <w:rsid w:val="00C10E54"/>
    <w:rsid w:val="00C125A8"/>
    <w:rsid w:val="00C14AE0"/>
    <w:rsid w:val="00C15E68"/>
    <w:rsid w:val="00C378E0"/>
    <w:rsid w:val="00C378E6"/>
    <w:rsid w:val="00C51182"/>
    <w:rsid w:val="00C634DE"/>
    <w:rsid w:val="00C65FB1"/>
    <w:rsid w:val="00C73AB3"/>
    <w:rsid w:val="00C83D18"/>
    <w:rsid w:val="00C913ED"/>
    <w:rsid w:val="00C95A17"/>
    <w:rsid w:val="00C95BBE"/>
    <w:rsid w:val="00CA5785"/>
    <w:rsid w:val="00CB23A9"/>
    <w:rsid w:val="00CC5191"/>
    <w:rsid w:val="00CE1920"/>
    <w:rsid w:val="00CF2B4B"/>
    <w:rsid w:val="00D162AE"/>
    <w:rsid w:val="00D4276A"/>
    <w:rsid w:val="00D528BE"/>
    <w:rsid w:val="00D52A7A"/>
    <w:rsid w:val="00D5652D"/>
    <w:rsid w:val="00D65EB3"/>
    <w:rsid w:val="00D66A47"/>
    <w:rsid w:val="00DB40A4"/>
    <w:rsid w:val="00DB5EE7"/>
    <w:rsid w:val="00DC681C"/>
    <w:rsid w:val="00DD27B2"/>
    <w:rsid w:val="00DD5B46"/>
    <w:rsid w:val="00DD7772"/>
    <w:rsid w:val="00DE285A"/>
    <w:rsid w:val="00E128C6"/>
    <w:rsid w:val="00E27DB5"/>
    <w:rsid w:val="00E323E6"/>
    <w:rsid w:val="00E4027F"/>
    <w:rsid w:val="00E51BA2"/>
    <w:rsid w:val="00E54C5E"/>
    <w:rsid w:val="00E6561F"/>
    <w:rsid w:val="00E67538"/>
    <w:rsid w:val="00E74A48"/>
    <w:rsid w:val="00EA202F"/>
    <w:rsid w:val="00EA2621"/>
    <w:rsid w:val="00EA4917"/>
    <w:rsid w:val="00EA5583"/>
    <w:rsid w:val="00EC19F3"/>
    <w:rsid w:val="00EC33B7"/>
    <w:rsid w:val="00EC5744"/>
    <w:rsid w:val="00EC6EF6"/>
    <w:rsid w:val="00ED0DB8"/>
    <w:rsid w:val="00ED6636"/>
    <w:rsid w:val="00EE1EFB"/>
    <w:rsid w:val="00EE601B"/>
    <w:rsid w:val="00EE6166"/>
    <w:rsid w:val="00EE61E7"/>
    <w:rsid w:val="00F07FB0"/>
    <w:rsid w:val="00F16FAD"/>
    <w:rsid w:val="00F207C4"/>
    <w:rsid w:val="00F22F76"/>
    <w:rsid w:val="00F31D25"/>
    <w:rsid w:val="00F3725D"/>
    <w:rsid w:val="00F37B60"/>
    <w:rsid w:val="00F44FE7"/>
    <w:rsid w:val="00F512CF"/>
    <w:rsid w:val="00F513FB"/>
    <w:rsid w:val="00F60560"/>
    <w:rsid w:val="00F60AA9"/>
    <w:rsid w:val="00F73060"/>
    <w:rsid w:val="00F84D3B"/>
    <w:rsid w:val="00F85986"/>
    <w:rsid w:val="00F8676B"/>
    <w:rsid w:val="00FA6EF6"/>
    <w:rsid w:val="00FB3B7C"/>
    <w:rsid w:val="00FB5C4D"/>
    <w:rsid w:val="00FC5331"/>
    <w:rsid w:val="00FC7762"/>
    <w:rsid w:val="00FE1210"/>
    <w:rsid w:val="00FF4F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2DCDB21-42BE-48E3-B667-949299F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David"/>
        <w:sz w:val="24"/>
        <w:szCs w:val="24"/>
        <w:lang w:val="en-US" w:eastAsia="en-US" w:bidi="he-I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7762"/>
    <w:pPr>
      <w:bidi/>
    </w:pPr>
  </w:style>
  <w:style w:type="paragraph" w:styleId="1">
    <w:name w:val="heading 1"/>
    <w:basedOn w:val="a0"/>
    <w:next w:val="a0"/>
    <w:link w:val="10"/>
    <w:uiPriority w:val="9"/>
    <w:qFormat/>
    <w:rsid w:val="00F859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721FBE"/>
    <w:pPr>
      <w:tabs>
        <w:tab w:val="center" w:pos="4153"/>
        <w:tab w:val="right" w:pos="8306"/>
      </w:tabs>
      <w:spacing w:line="240" w:lineRule="auto"/>
    </w:pPr>
  </w:style>
  <w:style w:type="character" w:customStyle="1" w:styleId="a5">
    <w:name w:val="כותרת עליונה תו"/>
    <w:basedOn w:val="a1"/>
    <w:link w:val="a4"/>
    <w:rsid w:val="00721FBE"/>
  </w:style>
  <w:style w:type="paragraph" w:styleId="a6">
    <w:name w:val="footer"/>
    <w:basedOn w:val="a0"/>
    <w:link w:val="a7"/>
    <w:unhideWhenUsed/>
    <w:rsid w:val="00721FBE"/>
    <w:pPr>
      <w:tabs>
        <w:tab w:val="center" w:pos="4153"/>
        <w:tab w:val="right" w:pos="8306"/>
      </w:tabs>
      <w:spacing w:line="240" w:lineRule="auto"/>
    </w:pPr>
  </w:style>
  <w:style w:type="character" w:customStyle="1" w:styleId="a7">
    <w:name w:val="כותרת תחתונה תו"/>
    <w:basedOn w:val="a1"/>
    <w:link w:val="a6"/>
    <w:uiPriority w:val="99"/>
    <w:rsid w:val="00721FBE"/>
  </w:style>
  <w:style w:type="paragraph" w:styleId="a8">
    <w:name w:val="Balloon Text"/>
    <w:basedOn w:val="a0"/>
    <w:link w:val="a9"/>
    <w:uiPriority w:val="99"/>
    <w:semiHidden/>
    <w:unhideWhenUsed/>
    <w:rsid w:val="00721FBE"/>
    <w:pPr>
      <w:spacing w:line="240" w:lineRule="auto"/>
    </w:pPr>
    <w:rPr>
      <w:rFonts w:ascii="Tahoma" w:hAnsi="Tahoma" w:cs="Tahoma"/>
      <w:sz w:val="16"/>
      <w:szCs w:val="16"/>
    </w:rPr>
  </w:style>
  <w:style w:type="character" w:customStyle="1" w:styleId="a9">
    <w:name w:val="טקסט בלונים תו"/>
    <w:basedOn w:val="a1"/>
    <w:link w:val="a8"/>
    <w:uiPriority w:val="99"/>
    <w:semiHidden/>
    <w:rsid w:val="00721FBE"/>
    <w:rPr>
      <w:rFonts w:ascii="Tahoma" w:hAnsi="Tahoma" w:cs="Tahoma"/>
      <w:sz w:val="16"/>
      <w:szCs w:val="16"/>
    </w:rPr>
  </w:style>
  <w:style w:type="character" w:customStyle="1" w:styleId="10">
    <w:name w:val="כותרת 1 תו"/>
    <w:basedOn w:val="a1"/>
    <w:link w:val="1"/>
    <w:uiPriority w:val="9"/>
    <w:rsid w:val="00F85986"/>
    <w:rPr>
      <w:rFonts w:asciiTheme="majorHAnsi" w:eastAsiaTheme="majorEastAsia" w:hAnsiTheme="majorHAnsi" w:cstheme="majorBidi"/>
      <w:b/>
      <w:bCs/>
      <w:color w:val="365F91" w:themeColor="accent1" w:themeShade="BF"/>
      <w:sz w:val="28"/>
      <w:szCs w:val="28"/>
    </w:rPr>
  </w:style>
  <w:style w:type="table" w:styleId="aa">
    <w:name w:val="Table Grid"/>
    <w:basedOn w:val="a2"/>
    <w:uiPriority w:val="59"/>
    <w:rsid w:val="00590C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0"/>
    <w:link w:val="ac"/>
    <w:uiPriority w:val="99"/>
    <w:semiHidden/>
    <w:unhideWhenUsed/>
    <w:rsid w:val="007A3BA5"/>
    <w:pPr>
      <w:spacing w:line="240" w:lineRule="auto"/>
    </w:pPr>
  </w:style>
  <w:style w:type="character" w:customStyle="1" w:styleId="ac">
    <w:name w:val="טקסט הערת שוליים תו"/>
    <w:basedOn w:val="a1"/>
    <w:link w:val="ab"/>
    <w:uiPriority w:val="99"/>
    <w:semiHidden/>
    <w:rsid w:val="007A3BA5"/>
    <w:rPr>
      <w:sz w:val="20"/>
      <w:szCs w:val="20"/>
    </w:rPr>
  </w:style>
  <w:style w:type="character" w:styleId="ad">
    <w:name w:val="footnote reference"/>
    <w:basedOn w:val="a1"/>
    <w:uiPriority w:val="99"/>
    <w:semiHidden/>
    <w:unhideWhenUsed/>
    <w:rsid w:val="007A3BA5"/>
    <w:rPr>
      <w:vertAlign w:val="superscript"/>
    </w:rPr>
  </w:style>
  <w:style w:type="paragraph" w:styleId="ae">
    <w:name w:val="No Spacing"/>
    <w:uiPriority w:val="1"/>
    <w:qFormat/>
    <w:rsid w:val="008A6D6E"/>
    <w:pPr>
      <w:spacing w:line="240" w:lineRule="auto"/>
    </w:pPr>
  </w:style>
  <w:style w:type="character" w:styleId="af">
    <w:name w:val="page number"/>
    <w:basedOn w:val="a1"/>
    <w:rsid w:val="004E0AF5"/>
  </w:style>
  <w:style w:type="paragraph" w:styleId="af0">
    <w:name w:val="List Paragraph"/>
    <w:basedOn w:val="a0"/>
    <w:uiPriority w:val="34"/>
    <w:qFormat/>
    <w:rsid w:val="00C125A8"/>
    <w:pPr>
      <w:spacing w:after="200" w:line="276" w:lineRule="auto"/>
      <w:ind w:left="720"/>
      <w:contextualSpacing/>
      <w:jc w:val="left"/>
    </w:pPr>
    <w:rPr>
      <w:rFonts w:asciiTheme="minorHAnsi" w:hAnsiTheme="minorHAnsi" w:cstheme="minorBidi"/>
      <w:sz w:val="22"/>
      <w:szCs w:val="22"/>
    </w:rPr>
  </w:style>
  <w:style w:type="numbering" w:customStyle="1" w:styleId="kal">
    <w:name w:val="kal"/>
    <w:uiPriority w:val="99"/>
    <w:rsid w:val="00B32E81"/>
  </w:style>
  <w:style w:type="numbering" w:customStyle="1" w:styleId="kal1">
    <w:name w:val="kal1"/>
    <w:next w:val="kal"/>
    <w:uiPriority w:val="99"/>
    <w:rsid w:val="00B32E81"/>
  </w:style>
  <w:style w:type="numbering" w:customStyle="1" w:styleId="a">
    <w:name w:val="יחידה כלכלית"/>
    <w:uiPriority w:val="99"/>
    <w:rsid w:val="00CA5785"/>
    <w:pPr>
      <w:numPr>
        <w:numId w:val="1"/>
      </w:numPr>
    </w:pPr>
  </w:style>
  <w:style w:type="character" w:styleId="Hyperlink">
    <w:name w:val="Hyperlink"/>
    <w:basedOn w:val="a1"/>
    <w:uiPriority w:val="99"/>
    <w:semiHidden/>
    <w:unhideWhenUsed/>
    <w:rsid w:val="0092403D"/>
    <w:rPr>
      <w:color w:val="0000FF" w:themeColor="hyperlink"/>
      <w:u w:val="single"/>
    </w:rPr>
  </w:style>
  <w:style w:type="character" w:styleId="FollowedHyperlink">
    <w:name w:val="FollowedHyperlink"/>
    <w:basedOn w:val="a1"/>
    <w:uiPriority w:val="99"/>
    <w:semiHidden/>
    <w:unhideWhenUsed/>
    <w:rsid w:val="0092403D"/>
    <w:rPr>
      <w:color w:val="800080" w:themeColor="followedHyperlink"/>
      <w:u w:val="single"/>
    </w:rPr>
  </w:style>
  <w:style w:type="character" w:customStyle="1" w:styleId="ng-star-inserted">
    <w:name w:val="ng-star-inserted"/>
    <w:basedOn w:val="a1"/>
    <w:rsid w:val="00B0133B"/>
  </w:style>
  <w:style w:type="character" w:styleId="af1">
    <w:name w:val="annotation reference"/>
    <w:basedOn w:val="a1"/>
    <w:uiPriority w:val="99"/>
    <w:semiHidden/>
    <w:unhideWhenUsed/>
    <w:rsid w:val="001C4F5E"/>
    <w:rPr>
      <w:sz w:val="16"/>
      <w:szCs w:val="16"/>
    </w:rPr>
  </w:style>
  <w:style w:type="paragraph" w:styleId="af2">
    <w:name w:val="annotation text"/>
    <w:basedOn w:val="a0"/>
    <w:link w:val="af3"/>
    <w:uiPriority w:val="99"/>
    <w:unhideWhenUsed/>
    <w:rsid w:val="001C4F5E"/>
    <w:pPr>
      <w:spacing w:line="240" w:lineRule="auto"/>
    </w:pPr>
    <w:rPr>
      <w:sz w:val="20"/>
      <w:szCs w:val="20"/>
    </w:rPr>
  </w:style>
  <w:style w:type="character" w:customStyle="1" w:styleId="af3">
    <w:name w:val="טקסט הערה תו"/>
    <w:basedOn w:val="a1"/>
    <w:link w:val="af2"/>
    <w:uiPriority w:val="99"/>
    <w:rsid w:val="001C4F5E"/>
    <w:rPr>
      <w:sz w:val="20"/>
      <w:szCs w:val="20"/>
    </w:rPr>
  </w:style>
  <w:style w:type="paragraph" w:styleId="af4">
    <w:name w:val="annotation subject"/>
    <w:basedOn w:val="af2"/>
    <w:next w:val="af2"/>
    <w:link w:val="af5"/>
    <w:uiPriority w:val="99"/>
    <w:semiHidden/>
    <w:unhideWhenUsed/>
    <w:rsid w:val="001C4F5E"/>
    <w:rPr>
      <w:b/>
      <w:bCs/>
    </w:rPr>
  </w:style>
  <w:style w:type="character" w:customStyle="1" w:styleId="af5">
    <w:name w:val="נושא הערה תו"/>
    <w:basedOn w:val="af3"/>
    <w:link w:val="af4"/>
    <w:uiPriority w:val="99"/>
    <w:semiHidden/>
    <w:rsid w:val="001C4F5E"/>
    <w:rPr>
      <w:b/>
      <w:bCs/>
      <w:sz w:val="20"/>
      <w:szCs w:val="20"/>
    </w:rPr>
  </w:style>
  <w:style w:type="paragraph" w:styleId="af6">
    <w:name w:val="Revision"/>
    <w:hidden/>
    <w:uiPriority w:val="99"/>
    <w:semiHidden/>
    <w:rsid w:val="000A1115"/>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8312">
      <w:bodyDiv w:val="1"/>
      <w:marLeft w:val="0"/>
      <w:marRight w:val="0"/>
      <w:marTop w:val="0"/>
      <w:marBottom w:val="0"/>
      <w:divBdr>
        <w:top w:val="none" w:sz="0" w:space="0" w:color="auto"/>
        <w:left w:val="none" w:sz="0" w:space="0" w:color="auto"/>
        <w:bottom w:val="none" w:sz="0" w:space="0" w:color="auto"/>
        <w:right w:val="none" w:sz="0" w:space="0" w:color="auto"/>
      </w:divBdr>
      <w:divsChild>
        <w:div w:id="174732522">
          <w:marLeft w:val="0"/>
          <w:marRight w:val="0"/>
          <w:marTop w:val="0"/>
          <w:marBottom w:val="0"/>
          <w:divBdr>
            <w:top w:val="none" w:sz="0" w:space="0" w:color="auto"/>
            <w:left w:val="none" w:sz="0" w:space="0" w:color="auto"/>
            <w:bottom w:val="none" w:sz="0" w:space="0" w:color="auto"/>
            <w:right w:val="none" w:sz="0" w:space="0" w:color="auto"/>
          </w:divBdr>
          <w:divsChild>
            <w:div w:id="113256179">
              <w:marLeft w:val="0"/>
              <w:marRight w:val="0"/>
              <w:marTop w:val="0"/>
              <w:marBottom w:val="0"/>
              <w:divBdr>
                <w:top w:val="none" w:sz="0" w:space="0" w:color="auto"/>
                <w:left w:val="none" w:sz="0" w:space="0" w:color="auto"/>
                <w:bottom w:val="none" w:sz="0" w:space="0" w:color="auto"/>
                <w:right w:val="none" w:sz="0" w:space="0" w:color="auto"/>
              </w:divBdr>
            </w:div>
            <w:div w:id="513612804">
              <w:marLeft w:val="0"/>
              <w:marRight w:val="0"/>
              <w:marTop w:val="0"/>
              <w:marBottom w:val="0"/>
              <w:divBdr>
                <w:top w:val="none" w:sz="0" w:space="0" w:color="auto"/>
                <w:left w:val="none" w:sz="0" w:space="0" w:color="auto"/>
                <w:bottom w:val="none" w:sz="0" w:space="0" w:color="auto"/>
                <w:right w:val="none" w:sz="0" w:space="0" w:color="auto"/>
              </w:divBdr>
            </w:div>
            <w:div w:id="665981478">
              <w:marLeft w:val="0"/>
              <w:marRight w:val="0"/>
              <w:marTop w:val="0"/>
              <w:marBottom w:val="0"/>
              <w:divBdr>
                <w:top w:val="none" w:sz="0" w:space="0" w:color="auto"/>
                <w:left w:val="none" w:sz="0" w:space="0" w:color="auto"/>
                <w:bottom w:val="none" w:sz="0" w:space="0" w:color="auto"/>
                <w:right w:val="none" w:sz="0" w:space="0" w:color="auto"/>
              </w:divBdr>
            </w:div>
            <w:div w:id="829835478">
              <w:marLeft w:val="0"/>
              <w:marRight w:val="0"/>
              <w:marTop w:val="0"/>
              <w:marBottom w:val="0"/>
              <w:divBdr>
                <w:top w:val="none" w:sz="0" w:space="0" w:color="auto"/>
                <w:left w:val="none" w:sz="0" w:space="0" w:color="auto"/>
                <w:bottom w:val="none" w:sz="0" w:space="0" w:color="auto"/>
                <w:right w:val="none" w:sz="0" w:space="0" w:color="auto"/>
              </w:divBdr>
            </w:div>
            <w:div w:id="1264725716">
              <w:marLeft w:val="0"/>
              <w:marRight w:val="0"/>
              <w:marTop w:val="0"/>
              <w:marBottom w:val="0"/>
              <w:divBdr>
                <w:top w:val="none" w:sz="0" w:space="0" w:color="auto"/>
                <w:left w:val="none" w:sz="0" w:space="0" w:color="auto"/>
                <w:bottom w:val="none" w:sz="0" w:space="0" w:color="auto"/>
                <w:right w:val="none" w:sz="0" w:space="0" w:color="auto"/>
              </w:divBdr>
            </w:div>
            <w:div w:id="1336225866">
              <w:marLeft w:val="0"/>
              <w:marRight w:val="0"/>
              <w:marTop w:val="0"/>
              <w:marBottom w:val="0"/>
              <w:divBdr>
                <w:top w:val="none" w:sz="0" w:space="0" w:color="auto"/>
                <w:left w:val="none" w:sz="0" w:space="0" w:color="auto"/>
                <w:bottom w:val="none" w:sz="0" w:space="0" w:color="auto"/>
                <w:right w:val="none" w:sz="0" w:space="0" w:color="auto"/>
              </w:divBdr>
            </w:div>
            <w:div w:id="1475412652">
              <w:marLeft w:val="0"/>
              <w:marRight w:val="0"/>
              <w:marTop w:val="0"/>
              <w:marBottom w:val="0"/>
              <w:divBdr>
                <w:top w:val="none" w:sz="0" w:space="0" w:color="auto"/>
                <w:left w:val="none" w:sz="0" w:space="0" w:color="auto"/>
                <w:bottom w:val="none" w:sz="0" w:space="0" w:color="auto"/>
                <w:right w:val="none" w:sz="0" w:space="0" w:color="auto"/>
              </w:divBdr>
            </w:div>
            <w:div w:id="1494564374">
              <w:marLeft w:val="0"/>
              <w:marRight w:val="0"/>
              <w:marTop w:val="0"/>
              <w:marBottom w:val="0"/>
              <w:divBdr>
                <w:top w:val="none" w:sz="0" w:space="0" w:color="auto"/>
                <w:left w:val="none" w:sz="0" w:space="0" w:color="auto"/>
                <w:bottom w:val="none" w:sz="0" w:space="0" w:color="auto"/>
                <w:right w:val="none" w:sz="0" w:space="0" w:color="auto"/>
              </w:divBdr>
            </w:div>
            <w:div w:id="1654069636">
              <w:marLeft w:val="0"/>
              <w:marRight w:val="0"/>
              <w:marTop w:val="0"/>
              <w:marBottom w:val="0"/>
              <w:divBdr>
                <w:top w:val="none" w:sz="0" w:space="0" w:color="auto"/>
                <w:left w:val="none" w:sz="0" w:space="0" w:color="auto"/>
                <w:bottom w:val="none" w:sz="0" w:space="0" w:color="auto"/>
                <w:right w:val="none" w:sz="0" w:space="0" w:color="auto"/>
              </w:divBdr>
            </w:div>
            <w:div w:id="1659071845">
              <w:marLeft w:val="0"/>
              <w:marRight w:val="0"/>
              <w:marTop w:val="0"/>
              <w:marBottom w:val="0"/>
              <w:divBdr>
                <w:top w:val="none" w:sz="0" w:space="0" w:color="auto"/>
                <w:left w:val="none" w:sz="0" w:space="0" w:color="auto"/>
                <w:bottom w:val="none" w:sz="0" w:space="0" w:color="auto"/>
                <w:right w:val="none" w:sz="0" w:space="0" w:color="auto"/>
              </w:divBdr>
            </w:div>
            <w:div w:id="1726566346">
              <w:marLeft w:val="0"/>
              <w:marRight w:val="0"/>
              <w:marTop w:val="0"/>
              <w:marBottom w:val="0"/>
              <w:divBdr>
                <w:top w:val="none" w:sz="0" w:space="0" w:color="auto"/>
                <w:left w:val="none" w:sz="0" w:space="0" w:color="auto"/>
                <w:bottom w:val="none" w:sz="0" w:space="0" w:color="auto"/>
                <w:right w:val="none" w:sz="0" w:space="0" w:color="auto"/>
              </w:divBdr>
            </w:div>
            <w:div w:id="1906796576">
              <w:marLeft w:val="0"/>
              <w:marRight w:val="0"/>
              <w:marTop w:val="0"/>
              <w:marBottom w:val="0"/>
              <w:divBdr>
                <w:top w:val="none" w:sz="0" w:space="0" w:color="auto"/>
                <w:left w:val="none" w:sz="0" w:space="0" w:color="auto"/>
                <w:bottom w:val="none" w:sz="0" w:space="0" w:color="auto"/>
                <w:right w:val="none" w:sz="0" w:space="0" w:color="auto"/>
              </w:divBdr>
            </w:div>
            <w:div w:id="21060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99307">
      <w:bodyDiv w:val="1"/>
      <w:marLeft w:val="0"/>
      <w:marRight w:val="0"/>
      <w:marTop w:val="0"/>
      <w:marBottom w:val="0"/>
      <w:divBdr>
        <w:top w:val="none" w:sz="0" w:space="0" w:color="auto"/>
        <w:left w:val="none" w:sz="0" w:space="0" w:color="auto"/>
        <w:bottom w:val="none" w:sz="0" w:space="0" w:color="auto"/>
        <w:right w:val="none" w:sz="0" w:space="0" w:color="auto"/>
      </w:divBdr>
    </w:div>
    <w:div w:id="754471994">
      <w:bodyDiv w:val="1"/>
      <w:marLeft w:val="0"/>
      <w:marRight w:val="0"/>
      <w:marTop w:val="0"/>
      <w:marBottom w:val="0"/>
      <w:divBdr>
        <w:top w:val="none" w:sz="0" w:space="0" w:color="auto"/>
        <w:left w:val="none" w:sz="0" w:space="0" w:color="auto"/>
        <w:bottom w:val="none" w:sz="0" w:space="0" w:color="auto"/>
        <w:right w:val="none" w:sz="0" w:space="0" w:color="auto"/>
      </w:divBdr>
    </w:div>
    <w:div w:id="1646739572">
      <w:bodyDiv w:val="1"/>
      <w:marLeft w:val="0"/>
      <w:marRight w:val="0"/>
      <w:marTop w:val="0"/>
      <w:marBottom w:val="0"/>
      <w:divBdr>
        <w:top w:val="none" w:sz="0" w:space="0" w:color="auto"/>
        <w:left w:val="none" w:sz="0" w:space="0" w:color="auto"/>
        <w:bottom w:val="none" w:sz="0" w:space="0" w:color="auto"/>
        <w:right w:val="none" w:sz="0" w:space="0" w:color="auto"/>
      </w:divBdr>
      <w:divsChild>
        <w:div w:id="471098044">
          <w:marLeft w:val="0"/>
          <w:marRight w:val="0"/>
          <w:marTop w:val="0"/>
          <w:marBottom w:val="0"/>
          <w:divBdr>
            <w:top w:val="none" w:sz="0" w:space="0" w:color="auto"/>
            <w:left w:val="none" w:sz="0" w:space="0" w:color="auto"/>
            <w:bottom w:val="none" w:sz="0" w:space="0" w:color="auto"/>
            <w:right w:val="none" w:sz="0" w:space="0" w:color="auto"/>
          </w:divBdr>
        </w:div>
      </w:divsChild>
    </w:div>
    <w:div w:id="1780446065">
      <w:bodyDiv w:val="1"/>
      <w:marLeft w:val="0"/>
      <w:marRight w:val="0"/>
      <w:marTop w:val="0"/>
      <w:marBottom w:val="0"/>
      <w:divBdr>
        <w:top w:val="none" w:sz="0" w:space="0" w:color="auto"/>
        <w:left w:val="none" w:sz="0" w:space="0" w:color="auto"/>
        <w:bottom w:val="none" w:sz="0" w:space="0" w:color="auto"/>
        <w:right w:val="none" w:sz="0" w:space="0" w:color="auto"/>
      </w:divBdr>
      <w:divsChild>
        <w:div w:id="865749073">
          <w:marLeft w:val="0"/>
          <w:marRight w:val="0"/>
          <w:marTop w:val="0"/>
          <w:marBottom w:val="0"/>
          <w:divBdr>
            <w:top w:val="none" w:sz="0" w:space="0" w:color="auto"/>
            <w:left w:val="none" w:sz="0" w:space="0" w:color="auto"/>
            <w:bottom w:val="none" w:sz="0" w:space="0" w:color="auto"/>
            <w:right w:val="none" w:sz="0" w:space="0" w:color="auto"/>
          </w:divBdr>
        </w:div>
      </w:divsChild>
    </w:div>
    <w:div w:id="1803377930">
      <w:bodyDiv w:val="1"/>
      <w:marLeft w:val="0"/>
      <w:marRight w:val="0"/>
      <w:marTop w:val="0"/>
      <w:marBottom w:val="0"/>
      <w:divBdr>
        <w:top w:val="none" w:sz="0" w:space="0" w:color="auto"/>
        <w:left w:val="none" w:sz="0" w:space="0" w:color="auto"/>
        <w:bottom w:val="none" w:sz="0" w:space="0" w:color="auto"/>
        <w:right w:val="none" w:sz="0" w:space="0" w:color="auto"/>
      </w:divBdr>
      <w:divsChild>
        <w:div w:id="784931094">
          <w:marLeft w:val="0"/>
          <w:marRight w:val="0"/>
          <w:marTop w:val="0"/>
          <w:marBottom w:val="0"/>
          <w:divBdr>
            <w:top w:val="none" w:sz="0" w:space="0" w:color="auto"/>
            <w:left w:val="none" w:sz="0" w:space="0" w:color="auto"/>
            <w:bottom w:val="none" w:sz="0" w:space="0" w:color="auto"/>
            <w:right w:val="none" w:sz="0" w:space="0" w:color="auto"/>
          </w:divBdr>
          <w:divsChild>
            <w:div w:id="95113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904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4177527">
      <w:bodyDiv w:val="1"/>
      <w:marLeft w:val="0"/>
      <w:marRight w:val="0"/>
      <w:marTop w:val="0"/>
      <w:marBottom w:val="0"/>
      <w:divBdr>
        <w:top w:val="none" w:sz="0" w:space="0" w:color="auto"/>
        <w:left w:val="none" w:sz="0" w:space="0" w:color="auto"/>
        <w:bottom w:val="none" w:sz="0" w:space="0" w:color="auto"/>
        <w:right w:val="none" w:sz="0" w:space="0" w:color="auto"/>
      </w:divBdr>
    </w:div>
    <w:div w:id="1989937552">
      <w:bodyDiv w:val="1"/>
      <w:marLeft w:val="0"/>
      <w:marRight w:val="0"/>
      <w:marTop w:val="0"/>
      <w:marBottom w:val="0"/>
      <w:divBdr>
        <w:top w:val="none" w:sz="0" w:space="0" w:color="auto"/>
        <w:left w:val="none" w:sz="0" w:space="0" w:color="auto"/>
        <w:bottom w:val="none" w:sz="0" w:space="0" w:color="auto"/>
        <w:right w:val="none" w:sz="0" w:space="0" w:color="auto"/>
      </w:divBdr>
      <w:divsChild>
        <w:div w:id="360404447">
          <w:marLeft w:val="0"/>
          <w:marRight w:val="0"/>
          <w:marTop w:val="0"/>
          <w:marBottom w:val="0"/>
          <w:divBdr>
            <w:top w:val="none" w:sz="0" w:space="0" w:color="auto"/>
            <w:left w:val="none" w:sz="0" w:space="0" w:color="auto"/>
            <w:bottom w:val="none" w:sz="0" w:space="0" w:color="auto"/>
            <w:right w:val="none" w:sz="0" w:space="0" w:color="auto"/>
          </w:divBdr>
          <w:divsChild>
            <w:div w:id="129636669">
              <w:marLeft w:val="0"/>
              <w:marRight w:val="0"/>
              <w:marTop w:val="0"/>
              <w:marBottom w:val="0"/>
              <w:divBdr>
                <w:top w:val="none" w:sz="0" w:space="0" w:color="auto"/>
                <w:left w:val="none" w:sz="0" w:space="0" w:color="auto"/>
                <w:bottom w:val="none" w:sz="0" w:space="0" w:color="auto"/>
                <w:right w:val="none" w:sz="0" w:space="0" w:color="auto"/>
              </w:divBdr>
            </w:div>
            <w:div w:id="171914383">
              <w:marLeft w:val="0"/>
              <w:marRight w:val="0"/>
              <w:marTop w:val="0"/>
              <w:marBottom w:val="0"/>
              <w:divBdr>
                <w:top w:val="none" w:sz="0" w:space="0" w:color="auto"/>
                <w:left w:val="none" w:sz="0" w:space="0" w:color="auto"/>
                <w:bottom w:val="none" w:sz="0" w:space="0" w:color="auto"/>
                <w:right w:val="none" w:sz="0" w:space="0" w:color="auto"/>
              </w:divBdr>
            </w:div>
            <w:div w:id="203907855">
              <w:marLeft w:val="0"/>
              <w:marRight w:val="0"/>
              <w:marTop w:val="0"/>
              <w:marBottom w:val="0"/>
              <w:divBdr>
                <w:top w:val="none" w:sz="0" w:space="0" w:color="auto"/>
                <w:left w:val="none" w:sz="0" w:space="0" w:color="auto"/>
                <w:bottom w:val="none" w:sz="0" w:space="0" w:color="auto"/>
                <w:right w:val="none" w:sz="0" w:space="0" w:color="auto"/>
              </w:divBdr>
            </w:div>
            <w:div w:id="504327309">
              <w:marLeft w:val="0"/>
              <w:marRight w:val="0"/>
              <w:marTop w:val="0"/>
              <w:marBottom w:val="0"/>
              <w:divBdr>
                <w:top w:val="none" w:sz="0" w:space="0" w:color="auto"/>
                <w:left w:val="none" w:sz="0" w:space="0" w:color="auto"/>
                <w:bottom w:val="none" w:sz="0" w:space="0" w:color="auto"/>
                <w:right w:val="none" w:sz="0" w:space="0" w:color="auto"/>
              </w:divBdr>
            </w:div>
            <w:div w:id="858542391">
              <w:marLeft w:val="0"/>
              <w:marRight w:val="0"/>
              <w:marTop w:val="0"/>
              <w:marBottom w:val="0"/>
              <w:divBdr>
                <w:top w:val="none" w:sz="0" w:space="0" w:color="auto"/>
                <w:left w:val="none" w:sz="0" w:space="0" w:color="auto"/>
                <w:bottom w:val="none" w:sz="0" w:space="0" w:color="auto"/>
                <w:right w:val="none" w:sz="0" w:space="0" w:color="auto"/>
              </w:divBdr>
            </w:div>
            <w:div w:id="987057482">
              <w:marLeft w:val="0"/>
              <w:marRight w:val="0"/>
              <w:marTop w:val="0"/>
              <w:marBottom w:val="0"/>
              <w:divBdr>
                <w:top w:val="none" w:sz="0" w:space="0" w:color="auto"/>
                <w:left w:val="none" w:sz="0" w:space="0" w:color="auto"/>
                <w:bottom w:val="none" w:sz="0" w:space="0" w:color="auto"/>
                <w:right w:val="none" w:sz="0" w:space="0" w:color="auto"/>
              </w:divBdr>
            </w:div>
            <w:div w:id="1047678892">
              <w:marLeft w:val="0"/>
              <w:marRight w:val="0"/>
              <w:marTop w:val="0"/>
              <w:marBottom w:val="0"/>
              <w:divBdr>
                <w:top w:val="none" w:sz="0" w:space="0" w:color="auto"/>
                <w:left w:val="none" w:sz="0" w:space="0" w:color="auto"/>
                <w:bottom w:val="none" w:sz="0" w:space="0" w:color="auto"/>
                <w:right w:val="none" w:sz="0" w:space="0" w:color="auto"/>
              </w:divBdr>
            </w:div>
            <w:div w:id="1059790657">
              <w:marLeft w:val="0"/>
              <w:marRight w:val="0"/>
              <w:marTop w:val="0"/>
              <w:marBottom w:val="0"/>
              <w:divBdr>
                <w:top w:val="none" w:sz="0" w:space="0" w:color="auto"/>
                <w:left w:val="none" w:sz="0" w:space="0" w:color="auto"/>
                <w:bottom w:val="none" w:sz="0" w:space="0" w:color="auto"/>
                <w:right w:val="none" w:sz="0" w:space="0" w:color="auto"/>
              </w:divBdr>
            </w:div>
            <w:div w:id="1309289900">
              <w:marLeft w:val="0"/>
              <w:marRight w:val="0"/>
              <w:marTop w:val="0"/>
              <w:marBottom w:val="0"/>
              <w:divBdr>
                <w:top w:val="none" w:sz="0" w:space="0" w:color="auto"/>
                <w:left w:val="none" w:sz="0" w:space="0" w:color="auto"/>
                <w:bottom w:val="none" w:sz="0" w:space="0" w:color="auto"/>
                <w:right w:val="none" w:sz="0" w:space="0" w:color="auto"/>
              </w:divBdr>
            </w:div>
            <w:div w:id="1353410042">
              <w:marLeft w:val="0"/>
              <w:marRight w:val="0"/>
              <w:marTop w:val="0"/>
              <w:marBottom w:val="0"/>
              <w:divBdr>
                <w:top w:val="none" w:sz="0" w:space="0" w:color="auto"/>
                <w:left w:val="none" w:sz="0" w:space="0" w:color="auto"/>
                <w:bottom w:val="none" w:sz="0" w:space="0" w:color="auto"/>
                <w:right w:val="none" w:sz="0" w:space="0" w:color="auto"/>
              </w:divBdr>
            </w:div>
            <w:div w:id="1499999791">
              <w:marLeft w:val="0"/>
              <w:marRight w:val="0"/>
              <w:marTop w:val="0"/>
              <w:marBottom w:val="0"/>
              <w:divBdr>
                <w:top w:val="none" w:sz="0" w:space="0" w:color="auto"/>
                <w:left w:val="none" w:sz="0" w:space="0" w:color="auto"/>
                <w:bottom w:val="none" w:sz="0" w:space="0" w:color="auto"/>
                <w:right w:val="none" w:sz="0" w:space="0" w:color="auto"/>
              </w:divBdr>
            </w:div>
            <w:div w:id="1685861966">
              <w:marLeft w:val="0"/>
              <w:marRight w:val="0"/>
              <w:marTop w:val="0"/>
              <w:marBottom w:val="0"/>
              <w:divBdr>
                <w:top w:val="none" w:sz="0" w:space="0" w:color="auto"/>
                <w:left w:val="none" w:sz="0" w:space="0" w:color="auto"/>
                <w:bottom w:val="none" w:sz="0" w:space="0" w:color="auto"/>
                <w:right w:val="none" w:sz="0" w:space="0" w:color="auto"/>
              </w:divBdr>
            </w:div>
            <w:div w:id="17833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2485-728B-490B-95BC-61AC23F9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2666</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לירון בן עמוס</cp:lastModifiedBy>
  <cp:revision>4</cp:revision>
  <cp:lastPrinted>2013-07-21T07:49:00Z</cp:lastPrinted>
  <dcterms:created xsi:type="dcterms:W3CDTF">2026-05-06T11:17:00Z</dcterms:created>
  <dcterms:modified xsi:type="dcterms:W3CDTF">2026-05-06T11:34:00Z</dcterms:modified>
</cp:coreProperties>
</file>