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01"/>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6C4F87" w:rsidRPr="00F754CD" w14:paraId="6D2D32B8" w14:textId="77777777" w:rsidTr="000F5274">
        <w:trPr>
          <w:trHeight w:val="1566"/>
          <w:tblHeader/>
        </w:trPr>
        <w:tc>
          <w:tcPr>
            <w:tcW w:w="2916" w:type="dxa"/>
            <w:tcBorders>
              <w:top w:val="nil"/>
              <w:left w:val="nil"/>
              <w:bottom w:val="nil"/>
              <w:right w:val="nil"/>
            </w:tcBorders>
            <w:vAlign w:val="center"/>
          </w:tcPr>
          <w:p w14:paraId="13D7A265" w14:textId="77777777" w:rsidR="006C4F87" w:rsidRPr="000D4675" w:rsidRDefault="006C4F87" w:rsidP="000F5274">
            <w:pPr>
              <w:spacing w:after="0"/>
              <w:rPr>
                <w:rFonts w:ascii="David" w:hAnsi="David" w:cs="David"/>
                <w:b/>
                <w:bCs/>
                <w:sz w:val="28"/>
                <w:szCs w:val="28"/>
                <w:rtl/>
              </w:rPr>
            </w:pPr>
            <w:r w:rsidRPr="000D4675">
              <w:rPr>
                <w:rFonts w:ascii="David" w:hAnsi="David" w:cs="David"/>
                <w:b/>
                <w:bCs/>
                <w:sz w:val="28"/>
                <w:szCs w:val="28"/>
                <w:rtl/>
              </w:rPr>
              <w:t>בנק ישראל</w:t>
            </w:r>
          </w:p>
          <w:p w14:paraId="527DC0CD" w14:textId="77777777" w:rsidR="006C4F87" w:rsidRPr="000D4675" w:rsidRDefault="006C4F87" w:rsidP="000F5274">
            <w:pPr>
              <w:spacing w:after="0"/>
              <w:ind w:right="-101"/>
              <w:rPr>
                <w:rFonts w:ascii="David" w:hAnsi="David" w:cs="David"/>
                <w:rtl/>
              </w:rPr>
            </w:pPr>
            <w:r w:rsidRPr="00F84402">
              <w:rPr>
                <w:rFonts w:ascii="David" w:hAnsi="David" w:cs="David"/>
                <w:sz w:val="24"/>
                <w:szCs w:val="24"/>
                <w:rtl/>
              </w:rPr>
              <w:t>דוברות והסברה כלכלית</w:t>
            </w:r>
          </w:p>
        </w:tc>
        <w:tc>
          <w:tcPr>
            <w:tcW w:w="2835" w:type="dxa"/>
            <w:tcBorders>
              <w:top w:val="nil"/>
              <w:left w:val="nil"/>
              <w:bottom w:val="nil"/>
              <w:right w:val="nil"/>
            </w:tcBorders>
          </w:tcPr>
          <w:p w14:paraId="3D5A5695" w14:textId="77777777" w:rsidR="006C4F87" w:rsidRPr="000D4675" w:rsidRDefault="006C4F87" w:rsidP="000F5274">
            <w:pPr>
              <w:spacing w:line="240" w:lineRule="auto"/>
              <w:jc w:val="center"/>
              <w:rPr>
                <w:rFonts w:ascii="David" w:hAnsi="David" w:cs="David"/>
              </w:rPr>
            </w:pPr>
            <w:r w:rsidRPr="000D4675">
              <w:rPr>
                <w:rFonts w:ascii="David" w:hAnsi="David" w:cs="David"/>
                <w:noProof/>
              </w:rPr>
              <w:drawing>
                <wp:inline distT="0" distB="0" distL="0" distR="0" wp14:anchorId="79FFA60A" wp14:editId="5F91CEBC">
                  <wp:extent cx="901405" cy="94017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97" cy="957794"/>
                          </a:xfrm>
                          <a:prstGeom prst="rect">
                            <a:avLst/>
                          </a:prstGeom>
                          <a:noFill/>
                        </pic:spPr>
                      </pic:pic>
                    </a:graphicData>
                  </a:graphic>
                </wp:inline>
              </w:drawing>
            </w:r>
          </w:p>
        </w:tc>
        <w:tc>
          <w:tcPr>
            <w:tcW w:w="2977" w:type="dxa"/>
            <w:tcBorders>
              <w:top w:val="nil"/>
              <w:left w:val="nil"/>
              <w:bottom w:val="nil"/>
              <w:right w:val="nil"/>
            </w:tcBorders>
            <w:vAlign w:val="center"/>
          </w:tcPr>
          <w:p w14:paraId="4DB8715D" w14:textId="77777777" w:rsidR="006C4F87" w:rsidRPr="00F754CD" w:rsidRDefault="006C4F87" w:rsidP="000F5274">
            <w:pPr>
              <w:spacing w:line="240" w:lineRule="auto"/>
              <w:jc w:val="right"/>
              <w:rPr>
                <w:rFonts w:ascii="David" w:hAnsi="David" w:cs="David"/>
                <w:sz w:val="24"/>
                <w:szCs w:val="24"/>
                <w:rtl/>
              </w:rPr>
            </w:pPr>
            <w:r w:rsidRPr="00F754CD">
              <w:rPr>
                <w:rFonts w:ascii="David" w:hAnsi="David" w:cs="David"/>
                <w:sz w:val="24"/>
                <w:szCs w:val="24"/>
                <w:highlight w:val="yellow"/>
                <w:rtl/>
              </w:rPr>
              <w:t>‏‏</w:t>
            </w:r>
            <w:r w:rsidRPr="00F754CD">
              <w:rPr>
                <w:rFonts w:ascii="David" w:hAnsi="David" w:cs="David"/>
                <w:sz w:val="24"/>
                <w:szCs w:val="24"/>
                <w:rtl/>
              </w:rPr>
              <w:t>ירושלים,</w:t>
            </w:r>
            <w:r w:rsidRPr="00F754CD">
              <w:rPr>
                <w:rFonts w:ascii="David" w:hAnsi="David" w:cs="David" w:hint="cs"/>
                <w:sz w:val="24"/>
                <w:szCs w:val="24"/>
                <w:rtl/>
              </w:rPr>
              <w:t xml:space="preserve"> כ"ג תמוז</w:t>
            </w:r>
            <w:r w:rsidRPr="00F754CD">
              <w:rPr>
                <w:rFonts w:ascii="David" w:hAnsi="David" w:cs="David"/>
                <w:sz w:val="24"/>
                <w:szCs w:val="24"/>
                <w:rtl/>
              </w:rPr>
              <w:t xml:space="preserve">, </w:t>
            </w:r>
            <w:proofErr w:type="spellStart"/>
            <w:r w:rsidRPr="00F754CD">
              <w:rPr>
                <w:rFonts w:ascii="David" w:hAnsi="David" w:cs="David" w:hint="cs"/>
                <w:sz w:val="24"/>
                <w:szCs w:val="24"/>
                <w:rtl/>
              </w:rPr>
              <w:t>ה</w:t>
            </w:r>
            <w:r w:rsidRPr="00F754CD">
              <w:rPr>
                <w:rFonts w:ascii="David" w:hAnsi="David" w:cs="David"/>
                <w:sz w:val="24"/>
                <w:szCs w:val="24"/>
                <w:rtl/>
              </w:rPr>
              <w:t>תשפ"</w:t>
            </w:r>
            <w:r w:rsidRPr="00F754CD">
              <w:rPr>
                <w:rFonts w:ascii="David" w:hAnsi="David" w:cs="David" w:hint="cs"/>
                <w:sz w:val="24"/>
                <w:szCs w:val="24"/>
                <w:rtl/>
              </w:rPr>
              <w:t>ג</w:t>
            </w:r>
            <w:proofErr w:type="spellEnd"/>
          </w:p>
          <w:p w14:paraId="37E1D174" w14:textId="77777777" w:rsidR="006C4F87" w:rsidRPr="00F754CD" w:rsidRDefault="006C4F87" w:rsidP="000F5274">
            <w:pPr>
              <w:bidi w:val="0"/>
              <w:spacing w:line="240" w:lineRule="auto"/>
              <w:rPr>
                <w:rFonts w:ascii="David" w:hAnsi="David" w:cs="David"/>
                <w:sz w:val="24"/>
                <w:szCs w:val="24"/>
                <w:highlight w:val="yellow"/>
              </w:rPr>
            </w:pPr>
            <w:r w:rsidRPr="00F754CD">
              <w:rPr>
                <w:rFonts w:ascii="David" w:hAnsi="David" w:cs="David" w:hint="eastAsia"/>
                <w:sz w:val="24"/>
                <w:szCs w:val="24"/>
                <w:rtl/>
              </w:rPr>
              <w:t>‏</w:t>
            </w:r>
            <w:r w:rsidRPr="00F754CD">
              <w:rPr>
                <w:rFonts w:ascii="David" w:hAnsi="David" w:cs="David" w:hint="cs"/>
                <w:sz w:val="24"/>
                <w:szCs w:val="24"/>
                <w:rtl/>
              </w:rPr>
              <w:t>12</w:t>
            </w:r>
            <w:r w:rsidRPr="00F754CD">
              <w:rPr>
                <w:rFonts w:ascii="David" w:hAnsi="David" w:cs="David"/>
                <w:sz w:val="24"/>
                <w:szCs w:val="24"/>
                <w:rtl/>
              </w:rPr>
              <w:t xml:space="preserve"> </w:t>
            </w:r>
            <w:r w:rsidRPr="00F754CD">
              <w:rPr>
                <w:rFonts w:ascii="David" w:hAnsi="David" w:cs="David" w:hint="cs"/>
                <w:sz w:val="24"/>
                <w:szCs w:val="24"/>
                <w:rtl/>
              </w:rPr>
              <w:t>ביולי</w:t>
            </w:r>
            <w:r w:rsidRPr="00F754CD">
              <w:rPr>
                <w:rFonts w:ascii="David" w:hAnsi="David" w:cs="David"/>
                <w:sz w:val="24"/>
                <w:szCs w:val="24"/>
                <w:rtl/>
              </w:rPr>
              <w:t>, 202</w:t>
            </w:r>
            <w:r w:rsidRPr="00F754CD">
              <w:rPr>
                <w:rFonts w:ascii="David" w:hAnsi="David" w:cs="David" w:hint="cs"/>
                <w:sz w:val="24"/>
                <w:szCs w:val="24"/>
                <w:rtl/>
              </w:rPr>
              <w:t>3</w:t>
            </w:r>
          </w:p>
        </w:tc>
      </w:tr>
    </w:tbl>
    <w:p w14:paraId="729F1487" w14:textId="77B4DAEF" w:rsidR="006C4F87" w:rsidRDefault="006C4F87" w:rsidP="006C4F87">
      <w:pPr>
        <w:shd w:val="clear" w:color="auto" w:fill="FFFFFF"/>
        <w:spacing w:after="100" w:afterAutospacing="1" w:line="360" w:lineRule="auto"/>
        <w:outlineLvl w:val="1"/>
        <w:rPr>
          <w:rFonts w:ascii="David" w:hAnsi="David" w:cs="David"/>
          <w:sz w:val="24"/>
          <w:szCs w:val="24"/>
          <w:rtl/>
        </w:rPr>
      </w:pPr>
    </w:p>
    <w:p w14:paraId="2C5FB7E1" w14:textId="32D3638E" w:rsidR="00163A11" w:rsidRPr="006C4F87" w:rsidRDefault="0058033F" w:rsidP="006C4F87">
      <w:pPr>
        <w:shd w:val="clear" w:color="auto" w:fill="FFFFFF"/>
        <w:spacing w:after="100" w:afterAutospacing="1" w:line="360" w:lineRule="auto"/>
        <w:outlineLvl w:val="1"/>
        <w:rPr>
          <w:rFonts w:ascii="David" w:hAnsi="David" w:cs="David"/>
          <w:sz w:val="24"/>
          <w:szCs w:val="24"/>
          <w:rtl/>
        </w:rPr>
      </w:pPr>
      <w:r w:rsidRPr="006C4F87">
        <w:rPr>
          <w:rFonts w:ascii="David" w:hAnsi="David" w:cs="David"/>
          <w:sz w:val="24"/>
          <w:szCs w:val="24"/>
          <w:rtl/>
        </w:rPr>
        <w:t>הודעה לעיתונות:</w:t>
      </w:r>
    </w:p>
    <w:p w14:paraId="6F1DFAE4" w14:textId="66397936" w:rsidR="00804339" w:rsidRPr="006C4F87" w:rsidRDefault="009015B2" w:rsidP="009963D4">
      <w:pPr>
        <w:shd w:val="clear" w:color="auto" w:fill="FFFFFF"/>
        <w:spacing w:after="100" w:afterAutospacing="1" w:line="360" w:lineRule="auto"/>
        <w:jc w:val="center"/>
        <w:outlineLvl w:val="1"/>
        <w:rPr>
          <w:rFonts w:ascii="David" w:hAnsi="David" w:cs="David"/>
          <w:b/>
          <w:bCs/>
          <w:sz w:val="28"/>
          <w:szCs w:val="28"/>
          <w:rtl/>
        </w:rPr>
      </w:pPr>
      <w:r w:rsidRPr="006C4F87">
        <w:rPr>
          <w:rFonts w:ascii="David" w:hAnsi="David" w:cs="David"/>
          <w:b/>
          <w:bCs/>
          <w:sz w:val="28"/>
          <w:szCs w:val="28"/>
          <w:rtl/>
        </w:rPr>
        <w:t xml:space="preserve">בנק ישראל </w:t>
      </w:r>
      <w:r w:rsidR="00972165" w:rsidRPr="006C4F87">
        <w:rPr>
          <w:rFonts w:ascii="David" w:hAnsi="David" w:cs="David"/>
          <w:b/>
          <w:bCs/>
          <w:sz w:val="28"/>
          <w:szCs w:val="28"/>
          <w:rtl/>
        </w:rPr>
        <w:t>משיק סביבה ייעודית ב</w:t>
      </w:r>
      <w:r w:rsidRPr="006C4F87">
        <w:rPr>
          <w:rFonts w:ascii="David" w:hAnsi="David" w:cs="David"/>
          <w:b/>
          <w:bCs/>
          <w:sz w:val="28"/>
          <w:szCs w:val="28"/>
          <w:rtl/>
        </w:rPr>
        <w:t xml:space="preserve">אתר </w:t>
      </w:r>
      <w:r w:rsidR="00972165" w:rsidRPr="006C4F87">
        <w:rPr>
          <w:rFonts w:ascii="David" w:hAnsi="David" w:cs="David"/>
          <w:b/>
          <w:bCs/>
          <w:sz w:val="28"/>
          <w:szCs w:val="28"/>
          <w:rtl/>
        </w:rPr>
        <w:t xml:space="preserve">הבנק: </w:t>
      </w:r>
      <w:r w:rsidR="00804339" w:rsidRPr="006C4F87">
        <w:rPr>
          <w:rFonts w:ascii="David" w:hAnsi="David" w:cs="David"/>
          <w:b/>
          <w:bCs/>
          <w:sz w:val="28"/>
          <w:szCs w:val="28"/>
          <w:rtl/>
        </w:rPr>
        <w:t>"</w:t>
      </w:r>
      <w:hyperlink r:id="rId8" w:history="1">
        <w:r w:rsidR="00804339" w:rsidRPr="006C4F87">
          <w:rPr>
            <w:rStyle w:val="Hyperlink"/>
            <w:rFonts w:ascii="David" w:hAnsi="David" w:cs="David"/>
            <w:b/>
            <w:bCs/>
            <w:color w:val="auto"/>
            <w:sz w:val="28"/>
            <w:szCs w:val="28"/>
            <w:rtl/>
          </w:rPr>
          <w:t>קו המשווה של בנק ישראל</w:t>
        </w:r>
      </w:hyperlink>
      <w:r w:rsidR="00804339" w:rsidRPr="006C4F87">
        <w:rPr>
          <w:rFonts w:ascii="David" w:hAnsi="David" w:cs="David"/>
          <w:b/>
          <w:bCs/>
          <w:sz w:val="28"/>
          <w:szCs w:val="28"/>
          <w:rtl/>
        </w:rPr>
        <w:t xml:space="preserve">" </w:t>
      </w:r>
      <w:r w:rsidR="003C3063" w:rsidRPr="006C4F87">
        <w:rPr>
          <w:rFonts w:ascii="David" w:hAnsi="David" w:cs="David"/>
          <w:b/>
          <w:bCs/>
          <w:sz w:val="28"/>
          <w:szCs w:val="28"/>
          <w:rtl/>
        </w:rPr>
        <w:t xml:space="preserve">הרחבת המידע ההשוואתי בנוגע </w:t>
      </w:r>
      <w:r w:rsidR="00972165" w:rsidRPr="006C4F87">
        <w:rPr>
          <w:rFonts w:ascii="David" w:hAnsi="David" w:cs="David"/>
          <w:b/>
          <w:bCs/>
          <w:sz w:val="28"/>
          <w:szCs w:val="28"/>
          <w:rtl/>
        </w:rPr>
        <w:t xml:space="preserve"> </w:t>
      </w:r>
      <w:r w:rsidR="003C3063" w:rsidRPr="006C4F87">
        <w:rPr>
          <w:rFonts w:ascii="David" w:hAnsi="David" w:cs="David"/>
          <w:b/>
          <w:bCs/>
          <w:sz w:val="28"/>
          <w:szCs w:val="28"/>
          <w:rtl/>
        </w:rPr>
        <w:t>ל</w:t>
      </w:r>
      <w:r w:rsidR="00972165" w:rsidRPr="006C4F87">
        <w:rPr>
          <w:rFonts w:ascii="David" w:hAnsi="David" w:cs="David"/>
          <w:b/>
          <w:bCs/>
          <w:sz w:val="28"/>
          <w:szCs w:val="28"/>
          <w:rtl/>
        </w:rPr>
        <w:t xml:space="preserve">מוצרים </w:t>
      </w:r>
      <w:r w:rsidR="003E2043" w:rsidRPr="006C4F87">
        <w:rPr>
          <w:rFonts w:ascii="David" w:hAnsi="David" w:cs="David"/>
          <w:b/>
          <w:bCs/>
          <w:sz w:val="28"/>
          <w:szCs w:val="28"/>
          <w:rtl/>
        </w:rPr>
        <w:t xml:space="preserve">פיננסיים </w:t>
      </w:r>
      <w:r w:rsidR="009963D4" w:rsidRPr="006C4F87">
        <w:rPr>
          <w:rFonts w:ascii="David" w:hAnsi="David" w:cs="David"/>
          <w:b/>
          <w:bCs/>
          <w:sz w:val="28"/>
          <w:szCs w:val="28"/>
          <w:rtl/>
        </w:rPr>
        <w:t>שונים</w:t>
      </w:r>
    </w:p>
    <w:p w14:paraId="6C2EF9F5" w14:textId="120ED6E5" w:rsidR="004B5C26" w:rsidRPr="006C4F87" w:rsidRDefault="003256FA" w:rsidP="009963D4">
      <w:pPr>
        <w:spacing w:line="360" w:lineRule="auto"/>
        <w:jc w:val="both"/>
        <w:rPr>
          <w:rFonts w:ascii="David" w:hAnsi="David" w:cs="David"/>
          <w:sz w:val="24"/>
          <w:szCs w:val="24"/>
          <w:rtl/>
        </w:rPr>
      </w:pPr>
      <w:r w:rsidRPr="006C4F87">
        <w:rPr>
          <w:rFonts w:ascii="David" w:hAnsi="David" w:cs="David"/>
          <w:b/>
          <w:bCs/>
          <w:sz w:val="24"/>
          <w:szCs w:val="24"/>
          <w:rtl/>
        </w:rPr>
        <w:t>נגיד בנק ישראל, הפרופ' אמיר ירון</w:t>
      </w:r>
      <w:r w:rsidRPr="006C4F87">
        <w:rPr>
          <w:rFonts w:ascii="David" w:hAnsi="David" w:cs="David"/>
          <w:sz w:val="24"/>
          <w:szCs w:val="24"/>
          <w:rtl/>
        </w:rPr>
        <w:t>: "</w:t>
      </w:r>
      <w:r w:rsidR="00342D68" w:rsidRPr="006C4F87">
        <w:rPr>
          <w:rFonts w:ascii="David" w:hAnsi="David" w:cs="David"/>
          <w:sz w:val="24"/>
          <w:szCs w:val="24"/>
          <w:rtl/>
        </w:rPr>
        <w:t xml:space="preserve">הגברת </w:t>
      </w:r>
      <w:r w:rsidR="003C3063" w:rsidRPr="006C4F87">
        <w:rPr>
          <w:rFonts w:ascii="David" w:hAnsi="David" w:cs="David"/>
          <w:sz w:val="24"/>
          <w:szCs w:val="24"/>
          <w:rtl/>
        </w:rPr>
        <w:t xml:space="preserve">האוריינות </w:t>
      </w:r>
      <w:r w:rsidR="00342D68" w:rsidRPr="006C4F87">
        <w:rPr>
          <w:rFonts w:ascii="David" w:hAnsi="David" w:cs="David"/>
          <w:sz w:val="24"/>
          <w:szCs w:val="24"/>
          <w:rtl/>
        </w:rPr>
        <w:t>הפיננסית ו</w:t>
      </w:r>
      <w:r w:rsidR="003C3063" w:rsidRPr="006C4F87">
        <w:rPr>
          <w:rFonts w:ascii="David" w:hAnsi="David" w:cs="David"/>
          <w:sz w:val="24"/>
          <w:szCs w:val="24"/>
          <w:rtl/>
        </w:rPr>
        <w:t>בכלל זאת</w:t>
      </w:r>
      <w:r w:rsidR="00342D68" w:rsidRPr="006C4F87">
        <w:rPr>
          <w:rFonts w:ascii="David" w:hAnsi="David" w:cs="David"/>
          <w:sz w:val="24"/>
          <w:szCs w:val="24"/>
          <w:rtl/>
        </w:rPr>
        <w:t xml:space="preserve"> </w:t>
      </w:r>
      <w:r w:rsidR="003C3063" w:rsidRPr="006C4F87">
        <w:rPr>
          <w:rFonts w:ascii="David" w:hAnsi="David" w:cs="David"/>
          <w:sz w:val="24"/>
          <w:szCs w:val="24"/>
          <w:rtl/>
        </w:rPr>
        <w:t>החשיפה ל</w:t>
      </w:r>
      <w:r w:rsidR="00342D68" w:rsidRPr="006C4F87">
        <w:rPr>
          <w:rFonts w:ascii="David" w:hAnsi="David" w:cs="David"/>
          <w:sz w:val="24"/>
          <w:szCs w:val="24"/>
          <w:rtl/>
        </w:rPr>
        <w:t xml:space="preserve">מוצרים </w:t>
      </w:r>
      <w:r w:rsidR="003C3063" w:rsidRPr="006C4F87">
        <w:rPr>
          <w:rFonts w:ascii="David" w:hAnsi="David" w:cs="David"/>
          <w:sz w:val="24"/>
          <w:szCs w:val="24"/>
          <w:rtl/>
        </w:rPr>
        <w:t xml:space="preserve">פיננסיים </w:t>
      </w:r>
      <w:r w:rsidR="00342D68" w:rsidRPr="006C4F87">
        <w:rPr>
          <w:rFonts w:ascii="David" w:hAnsi="David" w:cs="David"/>
          <w:sz w:val="24"/>
          <w:szCs w:val="24"/>
          <w:rtl/>
        </w:rPr>
        <w:t xml:space="preserve">שונים </w:t>
      </w:r>
      <w:r w:rsidR="003C3063" w:rsidRPr="006C4F87">
        <w:rPr>
          <w:rFonts w:ascii="David" w:hAnsi="David" w:cs="David"/>
          <w:sz w:val="24"/>
          <w:szCs w:val="24"/>
          <w:rtl/>
        </w:rPr>
        <w:t>וההבנה של אותם מוצרים</w:t>
      </w:r>
      <w:r w:rsidR="00664E80" w:rsidRPr="006C4F87">
        <w:rPr>
          <w:rFonts w:ascii="David" w:hAnsi="David" w:cs="David"/>
          <w:sz w:val="24"/>
          <w:szCs w:val="24"/>
          <w:rtl/>
        </w:rPr>
        <w:t xml:space="preserve"> וההשוואה בינם</w:t>
      </w:r>
      <w:r w:rsidR="00342D68" w:rsidRPr="006C4F87">
        <w:rPr>
          <w:rFonts w:ascii="David" w:hAnsi="David" w:cs="David"/>
          <w:sz w:val="24"/>
          <w:szCs w:val="24"/>
          <w:rtl/>
        </w:rPr>
        <w:t>,</w:t>
      </w:r>
      <w:r w:rsidRPr="006C4F87">
        <w:rPr>
          <w:rFonts w:ascii="David" w:hAnsi="David" w:cs="David"/>
          <w:sz w:val="24"/>
          <w:szCs w:val="24"/>
          <w:rtl/>
        </w:rPr>
        <w:t xml:space="preserve"> </w:t>
      </w:r>
      <w:r w:rsidR="009963D4" w:rsidRPr="006C4F87">
        <w:rPr>
          <w:rFonts w:ascii="David" w:hAnsi="David" w:cs="David"/>
          <w:sz w:val="24"/>
          <w:szCs w:val="24"/>
          <w:rtl/>
        </w:rPr>
        <w:t>מסייעים לחזק את יכולת המיקוח של הצרכנים ואת היכולת לקבל החלטה פיננסית מושכלת על בסיס נתונים אשר מונגשים באופן פשוט ונוח</w:t>
      </w:r>
      <w:r w:rsidR="00342D68" w:rsidRPr="006C4F87">
        <w:rPr>
          <w:rFonts w:ascii="David" w:hAnsi="David" w:cs="David"/>
          <w:sz w:val="24"/>
          <w:szCs w:val="24"/>
          <w:rtl/>
        </w:rPr>
        <w:t xml:space="preserve">. </w:t>
      </w:r>
      <w:r w:rsidRPr="006C4F87">
        <w:rPr>
          <w:rFonts w:ascii="David" w:hAnsi="David" w:cs="David"/>
          <w:sz w:val="24"/>
          <w:szCs w:val="24"/>
          <w:rtl/>
        </w:rPr>
        <w:t>זהו</w:t>
      </w:r>
      <w:r w:rsidR="00342D68" w:rsidRPr="006C4F87">
        <w:rPr>
          <w:rFonts w:ascii="David" w:hAnsi="David" w:cs="David"/>
          <w:sz w:val="24"/>
          <w:szCs w:val="24"/>
          <w:rtl/>
        </w:rPr>
        <w:t xml:space="preserve"> שלב נוסף בצעדי</w:t>
      </w:r>
      <w:r w:rsidR="004B5C26" w:rsidRPr="006C4F87">
        <w:rPr>
          <w:rFonts w:ascii="David" w:hAnsi="David" w:cs="David"/>
          <w:sz w:val="24"/>
          <w:szCs w:val="24"/>
          <w:rtl/>
        </w:rPr>
        <w:t xml:space="preserve"> בנק ישראל</w:t>
      </w:r>
      <w:r w:rsidR="00342D68" w:rsidRPr="006C4F87">
        <w:rPr>
          <w:rFonts w:ascii="David" w:hAnsi="David" w:cs="David"/>
          <w:sz w:val="24"/>
          <w:szCs w:val="24"/>
          <w:rtl/>
        </w:rPr>
        <w:t xml:space="preserve"> להעברת </w:t>
      </w:r>
      <w:proofErr w:type="spellStart"/>
      <w:r w:rsidR="00342D68" w:rsidRPr="006C4F87">
        <w:rPr>
          <w:rFonts w:ascii="David" w:hAnsi="David" w:cs="David"/>
          <w:sz w:val="24"/>
          <w:szCs w:val="24"/>
          <w:rtl/>
        </w:rPr>
        <w:t>הכח</w:t>
      </w:r>
      <w:proofErr w:type="spellEnd"/>
      <w:r w:rsidR="00342D68" w:rsidRPr="006C4F87">
        <w:rPr>
          <w:rFonts w:ascii="David" w:hAnsi="David" w:cs="David"/>
          <w:sz w:val="24"/>
          <w:szCs w:val="24"/>
          <w:rtl/>
        </w:rPr>
        <w:t xml:space="preserve"> ללקוח</w:t>
      </w:r>
      <w:r w:rsidR="0068295E" w:rsidRPr="006C4F87">
        <w:rPr>
          <w:rFonts w:ascii="David" w:hAnsi="David" w:cs="David"/>
          <w:sz w:val="24"/>
          <w:szCs w:val="24"/>
          <w:rtl/>
        </w:rPr>
        <w:t xml:space="preserve"> וכפועל יוצא לקידום התחרות</w:t>
      </w:r>
      <w:r w:rsidR="00664E80" w:rsidRPr="006C4F87">
        <w:rPr>
          <w:rFonts w:ascii="David" w:hAnsi="David" w:cs="David"/>
          <w:sz w:val="24"/>
          <w:szCs w:val="24"/>
          <w:rtl/>
        </w:rPr>
        <w:t xml:space="preserve"> במערכת הפיננסית</w:t>
      </w:r>
      <w:r w:rsidR="00342D68" w:rsidRPr="006C4F87">
        <w:rPr>
          <w:rFonts w:ascii="David" w:hAnsi="David" w:cs="David"/>
          <w:sz w:val="24"/>
          <w:szCs w:val="24"/>
          <w:rtl/>
        </w:rPr>
        <w:t>."</w:t>
      </w:r>
    </w:p>
    <w:p w14:paraId="61381307" w14:textId="77777777" w:rsidR="004B5C26" w:rsidRPr="006C4F87" w:rsidRDefault="004B5C26" w:rsidP="004B5C26">
      <w:pPr>
        <w:spacing w:line="360" w:lineRule="auto"/>
        <w:jc w:val="both"/>
        <w:rPr>
          <w:rFonts w:ascii="David" w:hAnsi="David" w:cs="David"/>
          <w:sz w:val="24"/>
          <w:szCs w:val="24"/>
          <w:rtl/>
        </w:rPr>
      </w:pPr>
    </w:p>
    <w:p w14:paraId="3F3EEA74" w14:textId="77777777" w:rsidR="003E2043" w:rsidRPr="006C4F87" w:rsidRDefault="00972165" w:rsidP="003E2043">
      <w:pPr>
        <w:shd w:val="clear" w:color="auto" w:fill="FFFFFF"/>
        <w:spacing w:after="100" w:afterAutospacing="1" w:line="360" w:lineRule="auto"/>
        <w:jc w:val="both"/>
        <w:outlineLvl w:val="1"/>
        <w:rPr>
          <w:rFonts w:ascii="David" w:hAnsi="David" w:cs="David"/>
          <w:sz w:val="24"/>
          <w:szCs w:val="24"/>
          <w:shd w:val="clear" w:color="auto" w:fill="FFFFFF"/>
          <w:rtl/>
        </w:rPr>
      </w:pPr>
      <w:r w:rsidRPr="006C4F87">
        <w:rPr>
          <w:rFonts w:ascii="David" w:hAnsi="David" w:cs="David"/>
          <w:sz w:val="24"/>
          <w:szCs w:val="24"/>
          <w:shd w:val="clear" w:color="auto" w:fill="FFFFFF"/>
          <w:rtl/>
        </w:rPr>
        <w:t>בנק ישראל מודיע על צעד</w:t>
      </w:r>
      <w:r w:rsidR="003E2043" w:rsidRPr="006C4F87">
        <w:rPr>
          <w:rFonts w:ascii="David" w:hAnsi="David" w:cs="David"/>
          <w:sz w:val="24"/>
          <w:szCs w:val="24"/>
          <w:shd w:val="clear" w:color="auto" w:fill="FFFFFF"/>
          <w:rtl/>
        </w:rPr>
        <w:t>ים</w:t>
      </w:r>
      <w:r w:rsidRPr="006C4F87">
        <w:rPr>
          <w:rFonts w:ascii="David" w:hAnsi="David" w:cs="David"/>
          <w:sz w:val="24"/>
          <w:szCs w:val="24"/>
          <w:shd w:val="clear" w:color="auto" w:fill="FFFFFF"/>
          <w:rtl/>
        </w:rPr>
        <w:t xml:space="preserve"> נוס</w:t>
      </w:r>
      <w:r w:rsidR="003E2043" w:rsidRPr="006C4F87">
        <w:rPr>
          <w:rFonts w:ascii="David" w:hAnsi="David" w:cs="David"/>
          <w:sz w:val="24"/>
          <w:szCs w:val="24"/>
          <w:shd w:val="clear" w:color="auto" w:fill="FFFFFF"/>
          <w:rtl/>
        </w:rPr>
        <w:t>פים</w:t>
      </w:r>
      <w:r w:rsidRPr="006C4F87">
        <w:rPr>
          <w:rFonts w:ascii="David" w:hAnsi="David" w:cs="David"/>
          <w:sz w:val="24"/>
          <w:szCs w:val="24"/>
          <w:shd w:val="clear" w:color="auto" w:fill="FFFFFF"/>
          <w:rtl/>
        </w:rPr>
        <w:t xml:space="preserve"> להגברת השקיפות ויכולת ההשוואה של</w:t>
      </w:r>
      <w:r w:rsidR="003E2043" w:rsidRPr="006C4F87">
        <w:rPr>
          <w:rFonts w:ascii="David" w:hAnsi="David" w:cs="David"/>
          <w:sz w:val="24"/>
          <w:szCs w:val="24"/>
          <w:shd w:val="clear" w:color="auto" w:fill="FFFFFF"/>
          <w:rtl/>
        </w:rPr>
        <w:t xml:space="preserve"> הצרכנים:</w:t>
      </w:r>
    </w:p>
    <w:p w14:paraId="6BB54818" w14:textId="6030570B" w:rsidR="003256FA" w:rsidRPr="006C4F87" w:rsidRDefault="00972165" w:rsidP="009963D4">
      <w:pPr>
        <w:pStyle w:val="a3"/>
        <w:numPr>
          <w:ilvl w:val="0"/>
          <w:numId w:val="7"/>
        </w:numPr>
        <w:spacing w:line="360" w:lineRule="auto"/>
        <w:jc w:val="both"/>
        <w:rPr>
          <w:rFonts w:ascii="David" w:hAnsi="David" w:cs="David"/>
          <w:sz w:val="24"/>
          <w:szCs w:val="24"/>
        </w:rPr>
      </w:pPr>
      <w:r w:rsidRPr="006C4F87">
        <w:rPr>
          <w:rFonts w:ascii="David" w:hAnsi="David" w:cs="David"/>
          <w:b/>
          <w:bCs/>
          <w:sz w:val="24"/>
          <w:szCs w:val="24"/>
          <w:shd w:val="clear" w:color="auto" w:fill="FFFFFF"/>
          <w:rtl/>
        </w:rPr>
        <w:t xml:space="preserve">השקת </w:t>
      </w:r>
      <w:hyperlink r:id="rId9" w:history="1">
        <w:r w:rsidRPr="006C4F87">
          <w:rPr>
            <w:rStyle w:val="Hyperlink"/>
            <w:rFonts w:ascii="David" w:hAnsi="David" w:cs="David"/>
            <w:b/>
            <w:bCs/>
            <w:sz w:val="24"/>
            <w:szCs w:val="24"/>
            <w:shd w:val="clear" w:color="auto" w:fill="FFFFFF"/>
            <w:rtl/>
          </w:rPr>
          <w:t>סביבה ייעודית</w:t>
        </w:r>
        <w:r w:rsidRPr="006C4F87">
          <w:rPr>
            <w:rStyle w:val="Hyperlink"/>
            <w:rFonts w:ascii="David" w:hAnsi="David" w:cs="David"/>
            <w:b/>
            <w:bCs/>
            <w:sz w:val="24"/>
            <w:szCs w:val="24"/>
            <w:shd w:val="clear" w:color="auto" w:fill="FFFFFF"/>
            <w:rtl/>
          </w:rPr>
          <w:t xml:space="preserve"> </w:t>
        </w:r>
        <w:r w:rsidR="009963D4" w:rsidRPr="006C4F87">
          <w:rPr>
            <w:rStyle w:val="Hyperlink"/>
            <w:rFonts w:ascii="David" w:hAnsi="David" w:cs="David"/>
            <w:b/>
            <w:bCs/>
            <w:sz w:val="24"/>
            <w:szCs w:val="24"/>
            <w:shd w:val="clear" w:color="auto" w:fill="FFFFFF"/>
            <w:rtl/>
          </w:rPr>
          <w:t xml:space="preserve">חדשה </w:t>
        </w:r>
        <w:r w:rsidRPr="006C4F87">
          <w:rPr>
            <w:rStyle w:val="Hyperlink"/>
            <w:rFonts w:ascii="David" w:hAnsi="David" w:cs="David"/>
            <w:b/>
            <w:bCs/>
            <w:sz w:val="24"/>
            <w:szCs w:val="24"/>
            <w:shd w:val="clear" w:color="auto" w:fill="FFFFFF"/>
            <w:rtl/>
          </w:rPr>
          <w:t>באתר בנק ישראל</w:t>
        </w:r>
      </w:hyperlink>
      <w:r w:rsidR="00342D68" w:rsidRPr="006C4F87">
        <w:rPr>
          <w:rFonts w:ascii="David" w:hAnsi="David" w:cs="David"/>
          <w:b/>
          <w:bCs/>
          <w:sz w:val="24"/>
          <w:szCs w:val="24"/>
          <w:shd w:val="clear" w:color="auto" w:fill="FFFFFF"/>
          <w:rtl/>
        </w:rPr>
        <w:t xml:space="preserve">, </w:t>
      </w:r>
      <w:r w:rsidR="009963D4" w:rsidRPr="006C4F87">
        <w:rPr>
          <w:rFonts w:ascii="David" w:hAnsi="David" w:cs="David"/>
          <w:b/>
          <w:bCs/>
          <w:sz w:val="24"/>
          <w:szCs w:val="24"/>
          <w:shd w:val="clear" w:color="auto" w:fill="FFFFFF"/>
          <w:rtl/>
        </w:rPr>
        <w:t>אשר מרכזת מידע השוואתי בנוגע למוצרים הפיננסיים שונים ומדריכים רלוונטיים, שקידמה מחלקת התקשורת בבנק</w:t>
      </w:r>
      <w:r w:rsidR="00342D68" w:rsidRPr="006C4F87">
        <w:rPr>
          <w:rFonts w:ascii="David" w:hAnsi="David" w:cs="David"/>
          <w:b/>
          <w:bCs/>
          <w:sz w:val="24"/>
          <w:szCs w:val="24"/>
          <w:shd w:val="clear" w:color="auto" w:fill="FFFFFF"/>
          <w:rtl/>
        </w:rPr>
        <w:t>.</w:t>
      </w:r>
      <w:r w:rsidR="00342D68" w:rsidRPr="006C4F87">
        <w:rPr>
          <w:rFonts w:ascii="David" w:hAnsi="David" w:cs="David"/>
          <w:sz w:val="24"/>
          <w:szCs w:val="24"/>
          <w:shd w:val="clear" w:color="auto" w:fill="FFFFFF"/>
          <w:rtl/>
        </w:rPr>
        <w:t xml:space="preserve"> </w:t>
      </w:r>
      <w:r w:rsidR="0068295E" w:rsidRPr="006C4F87">
        <w:rPr>
          <w:rFonts w:ascii="David" w:hAnsi="David" w:cs="David"/>
          <w:sz w:val="24"/>
          <w:szCs w:val="24"/>
          <w:shd w:val="clear" w:color="auto" w:fill="FFFFFF"/>
          <w:rtl/>
        </w:rPr>
        <w:t xml:space="preserve">בין המוצרים הפיננסיים, </w:t>
      </w:r>
      <w:r w:rsidRPr="006C4F87">
        <w:rPr>
          <w:rFonts w:ascii="David" w:hAnsi="David" w:cs="David"/>
          <w:sz w:val="24"/>
          <w:szCs w:val="24"/>
          <w:shd w:val="clear" w:color="auto" w:fill="FFFFFF"/>
          <w:rtl/>
        </w:rPr>
        <w:t xml:space="preserve">הלוואות צרכניות, משכנתאות, פיקדונות,  </w:t>
      </w:r>
      <w:r w:rsidR="0068295E" w:rsidRPr="006C4F87">
        <w:rPr>
          <w:rFonts w:ascii="David" w:hAnsi="David" w:cs="David"/>
          <w:sz w:val="24"/>
          <w:szCs w:val="24"/>
          <w:shd w:val="clear" w:color="auto" w:fill="FFFFFF"/>
          <w:rtl/>
        </w:rPr>
        <w:t xml:space="preserve">לרבות </w:t>
      </w:r>
      <w:r w:rsidRPr="006C4F87">
        <w:rPr>
          <w:rFonts w:ascii="David" w:hAnsi="David" w:cs="David"/>
          <w:sz w:val="24"/>
          <w:szCs w:val="24"/>
          <w:shd w:val="clear" w:color="auto" w:fill="FFFFFF"/>
          <w:rtl/>
        </w:rPr>
        <w:t xml:space="preserve">הסבר על אפיקי ההשקעה </w:t>
      </w:r>
      <w:r w:rsidR="00971CCB" w:rsidRPr="006C4F87">
        <w:rPr>
          <w:rFonts w:ascii="David" w:hAnsi="David" w:cs="David"/>
          <w:sz w:val="24"/>
          <w:szCs w:val="24"/>
          <w:shd w:val="clear" w:color="auto" w:fill="FFFFFF"/>
          <w:rtl/>
        </w:rPr>
        <w:t xml:space="preserve">עיקריים </w:t>
      </w:r>
      <w:r w:rsidRPr="006C4F87">
        <w:rPr>
          <w:rFonts w:ascii="David" w:hAnsi="David" w:cs="David"/>
          <w:sz w:val="24"/>
          <w:szCs w:val="24"/>
          <w:shd w:val="clear" w:color="auto" w:fill="FFFFFF"/>
          <w:rtl/>
        </w:rPr>
        <w:t xml:space="preserve"> (פיקדונות, קרנות כספיות ומק"מ) ועוד.</w:t>
      </w:r>
      <w:r w:rsidR="003256FA" w:rsidRPr="006C4F87">
        <w:rPr>
          <w:rFonts w:ascii="David" w:hAnsi="David" w:cs="David"/>
          <w:sz w:val="24"/>
          <w:szCs w:val="24"/>
          <w:shd w:val="clear" w:color="auto" w:fill="FFFFFF"/>
          <w:rtl/>
        </w:rPr>
        <w:t xml:space="preserve"> </w:t>
      </w:r>
      <w:r w:rsidR="003256FA" w:rsidRPr="006C4F87">
        <w:rPr>
          <w:rFonts w:ascii="David" w:eastAsia="Times New Roman" w:hAnsi="David" w:cs="David"/>
          <w:sz w:val="24"/>
          <w:szCs w:val="24"/>
          <w:rtl/>
        </w:rPr>
        <w:t>כלי המידע ההשוואתי והמדריכים באתר נועדו לסייע לציבור להתנהל בצורה מושכלת בעולם הפיננסי בכלל ומול הבנקים בפרט.</w:t>
      </w:r>
      <w:r w:rsidR="003256FA" w:rsidRPr="006C4F87">
        <w:rPr>
          <w:rFonts w:ascii="David" w:hAnsi="David" w:cs="David"/>
          <w:sz w:val="24"/>
          <w:szCs w:val="24"/>
          <w:shd w:val="clear" w:color="auto" w:fill="FFFFFF"/>
          <w:rtl/>
        </w:rPr>
        <w:t xml:space="preserve"> </w:t>
      </w:r>
      <w:r w:rsidR="003256FA" w:rsidRPr="006C4F87">
        <w:rPr>
          <w:rFonts w:ascii="David" w:hAnsi="David" w:cs="David"/>
          <w:sz w:val="24"/>
          <w:szCs w:val="24"/>
          <w:rtl/>
        </w:rPr>
        <w:t xml:space="preserve">המידע ההשוואתי בין הבנקים והמוצרים השונים, שמפרסם כעת בנק ישראל באופן ידידותי, מרוכז במקום אחד ובליווי סרטוני הסברה המסבירים על אופן השימוש בנתונים, נועד להקנות ידע וכלים שיאפשרו השוואה פשוטה ככל הניתן ללקוחות. </w:t>
      </w:r>
    </w:p>
    <w:p w14:paraId="249BA666" w14:textId="77777777" w:rsidR="004B5C26" w:rsidRPr="006C4F87" w:rsidRDefault="004B5C26" w:rsidP="004B5C26">
      <w:pPr>
        <w:pStyle w:val="a3"/>
        <w:spacing w:line="360" w:lineRule="auto"/>
        <w:jc w:val="both"/>
        <w:rPr>
          <w:rFonts w:ascii="David" w:hAnsi="David" w:cs="David"/>
          <w:sz w:val="24"/>
          <w:szCs w:val="24"/>
        </w:rPr>
      </w:pPr>
    </w:p>
    <w:p w14:paraId="024B5D44" w14:textId="05A31F9A" w:rsidR="003256FA" w:rsidRPr="006C4F87" w:rsidRDefault="003E2043" w:rsidP="00105B62">
      <w:pPr>
        <w:pStyle w:val="a3"/>
        <w:numPr>
          <w:ilvl w:val="0"/>
          <w:numId w:val="7"/>
        </w:numPr>
        <w:shd w:val="clear" w:color="auto" w:fill="FFFFFF"/>
        <w:spacing w:after="100" w:afterAutospacing="1" w:line="360" w:lineRule="auto"/>
        <w:jc w:val="both"/>
        <w:outlineLvl w:val="1"/>
        <w:rPr>
          <w:rFonts w:ascii="David" w:hAnsi="David" w:cs="David"/>
          <w:sz w:val="24"/>
          <w:szCs w:val="24"/>
          <w:shd w:val="clear" w:color="auto" w:fill="FFFFFF"/>
        </w:rPr>
      </w:pPr>
      <w:r w:rsidRPr="006C4F87">
        <w:rPr>
          <w:rFonts w:ascii="David" w:hAnsi="David" w:cs="David"/>
          <w:b/>
          <w:bCs/>
          <w:sz w:val="24"/>
          <w:szCs w:val="24"/>
          <w:shd w:val="clear" w:color="auto" w:fill="FFFFFF"/>
          <w:rtl/>
        </w:rPr>
        <w:t>הרחבת</w:t>
      </w:r>
      <w:r w:rsidR="00972165" w:rsidRPr="006C4F87">
        <w:rPr>
          <w:rFonts w:ascii="David" w:hAnsi="David" w:cs="David"/>
          <w:b/>
          <w:bCs/>
          <w:sz w:val="24"/>
          <w:szCs w:val="24"/>
          <w:shd w:val="clear" w:color="auto" w:fill="FFFFFF"/>
          <w:rtl/>
        </w:rPr>
        <w:t xml:space="preserve"> המידע ההשוואתי המוצג למוצרים </w:t>
      </w:r>
      <w:r w:rsidR="003256FA" w:rsidRPr="006C4F87">
        <w:rPr>
          <w:rFonts w:ascii="David" w:hAnsi="David" w:cs="David"/>
          <w:b/>
          <w:bCs/>
          <w:sz w:val="24"/>
          <w:szCs w:val="24"/>
          <w:shd w:val="clear" w:color="auto" w:fill="FFFFFF"/>
          <w:rtl/>
        </w:rPr>
        <w:t xml:space="preserve">פיננסיים </w:t>
      </w:r>
      <w:r w:rsidR="00972165" w:rsidRPr="006C4F87">
        <w:rPr>
          <w:rFonts w:ascii="David" w:hAnsi="David" w:cs="David"/>
          <w:b/>
          <w:bCs/>
          <w:sz w:val="24"/>
          <w:szCs w:val="24"/>
          <w:shd w:val="clear" w:color="auto" w:fill="FFFFFF"/>
          <w:rtl/>
        </w:rPr>
        <w:t>נוספים ולגופים נוספים</w:t>
      </w:r>
      <w:r w:rsidR="00342D68" w:rsidRPr="006C4F87">
        <w:rPr>
          <w:rFonts w:ascii="David" w:hAnsi="David" w:cs="David"/>
          <w:b/>
          <w:bCs/>
          <w:sz w:val="24"/>
          <w:szCs w:val="24"/>
          <w:shd w:val="clear" w:color="auto" w:fill="FFFFFF"/>
          <w:rtl/>
        </w:rPr>
        <w:t xml:space="preserve">, במסגרת כלי ההשוואה </w:t>
      </w:r>
      <w:proofErr w:type="spellStart"/>
      <w:r w:rsidR="00342D68" w:rsidRPr="006C4F87">
        <w:rPr>
          <w:rFonts w:ascii="David" w:hAnsi="David" w:cs="David"/>
          <w:b/>
          <w:bCs/>
          <w:sz w:val="24"/>
          <w:szCs w:val="24"/>
          <w:shd w:val="clear" w:color="auto" w:fill="FFFFFF"/>
          <w:rtl/>
        </w:rPr>
        <w:t>ותיחקו</w:t>
      </w:r>
      <w:r w:rsidR="009963D4" w:rsidRPr="006C4F87">
        <w:rPr>
          <w:rFonts w:ascii="David" w:hAnsi="David" w:cs="David"/>
          <w:b/>
          <w:bCs/>
          <w:sz w:val="24"/>
          <w:szCs w:val="24"/>
          <w:shd w:val="clear" w:color="auto" w:fill="FFFFFF"/>
          <w:rtl/>
        </w:rPr>
        <w:t>ר</w:t>
      </w:r>
      <w:proofErr w:type="spellEnd"/>
      <w:r w:rsidR="009963D4" w:rsidRPr="006C4F87">
        <w:rPr>
          <w:rFonts w:ascii="David" w:hAnsi="David" w:cs="David"/>
          <w:b/>
          <w:bCs/>
          <w:sz w:val="24"/>
          <w:szCs w:val="24"/>
          <w:shd w:val="clear" w:color="auto" w:fill="FFFFFF"/>
          <w:rtl/>
        </w:rPr>
        <w:t xml:space="preserve"> המידע </w:t>
      </w:r>
      <w:r w:rsidR="00105B62" w:rsidRPr="006C4F87">
        <w:rPr>
          <w:rFonts w:ascii="David" w:hAnsi="David" w:cs="David"/>
          <w:b/>
          <w:bCs/>
          <w:sz w:val="24"/>
          <w:szCs w:val="24"/>
          <w:shd w:val="clear" w:color="auto" w:fill="FFFFFF"/>
          <w:rtl/>
        </w:rPr>
        <w:t>שמקדם</w:t>
      </w:r>
      <w:r w:rsidR="009963D4" w:rsidRPr="006C4F87">
        <w:rPr>
          <w:rFonts w:ascii="David" w:hAnsi="David" w:cs="David"/>
          <w:b/>
          <w:bCs/>
          <w:sz w:val="24"/>
          <w:szCs w:val="24"/>
          <w:shd w:val="clear" w:color="auto" w:fill="FFFFFF"/>
          <w:rtl/>
        </w:rPr>
        <w:t xml:space="preserve"> הפיקוח על הבנקים.</w:t>
      </w:r>
      <w:r w:rsidR="00972165" w:rsidRPr="006C4F87">
        <w:rPr>
          <w:rFonts w:ascii="David" w:hAnsi="David" w:cs="David"/>
          <w:b/>
          <w:bCs/>
          <w:sz w:val="24"/>
          <w:szCs w:val="24"/>
          <w:shd w:val="clear" w:color="auto" w:fill="FFFFFF"/>
          <w:rtl/>
        </w:rPr>
        <w:t xml:space="preserve"> </w:t>
      </w:r>
      <w:r w:rsidR="00342D68" w:rsidRPr="006C4F87">
        <w:rPr>
          <w:rFonts w:ascii="David" w:hAnsi="David" w:cs="David"/>
          <w:sz w:val="24"/>
          <w:szCs w:val="24"/>
          <w:shd w:val="clear" w:color="auto" w:fill="FFFFFF"/>
          <w:rtl/>
        </w:rPr>
        <w:t>לאלו נוספו היום:</w:t>
      </w:r>
    </w:p>
    <w:p w14:paraId="2045B4C0" w14:textId="77777777" w:rsidR="00972165" w:rsidRPr="006C4F87" w:rsidRDefault="00972165" w:rsidP="009016A9">
      <w:pPr>
        <w:pStyle w:val="a3"/>
        <w:numPr>
          <w:ilvl w:val="0"/>
          <w:numId w:val="5"/>
        </w:numPr>
        <w:shd w:val="clear" w:color="auto" w:fill="FFFFFF"/>
        <w:spacing w:after="100" w:afterAutospacing="1" w:line="360" w:lineRule="auto"/>
        <w:jc w:val="both"/>
        <w:outlineLvl w:val="1"/>
        <w:rPr>
          <w:rFonts w:ascii="David" w:hAnsi="David" w:cs="David"/>
          <w:sz w:val="24"/>
          <w:szCs w:val="24"/>
          <w:shd w:val="clear" w:color="auto" w:fill="FFFFFF"/>
        </w:rPr>
      </w:pPr>
      <w:r w:rsidRPr="006C4F87">
        <w:rPr>
          <w:rFonts w:ascii="David" w:hAnsi="David" w:cs="David"/>
          <w:sz w:val="24"/>
          <w:szCs w:val="24"/>
          <w:shd w:val="clear" w:color="auto" w:fill="FFFFFF"/>
          <w:rtl/>
        </w:rPr>
        <w:t>הורחבה ההשוואה מעתה גם לריביות הנגבות על ידי חברות כרטיסי האשראי להלוואות צרכניות.</w:t>
      </w:r>
    </w:p>
    <w:p w14:paraId="2D33E253" w14:textId="77777777" w:rsidR="00972165" w:rsidRPr="006C4F87" w:rsidRDefault="00972165" w:rsidP="003E2043">
      <w:pPr>
        <w:pStyle w:val="a3"/>
        <w:numPr>
          <w:ilvl w:val="0"/>
          <w:numId w:val="5"/>
        </w:numPr>
        <w:spacing w:line="360" w:lineRule="auto"/>
        <w:rPr>
          <w:rFonts w:ascii="David" w:hAnsi="David" w:cs="David"/>
          <w:sz w:val="24"/>
          <w:szCs w:val="24"/>
          <w:shd w:val="clear" w:color="auto" w:fill="FFFFFF"/>
          <w:rtl/>
        </w:rPr>
      </w:pPr>
      <w:r w:rsidRPr="006C4F87">
        <w:rPr>
          <w:rFonts w:ascii="David" w:hAnsi="David" w:cs="David"/>
          <w:sz w:val="24"/>
          <w:szCs w:val="24"/>
          <w:shd w:val="clear" w:color="auto" w:fill="FFFFFF"/>
          <w:rtl/>
        </w:rPr>
        <w:t xml:space="preserve">נוספה השוואה בין הבנקים על הריבית הנגבית בגין </w:t>
      </w:r>
      <w:r w:rsidR="0058033F" w:rsidRPr="006C4F87">
        <w:rPr>
          <w:rFonts w:ascii="David" w:hAnsi="David" w:cs="David"/>
          <w:sz w:val="24"/>
          <w:szCs w:val="24"/>
          <w:shd w:val="clear" w:color="auto" w:fill="FFFFFF"/>
          <w:rtl/>
        </w:rPr>
        <w:t>יתרת עו"ש</w:t>
      </w:r>
      <w:r w:rsidRPr="006C4F87">
        <w:rPr>
          <w:rFonts w:ascii="David" w:hAnsi="David" w:cs="David"/>
          <w:sz w:val="24"/>
          <w:szCs w:val="24"/>
          <w:shd w:val="clear" w:color="auto" w:fill="FFFFFF"/>
          <w:rtl/>
        </w:rPr>
        <w:t xml:space="preserve"> בחובה (</w:t>
      </w:r>
      <w:r w:rsidR="0058033F" w:rsidRPr="006C4F87">
        <w:rPr>
          <w:rFonts w:ascii="David" w:hAnsi="David" w:cs="David"/>
          <w:sz w:val="24"/>
          <w:szCs w:val="24"/>
          <w:shd w:val="clear" w:color="auto" w:fill="FFFFFF"/>
          <w:rtl/>
        </w:rPr>
        <w:t>אוברדרפט</w:t>
      </w:r>
      <w:r w:rsidRPr="006C4F87">
        <w:rPr>
          <w:rFonts w:ascii="David" w:hAnsi="David" w:cs="David"/>
          <w:sz w:val="24"/>
          <w:szCs w:val="24"/>
          <w:shd w:val="clear" w:color="auto" w:fill="FFFFFF"/>
          <w:rtl/>
        </w:rPr>
        <w:t xml:space="preserve">), בתוך המסגרת. </w:t>
      </w:r>
    </w:p>
    <w:p w14:paraId="3A7E59F4" w14:textId="77777777" w:rsidR="0058033F" w:rsidRPr="006C4F87" w:rsidRDefault="0058033F" w:rsidP="003E2043">
      <w:pPr>
        <w:pStyle w:val="a3"/>
        <w:numPr>
          <w:ilvl w:val="0"/>
          <w:numId w:val="5"/>
        </w:numPr>
        <w:spacing w:line="360" w:lineRule="auto"/>
        <w:rPr>
          <w:rFonts w:ascii="David" w:hAnsi="David" w:cs="David"/>
          <w:sz w:val="24"/>
          <w:szCs w:val="24"/>
          <w:shd w:val="clear" w:color="auto" w:fill="FFFFFF"/>
        </w:rPr>
      </w:pPr>
      <w:r w:rsidRPr="006C4F87">
        <w:rPr>
          <w:rFonts w:ascii="David" w:hAnsi="David" w:cs="David"/>
          <w:sz w:val="24"/>
          <w:szCs w:val="24"/>
          <w:shd w:val="clear" w:color="auto" w:fill="FFFFFF"/>
          <w:rtl/>
        </w:rPr>
        <w:t>נוספה השוואת ריביות ממוצעות על עסקאות בכרטיסי אשראי</w:t>
      </w:r>
      <w:r w:rsidR="003E2043" w:rsidRPr="006C4F87">
        <w:rPr>
          <w:rFonts w:ascii="David" w:hAnsi="David" w:cs="David"/>
          <w:sz w:val="24"/>
          <w:szCs w:val="24"/>
          <w:shd w:val="clear" w:color="auto" w:fill="FFFFFF"/>
          <w:rtl/>
        </w:rPr>
        <w:t xml:space="preserve">. גם עסקאות בקרדיט וגם </w:t>
      </w:r>
      <w:r w:rsidRPr="006C4F87">
        <w:rPr>
          <w:rFonts w:ascii="David" w:hAnsi="David" w:cs="David"/>
          <w:sz w:val="24"/>
          <w:szCs w:val="24"/>
          <w:shd w:val="clear" w:color="auto" w:fill="FFFFFF"/>
          <w:rtl/>
        </w:rPr>
        <w:t>עסקאות באשראי מתגלגל</w:t>
      </w:r>
      <w:r w:rsidR="003E2043" w:rsidRPr="006C4F87">
        <w:rPr>
          <w:rFonts w:ascii="David" w:hAnsi="David" w:cs="David"/>
          <w:sz w:val="24"/>
          <w:szCs w:val="24"/>
          <w:shd w:val="clear" w:color="auto" w:fill="FFFFFF"/>
          <w:rtl/>
        </w:rPr>
        <w:t>.</w:t>
      </w:r>
    </w:p>
    <w:p w14:paraId="1C4DAA47" w14:textId="61A02335" w:rsidR="003256FA" w:rsidRPr="006C4F87" w:rsidRDefault="003256FA" w:rsidP="003E2043">
      <w:pPr>
        <w:pStyle w:val="a3"/>
        <w:numPr>
          <w:ilvl w:val="0"/>
          <w:numId w:val="5"/>
        </w:numPr>
        <w:spacing w:line="360" w:lineRule="auto"/>
        <w:rPr>
          <w:rFonts w:ascii="David" w:hAnsi="David" w:cs="David"/>
          <w:sz w:val="24"/>
          <w:szCs w:val="24"/>
          <w:shd w:val="clear" w:color="auto" w:fill="FFFFFF"/>
          <w:rtl/>
        </w:rPr>
      </w:pPr>
      <w:r w:rsidRPr="006C4F87">
        <w:rPr>
          <w:rFonts w:ascii="David" w:hAnsi="David" w:cs="David"/>
          <w:sz w:val="24"/>
          <w:szCs w:val="24"/>
          <w:shd w:val="clear" w:color="auto" w:fill="FFFFFF"/>
          <w:rtl/>
        </w:rPr>
        <w:t>נוספה הריבית על המק"מ בסביבת השוואת הפיקדונות על מנת להמחיש את חלופת ההשקעה בפיקדונות והתשואה עליה</w:t>
      </w:r>
      <w:r w:rsidR="00373A11" w:rsidRPr="006C4F87">
        <w:rPr>
          <w:rFonts w:ascii="David" w:hAnsi="David" w:cs="David"/>
          <w:sz w:val="24"/>
          <w:szCs w:val="24"/>
          <w:shd w:val="clear" w:color="auto" w:fill="FFFFFF"/>
          <w:rtl/>
        </w:rPr>
        <w:t>.</w:t>
      </w:r>
    </w:p>
    <w:p w14:paraId="75A75DD6" w14:textId="77777777" w:rsidR="001137EB" w:rsidRPr="006C4F87" w:rsidRDefault="001137EB" w:rsidP="003256FA">
      <w:pPr>
        <w:spacing w:line="360" w:lineRule="auto"/>
        <w:jc w:val="both"/>
        <w:rPr>
          <w:rFonts w:ascii="David" w:hAnsi="David" w:cs="David"/>
          <w:b/>
          <w:bCs/>
          <w:sz w:val="24"/>
          <w:szCs w:val="24"/>
          <w:rtl/>
        </w:rPr>
      </w:pPr>
    </w:p>
    <w:p w14:paraId="124E679F" w14:textId="58CA9CDB" w:rsidR="004B5C26" w:rsidRPr="006C4F87" w:rsidRDefault="001137EB" w:rsidP="006C4F87">
      <w:pPr>
        <w:spacing w:line="360" w:lineRule="auto"/>
        <w:jc w:val="both"/>
        <w:rPr>
          <w:rFonts w:ascii="David" w:hAnsi="David" w:cs="David"/>
          <w:b/>
          <w:bCs/>
          <w:sz w:val="24"/>
          <w:szCs w:val="24"/>
          <w:shd w:val="clear" w:color="auto" w:fill="FFFFFF"/>
          <w:rtl/>
        </w:rPr>
      </w:pPr>
      <w:r w:rsidRPr="006C4F87">
        <w:rPr>
          <w:rFonts w:ascii="David" w:hAnsi="David" w:cs="David"/>
          <w:b/>
          <w:bCs/>
          <w:sz w:val="24"/>
          <w:szCs w:val="24"/>
          <w:rtl/>
        </w:rPr>
        <w:lastRenderedPageBreak/>
        <w:t>*</w:t>
      </w:r>
      <w:r w:rsidR="00971CCB" w:rsidRPr="006C4F87">
        <w:rPr>
          <w:rFonts w:ascii="David" w:hAnsi="David" w:cs="David"/>
          <w:b/>
          <w:bCs/>
          <w:sz w:val="24"/>
          <w:szCs w:val="24"/>
          <w:rtl/>
        </w:rPr>
        <w:t>חשוב להדגיש כי המידע לא כולל את כל המוצרים הפיננסיים הקיימים וכי אין לראות בו יעוץ, חוות דעת או המלצה להחלטה כלשהי</w:t>
      </w:r>
      <w:r w:rsidR="009963D4" w:rsidRPr="006C4F87">
        <w:rPr>
          <w:rFonts w:ascii="David" w:hAnsi="David" w:cs="David"/>
          <w:b/>
          <w:bCs/>
          <w:sz w:val="24"/>
          <w:szCs w:val="24"/>
          <w:shd w:val="clear" w:color="auto" w:fill="FFFFFF"/>
          <w:rtl/>
        </w:rPr>
        <w:t>.</w:t>
      </w:r>
    </w:p>
    <w:p w14:paraId="64EA09B0" w14:textId="77777777" w:rsidR="004B5C26" w:rsidRPr="006C4F87" w:rsidRDefault="004B5C26" w:rsidP="003256FA">
      <w:pPr>
        <w:spacing w:line="360" w:lineRule="auto"/>
        <w:jc w:val="both"/>
        <w:rPr>
          <w:rFonts w:ascii="David" w:hAnsi="David" w:cs="David"/>
          <w:sz w:val="24"/>
          <w:szCs w:val="24"/>
          <w:shd w:val="clear" w:color="auto" w:fill="FFFFFF"/>
          <w:rtl/>
        </w:rPr>
      </w:pPr>
    </w:p>
    <w:p w14:paraId="0182975B" w14:textId="77777777" w:rsidR="00342D68" w:rsidRPr="006C4F87" w:rsidRDefault="00342D68" w:rsidP="003256FA">
      <w:pPr>
        <w:spacing w:line="360" w:lineRule="auto"/>
        <w:jc w:val="both"/>
        <w:rPr>
          <w:rFonts w:ascii="David" w:hAnsi="David" w:cs="David"/>
          <w:sz w:val="24"/>
          <w:szCs w:val="24"/>
          <w:shd w:val="clear" w:color="auto" w:fill="FFFFFF"/>
          <w:rtl/>
        </w:rPr>
      </w:pPr>
      <w:r w:rsidRPr="006C4F87">
        <w:rPr>
          <w:rFonts w:ascii="David" w:hAnsi="David" w:cs="David"/>
          <w:sz w:val="24"/>
          <w:szCs w:val="24"/>
          <w:shd w:val="clear" w:color="auto" w:fill="FFFFFF"/>
          <w:rtl/>
        </w:rPr>
        <w:t>הצגת הסביבה הייעודית שהוקמה, "קו המשווה":</w:t>
      </w:r>
    </w:p>
    <w:p w14:paraId="09F53F8D" w14:textId="45A4C720" w:rsidR="00342D68" w:rsidRPr="006C4F87" w:rsidRDefault="00105B62" w:rsidP="003256FA">
      <w:pPr>
        <w:spacing w:line="360" w:lineRule="auto"/>
        <w:jc w:val="both"/>
        <w:rPr>
          <w:rFonts w:ascii="David" w:hAnsi="David" w:cs="David"/>
          <w:sz w:val="24"/>
          <w:szCs w:val="24"/>
          <w:shd w:val="clear" w:color="auto" w:fill="FFFFFF"/>
          <w:rtl/>
        </w:rPr>
      </w:pPr>
      <w:bookmarkStart w:id="0" w:name="_GoBack"/>
      <w:r w:rsidRPr="006C4F87">
        <w:rPr>
          <w:rFonts w:ascii="David" w:hAnsi="David" w:cs="David"/>
          <w:noProof/>
        </w:rPr>
        <w:drawing>
          <wp:inline distT="0" distB="0" distL="0" distR="0" wp14:anchorId="5D77EAD8" wp14:editId="3240682D">
            <wp:extent cx="5274310" cy="2823845"/>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23845"/>
                    </a:xfrm>
                    <a:prstGeom prst="rect">
                      <a:avLst/>
                    </a:prstGeom>
                  </pic:spPr>
                </pic:pic>
              </a:graphicData>
            </a:graphic>
          </wp:inline>
        </w:drawing>
      </w:r>
      <w:bookmarkEnd w:id="0"/>
    </w:p>
    <w:p w14:paraId="2093AE43" w14:textId="6735A0F1" w:rsidR="004B5C26" w:rsidRPr="006C4F87" w:rsidRDefault="009015B2" w:rsidP="000B1634">
      <w:pPr>
        <w:spacing w:line="360" w:lineRule="auto"/>
        <w:jc w:val="both"/>
        <w:rPr>
          <w:rFonts w:ascii="David" w:hAnsi="David" w:cs="David"/>
          <w:sz w:val="24"/>
          <w:szCs w:val="24"/>
          <w:shd w:val="clear" w:color="auto" w:fill="FFFFFF"/>
          <w:rtl/>
        </w:rPr>
      </w:pPr>
      <w:r w:rsidRPr="006C4F87">
        <w:rPr>
          <w:rFonts w:ascii="David" w:hAnsi="David" w:cs="David"/>
          <w:sz w:val="24"/>
          <w:szCs w:val="24"/>
          <w:shd w:val="clear" w:color="auto" w:fill="FFFFFF"/>
          <w:rtl/>
        </w:rPr>
        <w:t xml:space="preserve">האתר החדש "קו המשווה של בנק ישראל" </w:t>
      </w:r>
      <w:r w:rsidR="003256FA" w:rsidRPr="006C4F87">
        <w:rPr>
          <w:rFonts w:ascii="David" w:hAnsi="David" w:cs="David"/>
          <w:sz w:val="24"/>
          <w:szCs w:val="24"/>
          <w:shd w:val="clear" w:color="auto" w:fill="FFFFFF"/>
          <w:rtl/>
        </w:rPr>
        <w:t>מרכז את הכלים הקיימים</w:t>
      </w:r>
      <w:r w:rsidR="000B1634" w:rsidRPr="006C4F87">
        <w:rPr>
          <w:rFonts w:ascii="David" w:hAnsi="David" w:cs="David"/>
          <w:sz w:val="24"/>
          <w:szCs w:val="24"/>
          <w:shd w:val="clear" w:color="auto" w:fill="FFFFFF"/>
          <w:rtl/>
        </w:rPr>
        <w:t xml:space="preserve"> כיום באתר בנק ישראל</w:t>
      </w:r>
      <w:r w:rsidR="003256FA" w:rsidRPr="006C4F87">
        <w:rPr>
          <w:rFonts w:ascii="David" w:hAnsi="David" w:cs="David"/>
          <w:sz w:val="24"/>
          <w:szCs w:val="24"/>
          <w:shd w:val="clear" w:color="auto" w:fill="FFFFFF"/>
          <w:rtl/>
        </w:rPr>
        <w:t xml:space="preserve">, </w:t>
      </w:r>
      <w:r w:rsidR="000B1634" w:rsidRPr="006C4F87">
        <w:rPr>
          <w:rFonts w:ascii="David" w:hAnsi="David" w:cs="David"/>
          <w:sz w:val="24"/>
          <w:szCs w:val="24"/>
          <w:shd w:val="clear" w:color="auto" w:fill="FFFFFF"/>
          <w:rtl/>
        </w:rPr>
        <w:t>ו</w:t>
      </w:r>
      <w:r w:rsidR="00A323FC" w:rsidRPr="006C4F87">
        <w:rPr>
          <w:rFonts w:ascii="David" w:hAnsi="David" w:cs="David"/>
          <w:sz w:val="24"/>
          <w:szCs w:val="24"/>
          <w:shd w:val="clear" w:color="auto" w:fill="FFFFFF"/>
          <w:rtl/>
        </w:rPr>
        <w:t>מרחיב את</w:t>
      </w:r>
      <w:r w:rsidR="007D7C69" w:rsidRPr="006C4F87">
        <w:rPr>
          <w:rFonts w:ascii="David" w:hAnsi="David" w:cs="David"/>
          <w:sz w:val="24"/>
          <w:szCs w:val="24"/>
          <w:shd w:val="clear" w:color="auto" w:fill="FFFFFF"/>
          <w:rtl/>
        </w:rPr>
        <w:t xml:space="preserve"> </w:t>
      </w:r>
      <w:r w:rsidRPr="006C4F87">
        <w:rPr>
          <w:rFonts w:ascii="David" w:hAnsi="David" w:cs="David"/>
          <w:sz w:val="24"/>
          <w:szCs w:val="24"/>
          <w:shd w:val="clear" w:color="auto" w:fill="FFFFFF"/>
          <w:rtl/>
        </w:rPr>
        <w:t xml:space="preserve">נתוני </w:t>
      </w:r>
      <w:r w:rsidR="007D7C69" w:rsidRPr="006C4F87">
        <w:rPr>
          <w:rFonts w:ascii="David" w:hAnsi="David" w:cs="David"/>
          <w:sz w:val="24"/>
          <w:szCs w:val="24"/>
          <w:shd w:val="clear" w:color="auto" w:fill="FFFFFF"/>
          <w:rtl/>
        </w:rPr>
        <w:t>ההשוואה לשימוש הצרכנים</w:t>
      </w:r>
      <w:r w:rsidR="00F06EFF" w:rsidRPr="006C4F87">
        <w:rPr>
          <w:rFonts w:ascii="David" w:hAnsi="David" w:cs="David"/>
          <w:sz w:val="24"/>
          <w:szCs w:val="24"/>
          <w:shd w:val="clear" w:color="auto" w:fill="FFFFFF"/>
          <w:rtl/>
        </w:rPr>
        <w:t xml:space="preserve">. </w:t>
      </w:r>
    </w:p>
    <w:p w14:paraId="5C90FB7F" w14:textId="1617D6E8" w:rsidR="004B5C26" w:rsidRPr="006C4F87" w:rsidRDefault="004B5C26" w:rsidP="00CB4B28">
      <w:pPr>
        <w:spacing w:line="360" w:lineRule="auto"/>
        <w:jc w:val="both"/>
        <w:rPr>
          <w:rFonts w:ascii="David" w:hAnsi="David" w:cs="David"/>
          <w:sz w:val="24"/>
          <w:szCs w:val="24"/>
          <w:rtl/>
        </w:rPr>
      </w:pPr>
      <w:r w:rsidRPr="006C4F87">
        <w:rPr>
          <w:rFonts w:ascii="David" w:hAnsi="David" w:cs="David"/>
          <w:sz w:val="24"/>
          <w:szCs w:val="24"/>
          <w:rtl/>
        </w:rPr>
        <w:t xml:space="preserve">בכוונת </w:t>
      </w:r>
      <w:r w:rsidR="009963D4" w:rsidRPr="006C4F87">
        <w:rPr>
          <w:rFonts w:ascii="David" w:hAnsi="David" w:cs="David"/>
          <w:sz w:val="24"/>
          <w:szCs w:val="24"/>
          <w:rtl/>
        </w:rPr>
        <w:t>בנק ישראל</w:t>
      </w:r>
      <w:r w:rsidRPr="006C4F87">
        <w:rPr>
          <w:rFonts w:ascii="David" w:hAnsi="David" w:cs="David"/>
          <w:sz w:val="24"/>
          <w:szCs w:val="24"/>
          <w:rtl/>
        </w:rPr>
        <w:t xml:space="preserve"> </w:t>
      </w:r>
      <w:r w:rsidR="00CB4B28" w:rsidRPr="006C4F87">
        <w:rPr>
          <w:rFonts w:ascii="David" w:hAnsi="David" w:cs="David"/>
          <w:sz w:val="24"/>
          <w:szCs w:val="24"/>
          <w:rtl/>
        </w:rPr>
        <w:t>לקדם צעדי הסברה ל</w:t>
      </w:r>
      <w:r w:rsidRPr="006C4F87">
        <w:rPr>
          <w:rFonts w:ascii="David" w:hAnsi="David" w:cs="David"/>
          <w:sz w:val="24"/>
          <w:szCs w:val="24"/>
          <w:rtl/>
        </w:rPr>
        <w:t xml:space="preserve">עידוד </w:t>
      </w:r>
      <w:r w:rsidR="00CB4B28" w:rsidRPr="006C4F87">
        <w:rPr>
          <w:rFonts w:ascii="David" w:hAnsi="David" w:cs="David"/>
          <w:sz w:val="24"/>
          <w:szCs w:val="24"/>
          <w:rtl/>
        </w:rPr>
        <w:t>הצרכנים</w:t>
      </w:r>
      <w:r w:rsidRPr="006C4F87">
        <w:rPr>
          <w:rFonts w:ascii="David" w:hAnsi="David" w:cs="David"/>
          <w:sz w:val="24"/>
          <w:szCs w:val="24"/>
          <w:rtl/>
        </w:rPr>
        <w:t xml:space="preserve"> לכניסה ושימוש במידע הנרחב באתר וכן לערוך כנסי הסברה וירטואליים לציבור הרחב לה</w:t>
      </w:r>
      <w:r w:rsidR="000B1634" w:rsidRPr="006C4F87">
        <w:rPr>
          <w:rFonts w:ascii="David" w:hAnsi="David" w:cs="David"/>
          <w:sz w:val="24"/>
          <w:szCs w:val="24"/>
          <w:rtl/>
        </w:rPr>
        <w:t>י</w:t>
      </w:r>
      <w:r w:rsidRPr="006C4F87">
        <w:rPr>
          <w:rFonts w:ascii="David" w:hAnsi="David" w:cs="David"/>
          <w:sz w:val="24"/>
          <w:szCs w:val="24"/>
          <w:rtl/>
        </w:rPr>
        <w:t>כרות עם הכלים ואופן השימוש בהם.</w:t>
      </w:r>
    </w:p>
    <w:p w14:paraId="410D0D58" w14:textId="77777777" w:rsidR="007D7C69" w:rsidRPr="006C4F87" w:rsidRDefault="00F83022" w:rsidP="003256FA">
      <w:pPr>
        <w:spacing w:line="360" w:lineRule="auto"/>
        <w:jc w:val="both"/>
        <w:rPr>
          <w:rFonts w:ascii="David" w:hAnsi="David" w:cs="David"/>
          <w:sz w:val="24"/>
          <w:szCs w:val="24"/>
          <w:shd w:val="clear" w:color="auto" w:fill="FFFFFF"/>
          <w:rtl/>
        </w:rPr>
      </w:pPr>
      <w:r w:rsidRPr="006C4F87">
        <w:rPr>
          <w:rFonts w:ascii="David" w:hAnsi="David" w:cs="David"/>
          <w:sz w:val="24"/>
          <w:szCs w:val="24"/>
          <w:shd w:val="clear" w:color="auto" w:fill="FFFFFF"/>
          <w:rtl/>
        </w:rPr>
        <w:t xml:space="preserve">הנושאים </w:t>
      </w:r>
      <w:r w:rsidR="003256FA" w:rsidRPr="006C4F87">
        <w:rPr>
          <w:rFonts w:ascii="David" w:hAnsi="David" w:cs="David"/>
          <w:sz w:val="24"/>
          <w:szCs w:val="24"/>
          <w:shd w:val="clear" w:color="auto" w:fill="FFFFFF"/>
          <w:rtl/>
        </w:rPr>
        <w:t>המוצגים ב"קו המשווה"</w:t>
      </w:r>
      <w:r w:rsidR="007D7C69" w:rsidRPr="006C4F87">
        <w:rPr>
          <w:rFonts w:ascii="David" w:hAnsi="David" w:cs="David"/>
          <w:sz w:val="24"/>
          <w:szCs w:val="24"/>
          <w:shd w:val="clear" w:color="auto" w:fill="FFFFFF"/>
          <w:rtl/>
        </w:rPr>
        <w:t>:</w:t>
      </w:r>
    </w:p>
    <w:p w14:paraId="2CC5AECE" w14:textId="77777777" w:rsidR="00F83022" w:rsidRPr="006C4F87" w:rsidRDefault="00F83022" w:rsidP="00342D68">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 xml:space="preserve">ריביות על הפיקדונות וההלוואות </w:t>
      </w:r>
      <w:r w:rsidR="003256FA" w:rsidRPr="006C4F87">
        <w:rPr>
          <w:rFonts w:ascii="David" w:hAnsi="David" w:cs="David"/>
          <w:b/>
          <w:bCs/>
          <w:sz w:val="24"/>
          <w:szCs w:val="24"/>
          <w:rtl/>
        </w:rPr>
        <w:t>-</w:t>
      </w:r>
      <w:r w:rsidRPr="006C4F87">
        <w:rPr>
          <w:rFonts w:ascii="David" w:hAnsi="David" w:cs="David"/>
          <w:b/>
          <w:bCs/>
          <w:sz w:val="24"/>
          <w:szCs w:val="24"/>
          <w:rtl/>
        </w:rPr>
        <w:t xml:space="preserve"> </w:t>
      </w:r>
      <w:r w:rsidRPr="006C4F87">
        <w:rPr>
          <w:rFonts w:ascii="David" w:hAnsi="David" w:cs="David"/>
          <w:sz w:val="24"/>
          <w:szCs w:val="24"/>
          <w:rtl/>
        </w:rPr>
        <w:t>המאפשרות לצרכנים יכולת השוואה בין הבנקים.</w:t>
      </w:r>
    </w:p>
    <w:p w14:paraId="36CFD367" w14:textId="233E5987" w:rsidR="007D7C69" w:rsidRPr="006C4F87" w:rsidRDefault="00F83022" w:rsidP="00980063">
      <w:pPr>
        <w:pStyle w:val="a3"/>
        <w:numPr>
          <w:ilvl w:val="0"/>
          <w:numId w:val="3"/>
        </w:numPr>
        <w:spacing w:line="360" w:lineRule="auto"/>
        <w:jc w:val="both"/>
        <w:rPr>
          <w:rFonts w:ascii="David" w:hAnsi="David" w:cs="David"/>
          <w:sz w:val="24"/>
          <w:szCs w:val="24"/>
          <w:rtl/>
        </w:rPr>
      </w:pPr>
      <w:r w:rsidRPr="006C4F87">
        <w:rPr>
          <w:rFonts w:ascii="David" w:hAnsi="David" w:cs="David"/>
          <w:b/>
          <w:bCs/>
          <w:sz w:val="24"/>
          <w:szCs w:val="24"/>
          <w:rtl/>
        </w:rPr>
        <w:t>הריבית על המק"מ</w:t>
      </w:r>
      <w:r w:rsidRPr="006C4F87">
        <w:rPr>
          <w:rFonts w:ascii="David" w:hAnsi="David" w:cs="David"/>
          <w:sz w:val="24"/>
          <w:szCs w:val="24"/>
          <w:rtl/>
        </w:rPr>
        <w:t xml:space="preserve"> </w:t>
      </w:r>
      <w:r w:rsidR="003256FA" w:rsidRPr="006C4F87">
        <w:rPr>
          <w:rFonts w:ascii="David" w:hAnsi="David" w:cs="David"/>
          <w:b/>
          <w:bCs/>
          <w:sz w:val="24"/>
          <w:szCs w:val="24"/>
          <w:rtl/>
        </w:rPr>
        <w:t>-</w:t>
      </w:r>
      <w:r w:rsidRPr="006C4F87">
        <w:rPr>
          <w:rFonts w:ascii="David" w:hAnsi="David" w:cs="David"/>
          <w:sz w:val="24"/>
          <w:szCs w:val="24"/>
          <w:rtl/>
        </w:rPr>
        <w:t xml:space="preserve"> כדי שהצרכנים יוכלו </w:t>
      </w:r>
      <w:r w:rsidR="00373A11" w:rsidRPr="006C4F87">
        <w:rPr>
          <w:rFonts w:ascii="David" w:hAnsi="David" w:cs="David"/>
          <w:sz w:val="24"/>
          <w:szCs w:val="24"/>
          <w:rtl/>
        </w:rPr>
        <w:t>לשלב</w:t>
      </w:r>
      <w:r w:rsidRPr="006C4F87">
        <w:rPr>
          <w:rFonts w:ascii="David" w:hAnsi="David" w:cs="David"/>
          <w:sz w:val="24"/>
          <w:szCs w:val="24"/>
          <w:rtl/>
        </w:rPr>
        <w:t xml:space="preserve"> את</w:t>
      </w:r>
      <w:r w:rsidR="00373A11" w:rsidRPr="006C4F87">
        <w:rPr>
          <w:rFonts w:ascii="David" w:hAnsi="David" w:cs="David"/>
          <w:sz w:val="24"/>
          <w:szCs w:val="24"/>
          <w:rtl/>
        </w:rPr>
        <w:t xml:space="preserve"> השוואת תשואת המק"מ </w:t>
      </w:r>
      <w:r w:rsidR="00980063" w:rsidRPr="006C4F87">
        <w:rPr>
          <w:rFonts w:ascii="David" w:hAnsi="David" w:cs="David"/>
          <w:sz w:val="24"/>
          <w:szCs w:val="24"/>
          <w:rtl/>
        </w:rPr>
        <w:t>ב</w:t>
      </w:r>
      <w:r w:rsidR="00373A11" w:rsidRPr="006C4F87">
        <w:rPr>
          <w:rFonts w:ascii="David" w:hAnsi="David" w:cs="David"/>
          <w:sz w:val="24"/>
          <w:szCs w:val="24"/>
          <w:shd w:val="clear" w:color="auto" w:fill="FFFFFF"/>
          <w:rtl/>
        </w:rPr>
        <w:t>תהליך ה</w:t>
      </w:r>
      <w:r w:rsidR="007132CC" w:rsidRPr="006C4F87">
        <w:rPr>
          <w:rFonts w:ascii="David" w:hAnsi="David" w:cs="David"/>
          <w:sz w:val="24"/>
          <w:szCs w:val="24"/>
          <w:shd w:val="clear" w:color="auto" w:fill="FFFFFF"/>
          <w:rtl/>
        </w:rPr>
        <w:t>השוואה בין ריביות על פיקדונות</w:t>
      </w:r>
      <w:r w:rsidR="00980063" w:rsidRPr="006C4F87">
        <w:rPr>
          <w:rFonts w:ascii="David" w:hAnsi="David" w:cs="David"/>
          <w:sz w:val="24"/>
          <w:szCs w:val="24"/>
          <w:shd w:val="clear" w:color="auto" w:fill="FFFFFF"/>
          <w:rtl/>
        </w:rPr>
        <w:t xml:space="preserve"> בנקאיים</w:t>
      </w:r>
      <w:r w:rsidRPr="006C4F87">
        <w:rPr>
          <w:rFonts w:ascii="David" w:hAnsi="David" w:cs="David"/>
          <w:sz w:val="24"/>
          <w:szCs w:val="24"/>
          <w:shd w:val="clear" w:color="auto" w:fill="FFFFFF"/>
          <w:rtl/>
        </w:rPr>
        <w:t xml:space="preserve"> ו</w:t>
      </w:r>
      <w:r w:rsidR="007132CC" w:rsidRPr="006C4F87">
        <w:rPr>
          <w:rFonts w:ascii="David" w:hAnsi="David" w:cs="David"/>
          <w:sz w:val="24"/>
          <w:szCs w:val="24"/>
          <w:rtl/>
        </w:rPr>
        <w:t>לבחור באפשרות המועדפת.</w:t>
      </w:r>
    </w:p>
    <w:p w14:paraId="5DEDE398" w14:textId="77777777" w:rsidR="007D7C69" w:rsidRPr="006C4F87" w:rsidRDefault="00F83022" w:rsidP="00453164">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 xml:space="preserve">ריביות על </w:t>
      </w:r>
      <w:r w:rsidR="00453164" w:rsidRPr="006C4F87">
        <w:rPr>
          <w:rFonts w:ascii="David" w:hAnsi="David" w:cs="David"/>
          <w:b/>
          <w:bCs/>
          <w:sz w:val="24"/>
          <w:szCs w:val="24"/>
          <w:rtl/>
        </w:rPr>
        <w:t>הלוואות צרכניות בכרטיסי אשראי</w:t>
      </w:r>
      <w:r w:rsidRPr="006C4F87">
        <w:rPr>
          <w:rFonts w:ascii="David" w:hAnsi="David" w:cs="David"/>
          <w:sz w:val="24"/>
          <w:szCs w:val="24"/>
          <w:rtl/>
        </w:rPr>
        <w:t xml:space="preserve"> </w:t>
      </w:r>
      <w:r w:rsidRPr="006C4F87">
        <w:rPr>
          <w:rFonts w:ascii="David" w:hAnsi="David" w:cs="David"/>
          <w:b/>
          <w:bCs/>
          <w:sz w:val="24"/>
          <w:szCs w:val="24"/>
          <w:rtl/>
        </w:rPr>
        <w:t>-</w:t>
      </w:r>
      <w:r w:rsidRPr="006C4F87">
        <w:rPr>
          <w:rFonts w:ascii="David" w:hAnsi="David" w:cs="David"/>
          <w:sz w:val="24"/>
          <w:szCs w:val="24"/>
          <w:rtl/>
        </w:rPr>
        <w:t xml:space="preserve"> </w:t>
      </w:r>
      <w:r w:rsidR="00453164" w:rsidRPr="006C4F87">
        <w:rPr>
          <w:rFonts w:ascii="David" w:hAnsi="David" w:cs="David"/>
          <w:sz w:val="24"/>
          <w:szCs w:val="24"/>
          <w:rtl/>
        </w:rPr>
        <w:t>הרחבת ההשוואה מעתה גם לריביות הנגבות על ידי חברות כרטיסי האשראי להלוואות צרכניות.</w:t>
      </w:r>
    </w:p>
    <w:p w14:paraId="0A411B82" w14:textId="77777777" w:rsidR="007D7C69" w:rsidRPr="006C4F87" w:rsidRDefault="00F83022" w:rsidP="00453164">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ריביות על המינוס</w:t>
      </w:r>
      <w:r w:rsidRPr="006C4F87">
        <w:rPr>
          <w:rFonts w:ascii="David" w:hAnsi="David" w:cs="David"/>
          <w:sz w:val="24"/>
          <w:szCs w:val="24"/>
          <w:rtl/>
        </w:rPr>
        <w:t xml:space="preserve"> </w:t>
      </w:r>
      <w:r w:rsidRPr="006C4F87">
        <w:rPr>
          <w:rFonts w:ascii="David" w:hAnsi="David" w:cs="David"/>
          <w:b/>
          <w:bCs/>
          <w:sz w:val="24"/>
          <w:szCs w:val="24"/>
          <w:rtl/>
        </w:rPr>
        <w:t>-</w:t>
      </w:r>
      <w:r w:rsidRPr="006C4F87">
        <w:rPr>
          <w:rFonts w:ascii="David" w:hAnsi="David" w:cs="David"/>
          <w:sz w:val="24"/>
          <w:szCs w:val="24"/>
          <w:rtl/>
        </w:rPr>
        <w:t xml:space="preserve"> </w:t>
      </w:r>
      <w:r w:rsidR="007132CC" w:rsidRPr="006C4F87">
        <w:rPr>
          <w:rFonts w:ascii="David" w:hAnsi="David" w:cs="David"/>
          <w:sz w:val="24"/>
          <w:szCs w:val="24"/>
          <w:rtl/>
        </w:rPr>
        <w:t xml:space="preserve">השוואה בין הבנקים על הריבית הנגבית בגין האשראי </w:t>
      </w:r>
      <w:r w:rsidR="00453164" w:rsidRPr="006C4F87">
        <w:rPr>
          <w:rFonts w:ascii="David" w:hAnsi="David" w:cs="David"/>
          <w:sz w:val="24"/>
          <w:szCs w:val="24"/>
          <w:rtl/>
        </w:rPr>
        <w:t xml:space="preserve"> בחובה (</w:t>
      </w:r>
      <w:r w:rsidR="007132CC" w:rsidRPr="006C4F87">
        <w:rPr>
          <w:rFonts w:ascii="David" w:hAnsi="David" w:cs="David"/>
          <w:sz w:val="24"/>
          <w:szCs w:val="24"/>
          <w:rtl/>
        </w:rPr>
        <w:t>מינוס</w:t>
      </w:r>
      <w:r w:rsidR="00453164" w:rsidRPr="006C4F87">
        <w:rPr>
          <w:rFonts w:ascii="David" w:hAnsi="David" w:cs="David"/>
          <w:sz w:val="24"/>
          <w:szCs w:val="24"/>
          <w:rtl/>
        </w:rPr>
        <w:t>) בתוך המסגרת.</w:t>
      </w:r>
    </w:p>
    <w:p w14:paraId="7EC9032B" w14:textId="443401AF" w:rsidR="00F83022" w:rsidRPr="006C4F87" w:rsidRDefault="00F83022" w:rsidP="00664E80">
      <w:pPr>
        <w:pStyle w:val="a3"/>
        <w:numPr>
          <w:ilvl w:val="0"/>
          <w:numId w:val="3"/>
        </w:numPr>
        <w:shd w:val="clear" w:color="auto" w:fill="FFFFFF"/>
        <w:spacing w:after="100" w:afterAutospacing="1" w:line="360" w:lineRule="auto"/>
        <w:jc w:val="both"/>
        <w:outlineLvl w:val="1"/>
        <w:rPr>
          <w:rFonts w:ascii="David" w:eastAsia="Times New Roman" w:hAnsi="David" w:cs="David"/>
          <w:sz w:val="24"/>
          <w:szCs w:val="24"/>
          <w:rtl/>
        </w:rPr>
      </w:pPr>
      <w:r w:rsidRPr="006C4F87">
        <w:rPr>
          <w:rFonts w:ascii="David" w:hAnsi="David" w:cs="David"/>
          <w:b/>
          <w:bCs/>
          <w:sz w:val="24"/>
          <w:szCs w:val="24"/>
          <w:shd w:val="clear" w:color="auto" w:fill="FFFFFF"/>
          <w:rtl/>
        </w:rPr>
        <w:t xml:space="preserve">ממוצעי </w:t>
      </w:r>
      <w:r w:rsidR="00664E80" w:rsidRPr="006C4F87">
        <w:rPr>
          <w:rFonts w:ascii="David" w:hAnsi="David" w:cs="David"/>
          <w:b/>
          <w:bCs/>
          <w:sz w:val="24"/>
          <w:szCs w:val="24"/>
          <w:shd w:val="clear" w:color="auto" w:fill="FFFFFF"/>
          <w:rtl/>
        </w:rPr>
        <w:t xml:space="preserve">ריביות </w:t>
      </w:r>
      <w:r w:rsidRPr="006C4F87">
        <w:rPr>
          <w:rFonts w:ascii="David" w:hAnsi="David" w:cs="David"/>
          <w:b/>
          <w:bCs/>
          <w:sz w:val="24"/>
          <w:szCs w:val="24"/>
          <w:shd w:val="clear" w:color="auto" w:fill="FFFFFF"/>
          <w:rtl/>
        </w:rPr>
        <w:t>הבנקים לאשראי לדיור</w:t>
      </w:r>
      <w:r w:rsidRPr="006C4F87">
        <w:rPr>
          <w:rFonts w:ascii="David" w:hAnsi="David" w:cs="David"/>
          <w:sz w:val="24"/>
          <w:szCs w:val="24"/>
          <w:shd w:val="clear" w:color="auto" w:fill="FFFFFF"/>
          <w:rtl/>
        </w:rPr>
        <w:t xml:space="preserve"> </w:t>
      </w:r>
      <w:r w:rsidR="003256FA" w:rsidRPr="006C4F87">
        <w:rPr>
          <w:rFonts w:ascii="David" w:hAnsi="David" w:cs="David"/>
          <w:b/>
          <w:bCs/>
          <w:sz w:val="24"/>
          <w:szCs w:val="24"/>
          <w:shd w:val="clear" w:color="auto" w:fill="FFFFFF"/>
          <w:rtl/>
        </w:rPr>
        <w:t>-</w:t>
      </w:r>
      <w:r w:rsidRPr="006C4F87">
        <w:rPr>
          <w:rFonts w:ascii="David" w:hAnsi="David" w:cs="David"/>
          <w:sz w:val="24"/>
          <w:szCs w:val="24"/>
          <w:shd w:val="clear" w:color="auto" w:fill="FFFFFF"/>
          <w:rtl/>
        </w:rPr>
        <w:t xml:space="preserve"> הצגת הנתונים באופן שנועד לסייע ללווים בתהליך נטילת </w:t>
      </w:r>
      <w:proofErr w:type="spellStart"/>
      <w:r w:rsidRPr="006C4F87">
        <w:rPr>
          <w:rFonts w:ascii="David" w:hAnsi="David" w:cs="David"/>
          <w:sz w:val="24"/>
          <w:szCs w:val="24"/>
          <w:shd w:val="clear" w:color="auto" w:fill="FFFFFF"/>
          <w:rtl/>
        </w:rPr>
        <w:t>המשכנתה</w:t>
      </w:r>
      <w:proofErr w:type="spellEnd"/>
      <w:r w:rsidRPr="006C4F87">
        <w:rPr>
          <w:rFonts w:ascii="David" w:hAnsi="David" w:cs="David"/>
          <w:sz w:val="24"/>
          <w:szCs w:val="24"/>
          <w:shd w:val="clear" w:color="auto" w:fill="FFFFFF"/>
          <w:rtl/>
        </w:rPr>
        <w:t xml:space="preserve"> תוך שקיפות, פשטות, יעילות ויכולת השוואה.</w:t>
      </w:r>
    </w:p>
    <w:p w14:paraId="008B8AA0" w14:textId="779B0E31" w:rsidR="00453164" w:rsidRPr="006C4F87" w:rsidRDefault="007D7C69" w:rsidP="00CE063F">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ריביות על ניצול בכרטיסי א</w:t>
      </w:r>
      <w:r w:rsidR="00A323FC" w:rsidRPr="006C4F87">
        <w:rPr>
          <w:rFonts w:ascii="David" w:hAnsi="David" w:cs="David"/>
          <w:b/>
          <w:bCs/>
          <w:sz w:val="24"/>
          <w:szCs w:val="24"/>
          <w:rtl/>
        </w:rPr>
        <w:t>שראי ואשראי מתגלגל</w:t>
      </w:r>
      <w:r w:rsidR="00A323FC" w:rsidRPr="006C4F87">
        <w:rPr>
          <w:rFonts w:ascii="David" w:hAnsi="David" w:cs="David"/>
          <w:sz w:val="24"/>
          <w:szCs w:val="24"/>
          <w:rtl/>
        </w:rPr>
        <w:t xml:space="preserve"> </w:t>
      </w:r>
      <w:r w:rsidR="001137EB" w:rsidRPr="006C4F87">
        <w:rPr>
          <w:rFonts w:ascii="David" w:hAnsi="David" w:cs="David"/>
          <w:b/>
          <w:bCs/>
          <w:sz w:val="24"/>
          <w:szCs w:val="24"/>
          <w:rtl/>
        </w:rPr>
        <w:t>-</w:t>
      </w:r>
      <w:r w:rsidR="001137EB" w:rsidRPr="006C4F87">
        <w:rPr>
          <w:rFonts w:ascii="David" w:hAnsi="David" w:cs="David"/>
          <w:color w:val="1F497D"/>
          <w:rtl/>
        </w:rPr>
        <w:t xml:space="preserve"> </w:t>
      </w:r>
      <w:r w:rsidR="00453164" w:rsidRPr="006C4F87">
        <w:rPr>
          <w:rFonts w:ascii="David" w:hAnsi="David" w:cs="David"/>
          <w:sz w:val="24"/>
          <w:szCs w:val="24"/>
          <w:shd w:val="clear" w:color="auto" w:fill="FFFFFF"/>
          <w:rtl/>
        </w:rPr>
        <w:t>השוואת הריביות על ניצול בכרטיסי אשראי (קרדיט) ואשראי מתגלגל בבנקים ובחברות כרטיסי האשראי</w:t>
      </w:r>
    </w:p>
    <w:p w14:paraId="562DDC6A" w14:textId="77777777" w:rsidR="004550A1" w:rsidRPr="004550A1" w:rsidRDefault="00664E80" w:rsidP="00CE063F">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יתרות עו"ש ומעבר לפיקדונות</w:t>
      </w:r>
      <w:r w:rsidRPr="006C4F87">
        <w:rPr>
          <w:rFonts w:ascii="David" w:hAnsi="David" w:cs="David"/>
          <w:sz w:val="24"/>
          <w:szCs w:val="24"/>
          <w:rtl/>
        </w:rPr>
        <w:t xml:space="preserve"> </w:t>
      </w:r>
      <w:r w:rsidR="001137EB" w:rsidRPr="006C4F87">
        <w:rPr>
          <w:rFonts w:ascii="David" w:hAnsi="David" w:cs="David"/>
          <w:b/>
          <w:bCs/>
          <w:sz w:val="24"/>
          <w:szCs w:val="24"/>
          <w:rtl/>
        </w:rPr>
        <w:t>-</w:t>
      </w:r>
      <w:r w:rsidRPr="006C4F87">
        <w:rPr>
          <w:rFonts w:ascii="David" w:hAnsi="David" w:cs="David"/>
          <w:sz w:val="24"/>
          <w:szCs w:val="24"/>
          <w:rtl/>
        </w:rPr>
        <w:t xml:space="preserve"> הנגשה לציבור של המידע  אודות כמות הכספים שמשקי הבית מחזיקים בעו"ש, וכמות הכספים המופקדים בפיקדונות נושאי ריבית.</w:t>
      </w:r>
      <w:r w:rsidRPr="006C4F87" w:rsidDel="00664E80">
        <w:rPr>
          <w:rFonts w:ascii="David" w:hAnsi="David" w:cs="David"/>
          <w:b/>
          <w:bCs/>
          <w:sz w:val="24"/>
          <w:szCs w:val="24"/>
          <w:rtl/>
        </w:rPr>
        <w:t xml:space="preserve"> </w:t>
      </w:r>
    </w:p>
    <w:p w14:paraId="52708ECA" w14:textId="38B36B73" w:rsidR="00F06EFF" w:rsidRPr="006C4F87" w:rsidRDefault="000B1634" w:rsidP="00CE063F">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lastRenderedPageBreak/>
        <w:t xml:space="preserve">מידע </w:t>
      </w:r>
      <w:r w:rsidR="00F83022" w:rsidRPr="006C4F87">
        <w:rPr>
          <w:rFonts w:ascii="David" w:hAnsi="David" w:cs="David"/>
          <w:b/>
          <w:bCs/>
          <w:sz w:val="24"/>
          <w:szCs w:val="24"/>
          <w:rtl/>
        </w:rPr>
        <w:t xml:space="preserve">על </w:t>
      </w:r>
      <w:r w:rsidR="00F06EFF" w:rsidRPr="006C4F87">
        <w:rPr>
          <w:rFonts w:ascii="David" w:hAnsi="David" w:cs="David"/>
          <w:b/>
          <w:bCs/>
          <w:sz w:val="24"/>
          <w:szCs w:val="24"/>
          <w:rtl/>
        </w:rPr>
        <w:t xml:space="preserve">אפשרויות </w:t>
      </w:r>
      <w:r w:rsidR="006D0835" w:rsidRPr="006C4F87">
        <w:rPr>
          <w:rFonts w:ascii="David" w:hAnsi="David" w:cs="David"/>
          <w:b/>
          <w:bCs/>
          <w:sz w:val="24"/>
          <w:szCs w:val="24"/>
          <w:rtl/>
        </w:rPr>
        <w:t>חיסכון ו</w:t>
      </w:r>
      <w:r w:rsidR="00F06EFF" w:rsidRPr="006C4F87">
        <w:rPr>
          <w:rFonts w:ascii="David" w:hAnsi="David" w:cs="David"/>
          <w:b/>
          <w:bCs/>
          <w:sz w:val="24"/>
          <w:szCs w:val="24"/>
          <w:rtl/>
        </w:rPr>
        <w:t>השקעה</w:t>
      </w:r>
      <w:r w:rsidR="00F83022" w:rsidRPr="006C4F87">
        <w:rPr>
          <w:rFonts w:ascii="David" w:hAnsi="David" w:cs="David"/>
          <w:sz w:val="24"/>
          <w:szCs w:val="24"/>
          <w:rtl/>
        </w:rPr>
        <w:t xml:space="preserve"> </w:t>
      </w:r>
      <w:r w:rsidR="001137EB" w:rsidRPr="006C4F87">
        <w:rPr>
          <w:rFonts w:ascii="David" w:hAnsi="David" w:cs="David"/>
          <w:b/>
          <w:bCs/>
          <w:sz w:val="24"/>
          <w:szCs w:val="24"/>
          <w:rtl/>
        </w:rPr>
        <w:t>-</w:t>
      </w:r>
      <w:r w:rsidR="001137EB" w:rsidRPr="006C4F87">
        <w:rPr>
          <w:rFonts w:ascii="David" w:hAnsi="David" w:cs="David"/>
          <w:sz w:val="24"/>
          <w:szCs w:val="24"/>
          <w:rtl/>
        </w:rPr>
        <w:t xml:space="preserve"> </w:t>
      </w:r>
      <w:r w:rsidR="00F83022" w:rsidRPr="006C4F87">
        <w:rPr>
          <w:rFonts w:ascii="David" w:hAnsi="David" w:cs="David"/>
          <w:sz w:val="24"/>
          <w:szCs w:val="24"/>
          <w:rtl/>
        </w:rPr>
        <w:t xml:space="preserve">הסברים על אפיקי חיסכון והשקעה </w:t>
      </w:r>
      <w:r w:rsidRPr="006C4F87">
        <w:rPr>
          <w:rFonts w:ascii="David" w:hAnsi="David" w:cs="David"/>
          <w:sz w:val="24"/>
          <w:szCs w:val="24"/>
          <w:rtl/>
        </w:rPr>
        <w:t xml:space="preserve">מסוימים </w:t>
      </w:r>
      <w:r w:rsidR="00F06EFF" w:rsidRPr="006C4F87">
        <w:rPr>
          <w:rFonts w:ascii="David" w:hAnsi="David" w:cs="David"/>
          <w:sz w:val="24"/>
          <w:szCs w:val="24"/>
          <w:rtl/>
        </w:rPr>
        <w:t>במערכת הבנקאית</w:t>
      </w:r>
      <w:r w:rsidR="006D0835" w:rsidRPr="006C4F87">
        <w:rPr>
          <w:rFonts w:ascii="David" w:hAnsi="David" w:cs="David"/>
          <w:sz w:val="24"/>
          <w:szCs w:val="24"/>
          <w:rtl/>
        </w:rPr>
        <w:t xml:space="preserve"> ומחוצה לה</w:t>
      </w:r>
      <w:r w:rsidR="00F06EFF" w:rsidRPr="006C4F87">
        <w:rPr>
          <w:rFonts w:ascii="David" w:hAnsi="David" w:cs="David"/>
          <w:sz w:val="24"/>
          <w:szCs w:val="24"/>
          <w:rtl/>
        </w:rPr>
        <w:t>.</w:t>
      </w:r>
    </w:p>
    <w:p w14:paraId="4322B9FA" w14:textId="51A6CCA7" w:rsidR="00F06EFF" w:rsidRPr="006C4F87" w:rsidRDefault="00F83022" w:rsidP="000B1634">
      <w:pPr>
        <w:pStyle w:val="a3"/>
        <w:numPr>
          <w:ilvl w:val="0"/>
          <w:numId w:val="3"/>
        </w:numPr>
        <w:spacing w:line="360" w:lineRule="auto"/>
        <w:jc w:val="both"/>
        <w:rPr>
          <w:rFonts w:ascii="David" w:hAnsi="David" w:cs="David"/>
          <w:sz w:val="24"/>
          <w:szCs w:val="24"/>
        </w:rPr>
      </w:pPr>
      <w:r w:rsidRPr="006C4F87">
        <w:rPr>
          <w:rFonts w:ascii="David" w:hAnsi="David" w:cs="David"/>
          <w:b/>
          <w:bCs/>
          <w:sz w:val="24"/>
          <w:szCs w:val="24"/>
          <w:rtl/>
        </w:rPr>
        <w:t>מדריכים לציבור בנושאים שונים המסייעים להם להתנהל מול המערכת הבנקאית</w:t>
      </w:r>
      <w:r w:rsidR="001137EB" w:rsidRPr="006C4F87">
        <w:rPr>
          <w:rFonts w:ascii="David" w:hAnsi="David" w:cs="David"/>
          <w:b/>
          <w:bCs/>
          <w:sz w:val="24"/>
          <w:szCs w:val="24"/>
          <w:rtl/>
        </w:rPr>
        <w:t xml:space="preserve"> -</w:t>
      </w:r>
      <w:r w:rsidRPr="006C4F87">
        <w:rPr>
          <w:rFonts w:ascii="David" w:hAnsi="David" w:cs="David"/>
          <w:sz w:val="24"/>
          <w:szCs w:val="24"/>
          <w:rtl/>
        </w:rPr>
        <w:t xml:space="preserve"> ביניהם: </w:t>
      </w:r>
      <w:r w:rsidR="00F06EFF" w:rsidRPr="006C4F87">
        <w:rPr>
          <w:rFonts w:ascii="David" w:hAnsi="David" w:cs="David"/>
          <w:sz w:val="24"/>
          <w:szCs w:val="24"/>
          <w:rtl/>
        </w:rPr>
        <w:t xml:space="preserve">הוזלת עלויות ניהול חשבון הבנק, אשראי מתגלגל, </w:t>
      </w:r>
      <w:r w:rsidR="006D0835" w:rsidRPr="006C4F87">
        <w:rPr>
          <w:rFonts w:ascii="David" w:hAnsi="David" w:cs="David"/>
          <w:sz w:val="24"/>
          <w:szCs w:val="24"/>
          <w:rtl/>
        </w:rPr>
        <w:t xml:space="preserve">כרטיס </w:t>
      </w:r>
      <w:r w:rsidR="00F06EFF" w:rsidRPr="006C4F87">
        <w:rPr>
          <w:rFonts w:ascii="David" w:hAnsi="David" w:cs="David"/>
          <w:sz w:val="24"/>
          <w:szCs w:val="24"/>
          <w:rtl/>
        </w:rPr>
        <w:t xml:space="preserve">דביט, מאגר נתוני האשראי, </w:t>
      </w:r>
      <w:r w:rsidR="006D0835" w:rsidRPr="006C4F87">
        <w:rPr>
          <w:rFonts w:ascii="David" w:hAnsi="David" w:cs="David"/>
          <w:sz w:val="24"/>
          <w:szCs w:val="24"/>
          <w:rtl/>
        </w:rPr>
        <w:t xml:space="preserve">רפורמת </w:t>
      </w:r>
      <w:r w:rsidR="00F06EFF" w:rsidRPr="006C4F87">
        <w:rPr>
          <w:rFonts w:ascii="David" w:hAnsi="David" w:cs="David"/>
          <w:sz w:val="24"/>
          <w:szCs w:val="24"/>
          <w:rtl/>
        </w:rPr>
        <w:t xml:space="preserve"> </w:t>
      </w:r>
      <w:r w:rsidR="000B1634" w:rsidRPr="006C4F87">
        <w:rPr>
          <w:rFonts w:ascii="David" w:hAnsi="David" w:cs="David"/>
          <w:sz w:val="24"/>
          <w:szCs w:val="24"/>
          <w:rtl/>
        </w:rPr>
        <w:t>ה</w:t>
      </w:r>
      <w:r w:rsidR="00F06EFF" w:rsidRPr="006C4F87">
        <w:rPr>
          <w:rFonts w:ascii="David" w:hAnsi="David" w:cs="David"/>
          <w:sz w:val="24"/>
          <w:szCs w:val="24"/>
          <w:rtl/>
        </w:rPr>
        <w:t>בנקאות פתוחה ועוד.</w:t>
      </w:r>
    </w:p>
    <w:p w14:paraId="26457733" w14:textId="77777777" w:rsidR="00F83022" w:rsidRPr="006C4F87" w:rsidRDefault="00F83022" w:rsidP="00B936DB">
      <w:pPr>
        <w:pStyle w:val="a3"/>
        <w:spacing w:line="360" w:lineRule="auto"/>
        <w:jc w:val="both"/>
        <w:rPr>
          <w:rFonts w:ascii="David" w:hAnsi="David" w:cs="David"/>
          <w:sz w:val="24"/>
          <w:szCs w:val="24"/>
          <w:rtl/>
        </w:rPr>
      </w:pPr>
    </w:p>
    <w:sectPr w:rsidR="00F83022" w:rsidRPr="006C4F87" w:rsidSect="00F008D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C8B0" w14:textId="77777777" w:rsidR="00B705B5" w:rsidRDefault="00B705B5" w:rsidP="00804339">
      <w:pPr>
        <w:spacing w:after="0" w:line="240" w:lineRule="auto"/>
      </w:pPr>
      <w:r>
        <w:separator/>
      </w:r>
    </w:p>
  </w:endnote>
  <w:endnote w:type="continuationSeparator" w:id="0">
    <w:p w14:paraId="2A474806" w14:textId="77777777" w:rsidR="00B705B5" w:rsidRDefault="00B705B5" w:rsidP="0080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73C3" w14:textId="77777777" w:rsidR="00AA3CBB" w:rsidRDefault="00AA3CBB">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C78B" w14:textId="77777777" w:rsidR="00AA3CBB" w:rsidRDefault="00AA3CB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5172" w14:textId="77777777" w:rsidR="00AA3CBB" w:rsidRDefault="00AA3CB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81D4" w14:textId="77777777" w:rsidR="00B705B5" w:rsidRDefault="00B705B5" w:rsidP="00804339">
      <w:pPr>
        <w:spacing w:after="0" w:line="240" w:lineRule="auto"/>
      </w:pPr>
      <w:r>
        <w:separator/>
      </w:r>
    </w:p>
  </w:footnote>
  <w:footnote w:type="continuationSeparator" w:id="0">
    <w:p w14:paraId="721A4C05" w14:textId="77777777" w:rsidR="00B705B5" w:rsidRDefault="00B705B5" w:rsidP="0080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64813" w14:textId="77777777" w:rsidR="00AA3CBB" w:rsidRDefault="00AA3CB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510EC" w14:textId="77777777" w:rsidR="00AA3CBB" w:rsidRDefault="00AA3CB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50CC6" w14:textId="77777777" w:rsidR="00AA3CBB" w:rsidRDefault="00AA3CB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114ED"/>
    <w:multiLevelType w:val="hybridMultilevel"/>
    <w:tmpl w:val="76DC73D6"/>
    <w:lvl w:ilvl="0" w:tplc="48BCA188">
      <w:numFmt w:val="bullet"/>
      <w:lvlText w:val="-"/>
      <w:lvlJc w:val="left"/>
      <w:pPr>
        <w:ind w:left="1110" w:hanging="750"/>
      </w:pPr>
      <w:rPr>
        <w:rFonts w:ascii="Arial" w:eastAsiaTheme="minorHAnsi" w:hAnsi="Arial" w:cs="Aria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D1266"/>
    <w:multiLevelType w:val="hybridMultilevel"/>
    <w:tmpl w:val="868ACC88"/>
    <w:lvl w:ilvl="0" w:tplc="B4024D94">
      <w:start w:val="1"/>
      <w:numFmt w:val="bullet"/>
      <w:lvlText w:val="-"/>
      <w:lvlJc w:val="left"/>
      <w:pPr>
        <w:ind w:left="720" w:hanging="360"/>
      </w:pPr>
      <w:rPr>
        <w:rFonts w:ascii="Assistant" w:eastAsiaTheme="minorHAnsi" w:hAnsi="Assistant" w:cs="Assistant" w:hint="default"/>
        <w:color w:val="2E3D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30622"/>
    <w:multiLevelType w:val="hybridMultilevel"/>
    <w:tmpl w:val="D5F6B6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0845FA"/>
    <w:multiLevelType w:val="hybridMultilevel"/>
    <w:tmpl w:val="877AC54A"/>
    <w:lvl w:ilvl="0" w:tplc="2BD63C54">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46370"/>
    <w:multiLevelType w:val="hybridMultilevel"/>
    <w:tmpl w:val="7074A64E"/>
    <w:lvl w:ilvl="0" w:tplc="B7D01C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2739F4"/>
    <w:multiLevelType w:val="hybridMultilevel"/>
    <w:tmpl w:val="115EC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D853141"/>
    <w:multiLevelType w:val="hybridMultilevel"/>
    <w:tmpl w:val="83EEAAB0"/>
    <w:lvl w:ilvl="0" w:tplc="114CE3D0">
      <w:numFmt w:val="bullet"/>
      <w:lvlText w:val="•"/>
      <w:lvlJc w:val="left"/>
      <w:pPr>
        <w:ind w:left="1080" w:hanging="72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11"/>
    <w:rsid w:val="00011231"/>
    <w:rsid w:val="000119F2"/>
    <w:rsid w:val="00012666"/>
    <w:rsid w:val="00012DA2"/>
    <w:rsid w:val="0001426B"/>
    <w:rsid w:val="00015C95"/>
    <w:rsid w:val="000274C5"/>
    <w:rsid w:val="00044865"/>
    <w:rsid w:val="00045AE6"/>
    <w:rsid w:val="00047A62"/>
    <w:rsid w:val="00051820"/>
    <w:rsid w:val="000705F3"/>
    <w:rsid w:val="0007219B"/>
    <w:rsid w:val="00080021"/>
    <w:rsid w:val="000A3DCD"/>
    <w:rsid w:val="000A5D8D"/>
    <w:rsid w:val="000A737D"/>
    <w:rsid w:val="000B1634"/>
    <w:rsid w:val="000B1D81"/>
    <w:rsid w:val="000B2653"/>
    <w:rsid w:val="000C285A"/>
    <w:rsid w:val="000C5B46"/>
    <w:rsid w:val="000D4A0F"/>
    <w:rsid w:val="000F609B"/>
    <w:rsid w:val="000F7ADE"/>
    <w:rsid w:val="00103731"/>
    <w:rsid w:val="00105B62"/>
    <w:rsid w:val="001137EB"/>
    <w:rsid w:val="00114F7D"/>
    <w:rsid w:val="0012002E"/>
    <w:rsid w:val="00126B26"/>
    <w:rsid w:val="0013012B"/>
    <w:rsid w:val="001426A1"/>
    <w:rsid w:val="0016304E"/>
    <w:rsid w:val="00163A11"/>
    <w:rsid w:val="00184F13"/>
    <w:rsid w:val="001F0585"/>
    <w:rsid w:val="001F26D6"/>
    <w:rsid w:val="001F74CE"/>
    <w:rsid w:val="001F7E28"/>
    <w:rsid w:val="002028A3"/>
    <w:rsid w:val="00202DE6"/>
    <w:rsid w:val="00210665"/>
    <w:rsid w:val="0021428B"/>
    <w:rsid w:val="00224646"/>
    <w:rsid w:val="0022584B"/>
    <w:rsid w:val="00225EB8"/>
    <w:rsid w:val="00226FB6"/>
    <w:rsid w:val="00227240"/>
    <w:rsid w:val="002275C4"/>
    <w:rsid w:val="00236C36"/>
    <w:rsid w:val="0024184E"/>
    <w:rsid w:val="00242E33"/>
    <w:rsid w:val="002504A0"/>
    <w:rsid w:val="00261F26"/>
    <w:rsid w:val="00262FB8"/>
    <w:rsid w:val="00271509"/>
    <w:rsid w:val="00284050"/>
    <w:rsid w:val="00295BCA"/>
    <w:rsid w:val="002C14E8"/>
    <w:rsid w:val="002D2994"/>
    <w:rsid w:val="002D336B"/>
    <w:rsid w:val="002D488F"/>
    <w:rsid w:val="002D5C13"/>
    <w:rsid w:val="002E764C"/>
    <w:rsid w:val="002F0294"/>
    <w:rsid w:val="002F774F"/>
    <w:rsid w:val="00305023"/>
    <w:rsid w:val="00312301"/>
    <w:rsid w:val="00313743"/>
    <w:rsid w:val="003256FA"/>
    <w:rsid w:val="0032577A"/>
    <w:rsid w:val="00342D68"/>
    <w:rsid w:val="00347DBE"/>
    <w:rsid w:val="00357368"/>
    <w:rsid w:val="00373A11"/>
    <w:rsid w:val="0037431E"/>
    <w:rsid w:val="003756F9"/>
    <w:rsid w:val="003A6904"/>
    <w:rsid w:val="003B2412"/>
    <w:rsid w:val="003B6DED"/>
    <w:rsid w:val="003C3063"/>
    <w:rsid w:val="003D5A6D"/>
    <w:rsid w:val="003E2043"/>
    <w:rsid w:val="003F37A7"/>
    <w:rsid w:val="003F3847"/>
    <w:rsid w:val="00405C6B"/>
    <w:rsid w:val="00407D29"/>
    <w:rsid w:val="00426CC1"/>
    <w:rsid w:val="00426DB7"/>
    <w:rsid w:val="00451BFA"/>
    <w:rsid w:val="00453164"/>
    <w:rsid w:val="00454786"/>
    <w:rsid w:val="004550A1"/>
    <w:rsid w:val="00462FB6"/>
    <w:rsid w:val="00467689"/>
    <w:rsid w:val="004809EE"/>
    <w:rsid w:val="00481CA2"/>
    <w:rsid w:val="00485D67"/>
    <w:rsid w:val="004A01BC"/>
    <w:rsid w:val="004A51A4"/>
    <w:rsid w:val="004B44A3"/>
    <w:rsid w:val="004B5C26"/>
    <w:rsid w:val="004C20D3"/>
    <w:rsid w:val="004C475D"/>
    <w:rsid w:val="004C6580"/>
    <w:rsid w:val="004E0231"/>
    <w:rsid w:val="004E2A99"/>
    <w:rsid w:val="004E43BA"/>
    <w:rsid w:val="004E5BC0"/>
    <w:rsid w:val="005149F2"/>
    <w:rsid w:val="0052630D"/>
    <w:rsid w:val="005556F3"/>
    <w:rsid w:val="005645AC"/>
    <w:rsid w:val="00567D4C"/>
    <w:rsid w:val="0058033F"/>
    <w:rsid w:val="005853F1"/>
    <w:rsid w:val="00597AF9"/>
    <w:rsid w:val="005A6A79"/>
    <w:rsid w:val="005B0463"/>
    <w:rsid w:val="005B3CE2"/>
    <w:rsid w:val="005C25FB"/>
    <w:rsid w:val="005D2E36"/>
    <w:rsid w:val="005D5CCB"/>
    <w:rsid w:val="005D60EC"/>
    <w:rsid w:val="0060279C"/>
    <w:rsid w:val="0060382E"/>
    <w:rsid w:val="00647AFD"/>
    <w:rsid w:val="0066454E"/>
    <w:rsid w:val="00664E80"/>
    <w:rsid w:val="00677CC6"/>
    <w:rsid w:val="00682744"/>
    <w:rsid w:val="0068295E"/>
    <w:rsid w:val="00687931"/>
    <w:rsid w:val="00692031"/>
    <w:rsid w:val="006928C2"/>
    <w:rsid w:val="006B021A"/>
    <w:rsid w:val="006C3E81"/>
    <w:rsid w:val="006C4F87"/>
    <w:rsid w:val="006C5940"/>
    <w:rsid w:val="006C7825"/>
    <w:rsid w:val="006D0835"/>
    <w:rsid w:val="006D626A"/>
    <w:rsid w:val="006E6716"/>
    <w:rsid w:val="006F1402"/>
    <w:rsid w:val="00704911"/>
    <w:rsid w:val="007132CC"/>
    <w:rsid w:val="007208A0"/>
    <w:rsid w:val="007238AE"/>
    <w:rsid w:val="00724001"/>
    <w:rsid w:val="0072614F"/>
    <w:rsid w:val="007354D4"/>
    <w:rsid w:val="00737989"/>
    <w:rsid w:val="00747495"/>
    <w:rsid w:val="0075129D"/>
    <w:rsid w:val="00752F1B"/>
    <w:rsid w:val="00770690"/>
    <w:rsid w:val="007850E6"/>
    <w:rsid w:val="00787EFE"/>
    <w:rsid w:val="00787FB1"/>
    <w:rsid w:val="007A2339"/>
    <w:rsid w:val="007A6C36"/>
    <w:rsid w:val="007A7CFB"/>
    <w:rsid w:val="007A7D02"/>
    <w:rsid w:val="007B2E10"/>
    <w:rsid w:val="007B625D"/>
    <w:rsid w:val="007D7C69"/>
    <w:rsid w:val="00802C87"/>
    <w:rsid w:val="00803591"/>
    <w:rsid w:val="00804339"/>
    <w:rsid w:val="00867563"/>
    <w:rsid w:val="008730AF"/>
    <w:rsid w:val="008826DB"/>
    <w:rsid w:val="00883262"/>
    <w:rsid w:val="00885C9C"/>
    <w:rsid w:val="00894528"/>
    <w:rsid w:val="008A08AC"/>
    <w:rsid w:val="008D715E"/>
    <w:rsid w:val="008E36A2"/>
    <w:rsid w:val="008F00F5"/>
    <w:rsid w:val="008F0390"/>
    <w:rsid w:val="008F073E"/>
    <w:rsid w:val="008F1025"/>
    <w:rsid w:val="008F3C67"/>
    <w:rsid w:val="008F6387"/>
    <w:rsid w:val="009015B2"/>
    <w:rsid w:val="00901F00"/>
    <w:rsid w:val="009068F3"/>
    <w:rsid w:val="00907696"/>
    <w:rsid w:val="00910D72"/>
    <w:rsid w:val="00926A19"/>
    <w:rsid w:val="00951206"/>
    <w:rsid w:val="00971CCB"/>
    <w:rsid w:val="00972165"/>
    <w:rsid w:val="00972B97"/>
    <w:rsid w:val="00975777"/>
    <w:rsid w:val="00980063"/>
    <w:rsid w:val="009839D4"/>
    <w:rsid w:val="009946B7"/>
    <w:rsid w:val="009963D4"/>
    <w:rsid w:val="009A390F"/>
    <w:rsid w:val="009B783F"/>
    <w:rsid w:val="009C0D14"/>
    <w:rsid w:val="009C30A1"/>
    <w:rsid w:val="009C7F4C"/>
    <w:rsid w:val="009E470D"/>
    <w:rsid w:val="009F4DEC"/>
    <w:rsid w:val="00A21AE2"/>
    <w:rsid w:val="00A26740"/>
    <w:rsid w:val="00A303DC"/>
    <w:rsid w:val="00A323FC"/>
    <w:rsid w:val="00A3433C"/>
    <w:rsid w:val="00A35183"/>
    <w:rsid w:val="00A45DF9"/>
    <w:rsid w:val="00A4649E"/>
    <w:rsid w:val="00A64DCD"/>
    <w:rsid w:val="00A65684"/>
    <w:rsid w:val="00A720B8"/>
    <w:rsid w:val="00A9388B"/>
    <w:rsid w:val="00A95499"/>
    <w:rsid w:val="00AA3CBB"/>
    <w:rsid w:val="00AA5034"/>
    <w:rsid w:val="00AA58A5"/>
    <w:rsid w:val="00AB19FE"/>
    <w:rsid w:val="00AB3511"/>
    <w:rsid w:val="00AB5B93"/>
    <w:rsid w:val="00B04A30"/>
    <w:rsid w:val="00B05264"/>
    <w:rsid w:val="00B11EB9"/>
    <w:rsid w:val="00B310BE"/>
    <w:rsid w:val="00B34AE7"/>
    <w:rsid w:val="00B370C2"/>
    <w:rsid w:val="00B42A9A"/>
    <w:rsid w:val="00B47B48"/>
    <w:rsid w:val="00B6421E"/>
    <w:rsid w:val="00B705B5"/>
    <w:rsid w:val="00B7715A"/>
    <w:rsid w:val="00B90A63"/>
    <w:rsid w:val="00B90CD3"/>
    <w:rsid w:val="00B90E61"/>
    <w:rsid w:val="00B936DB"/>
    <w:rsid w:val="00BA42CE"/>
    <w:rsid w:val="00BB279F"/>
    <w:rsid w:val="00BB6538"/>
    <w:rsid w:val="00BC3FD4"/>
    <w:rsid w:val="00BD0AA0"/>
    <w:rsid w:val="00BD2B16"/>
    <w:rsid w:val="00BD4CD6"/>
    <w:rsid w:val="00BD5616"/>
    <w:rsid w:val="00BF0DE4"/>
    <w:rsid w:val="00C15FBC"/>
    <w:rsid w:val="00C35D98"/>
    <w:rsid w:val="00C502AB"/>
    <w:rsid w:val="00C62533"/>
    <w:rsid w:val="00C6308D"/>
    <w:rsid w:val="00C717DB"/>
    <w:rsid w:val="00C71B09"/>
    <w:rsid w:val="00C84702"/>
    <w:rsid w:val="00C870BA"/>
    <w:rsid w:val="00CA0E1B"/>
    <w:rsid w:val="00CA6FFD"/>
    <w:rsid w:val="00CB4B28"/>
    <w:rsid w:val="00CD31DB"/>
    <w:rsid w:val="00CD702F"/>
    <w:rsid w:val="00CE063F"/>
    <w:rsid w:val="00CF7890"/>
    <w:rsid w:val="00D01925"/>
    <w:rsid w:val="00D03BD1"/>
    <w:rsid w:val="00D103EC"/>
    <w:rsid w:val="00D20A9F"/>
    <w:rsid w:val="00D62AD0"/>
    <w:rsid w:val="00D66683"/>
    <w:rsid w:val="00D70D54"/>
    <w:rsid w:val="00DB1E9A"/>
    <w:rsid w:val="00DB4DA8"/>
    <w:rsid w:val="00DC67AF"/>
    <w:rsid w:val="00DD73B6"/>
    <w:rsid w:val="00DD78A0"/>
    <w:rsid w:val="00DE0496"/>
    <w:rsid w:val="00E0204A"/>
    <w:rsid w:val="00E26694"/>
    <w:rsid w:val="00E4003A"/>
    <w:rsid w:val="00E433EF"/>
    <w:rsid w:val="00E43EE3"/>
    <w:rsid w:val="00E43F1D"/>
    <w:rsid w:val="00E53E56"/>
    <w:rsid w:val="00E5648B"/>
    <w:rsid w:val="00E6103B"/>
    <w:rsid w:val="00E70443"/>
    <w:rsid w:val="00E93DA0"/>
    <w:rsid w:val="00E96AF6"/>
    <w:rsid w:val="00EA17C6"/>
    <w:rsid w:val="00EA2259"/>
    <w:rsid w:val="00EB3371"/>
    <w:rsid w:val="00EB6546"/>
    <w:rsid w:val="00ED31D7"/>
    <w:rsid w:val="00EE1AA5"/>
    <w:rsid w:val="00F008DA"/>
    <w:rsid w:val="00F04CBD"/>
    <w:rsid w:val="00F0691E"/>
    <w:rsid w:val="00F06EFF"/>
    <w:rsid w:val="00F41DE8"/>
    <w:rsid w:val="00F504BB"/>
    <w:rsid w:val="00F50919"/>
    <w:rsid w:val="00F66472"/>
    <w:rsid w:val="00F66EFF"/>
    <w:rsid w:val="00F7158E"/>
    <w:rsid w:val="00F7515A"/>
    <w:rsid w:val="00F75200"/>
    <w:rsid w:val="00F8294A"/>
    <w:rsid w:val="00F83022"/>
    <w:rsid w:val="00F86EE0"/>
    <w:rsid w:val="00F90410"/>
    <w:rsid w:val="00FA269D"/>
    <w:rsid w:val="00FE0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A8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A11"/>
    <w:pPr>
      <w:spacing w:after="0" w:line="240" w:lineRule="auto"/>
      <w:ind w:left="720"/>
    </w:pPr>
    <w:rPr>
      <w:rFonts w:ascii="Calibri" w:hAnsi="Calibri" w:cs="Calibri"/>
    </w:rPr>
  </w:style>
  <w:style w:type="character" w:styleId="Hyperlink">
    <w:name w:val="Hyperlink"/>
    <w:basedOn w:val="a0"/>
    <w:uiPriority w:val="99"/>
    <w:unhideWhenUsed/>
    <w:rsid w:val="00163A11"/>
    <w:rPr>
      <w:color w:val="0563C1" w:themeColor="hyperlink"/>
      <w:u w:val="single"/>
    </w:rPr>
  </w:style>
  <w:style w:type="paragraph" w:styleId="a4">
    <w:name w:val="footnote text"/>
    <w:basedOn w:val="a"/>
    <w:link w:val="a5"/>
    <w:uiPriority w:val="99"/>
    <w:semiHidden/>
    <w:unhideWhenUsed/>
    <w:rsid w:val="00804339"/>
    <w:pPr>
      <w:spacing w:after="0" w:line="240" w:lineRule="auto"/>
    </w:pPr>
    <w:rPr>
      <w:sz w:val="20"/>
      <w:szCs w:val="20"/>
    </w:rPr>
  </w:style>
  <w:style w:type="character" w:customStyle="1" w:styleId="a5">
    <w:name w:val="טקסט הערת שוליים תו"/>
    <w:basedOn w:val="a0"/>
    <w:link w:val="a4"/>
    <w:uiPriority w:val="99"/>
    <w:semiHidden/>
    <w:rsid w:val="00804339"/>
    <w:rPr>
      <w:sz w:val="20"/>
      <w:szCs w:val="20"/>
    </w:rPr>
  </w:style>
  <w:style w:type="character" w:styleId="a6">
    <w:name w:val="footnote reference"/>
    <w:basedOn w:val="a0"/>
    <w:uiPriority w:val="99"/>
    <w:semiHidden/>
    <w:unhideWhenUsed/>
    <w:rsid w:val="00804339"/>
    <w:rPr>
      <w:vertAlign w:val="superscript"/>
    </w:rPr>
  </w:style>
  <w:style w:type="character" w:styleId="a7">
    <w:name w:val="annotation reference"/>
    <w:basedOn w:val="a0"/>
    <w:uiPriority w:val="99"/>
    <w:semiHidden/>
    <w:unhideWhenUsed/>
    <w:rsid w:val="006D0835"/>
    <w:rPr>
      <w:sz w:val="16"/>
      <w:szCs w:val="16"/>
    </w:rPr>
  </w:style>
  <w:style w:type="paragraph" w:styleId="a8">
    <w:name w:val="annotation text"/>
    <w:basedOn w:val="a"/>
    <w:link w:val="a9"/>
    <w:uiPriority w:val="99"/>
    <w:semiHidden/>
    <w:unhideWhenUsed/>
    <w:rsid w:val="006D0835"/>
    <w:pPr>
      <w:spacing w:line="240" w:lineRule="auto"/>
    </w:pPr>
    <w:rPr>
      <w:sz w:val="20"/>
      <w:szCs w:val="20"/>
    </w:rPr>
  </w:style>
  <w:style w:type="character" w:customStyle="1" w:styleId="a9">
    <w:name w:val="טקסט הערה תו"/>
    <w:basedOn w:val="a0"/>
    <w:link w:val="a8"/>
    <w:uiPriority w:val="99"/>
    <w:semiHidden/>
    <w:rsid w:val="006D0835"/>
    <w:rPr>
      <w:sz w:val="20"/>
      <w:szCs w:val="20"/>
    </w:rPr>
  </w:style>
  <w:style w:type="paragraph" w:styleId="aa">
    <w:name w:val="annotation subject"/>
    <w:basedOn w:val="a8"/>
    <w:next w:val="a8"/>
    <w:link w:val="ab"/>
    <w:uiPriority w:val="99"/>
    <w:semiHidden/>
    <w:unhideWhenUsed/>
    <w:rsid w:val="006D0835"/>
    <w:rPr>
      <w:b/>
      <w:bCs/>
    </w:rPr>
  </w:style>
  <w:style w:type="character" w:customStyle="1" w:styleId="ab">
    <w:name w:val="נושא הערה תו"/>
    <w:basedOn w:val="a9"/>
    <w:link w:val="aa"/>
    <w:uiPriority w:val="99"/>
    <w:semiHidden/>
    <w:rsid w:val="006D0835"/>
    <w:rPr>
      <w:b/>
      <w:bCs/>
      <w:sz w:val="20"/>
      <w:szCs w:val="20"/>
    </w:rPr>
  </w:style>
  <w:style w:type="paragraph" w:styleId="ac">
    <w:name w:val="Balloon Text"/>
    <w:basedOn w:val="a"/>
    <w:link w:val="ad"/>
    <w:uiPriority w:val="99"/>
    <w:semiHidden/>
    <w:unhideWhenUsed/>
    <w:rsid w:val="006D0835"/>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6D0835"/>
    <w:rPr>
      <w:rFonts w:ascii="Tahoma" w:hAnsi="Tahoma" w:cs="Tahoma"/>
      <w:sz w:val="18"/>
      <w:szCs w:val="18"/>
    </w:rPr>
  </w:style>
  <w:style w:type="character" w:styleId="FollowedHyperlink">
    <w:name w:val="FollowedHyperlink"/>
    <w:basedOn w:val="a0"/>
    <w:uiPriority w:val="99"/>
    <w:semiHidden/>
    <w:unhideWhenUsed/>
    <w:rsid w:val="006C4F87"/>
    <w:rPr>
      <w:color w:val="954F72" w:themeColor="followedHyperlink"/>
      <w:u w:val="single"/>
    </w:rPr>
  </w:style>
  <w:style w:type="paragraph" w:styleId="ae">
    <w:name w:val="header"/>
    <w:basedOn w:val="a"/>
    <w:link w:val="af"/>
    <w:uiPriority w:val="99"/>
    <w:unhideWhenUsed/>
    <w:rsid w:val="00AA3CBB"/>
    <w:pPr>
      <w:tabs>
        <w:tab w:val="center" w:pos="4153"/>
        <w:tab w:val="right" w:pos="8306"/>
      </w:tabs>
      <w:spacing w:after="0" w:line="240" w:lineRule="auto"/>
    </w:pPr>
  </w:style>
  <w:style w:type="character" w:customStyle="1" w:styleId="af">
    <w:name w:val="כותרת עליונה תו"/>
    <w:basedOn w:val="a0"/>
    <w:link w:val="ae"/>
    <w:uiPriority w:val="99"/>
    <w:rsid w:val="00AA3CBB"/>
  </w:style>
  <w:style w:type="paragraph" w:styleId="af0">
    <w:name w:val="footer"/>
    <w:basedOn w:val="a"/>
    <w:link w:val="af1"/>
    <w:uiPriority w:val="99"/>
    <w:unhideWhenUsed/>
    <w:rsid w:val="00AA3CBB"/>
    <w:pPr>
      <w:tabs>
        <w:tab w:val="center" w:pos="4153"/>
        <w:tab w:val="right" w:pos="8306"/>
      </w:tabs>
      <w:spacing w:after="0" w:line="240" w:lineRule="auto"/>
    </w:pPr>
  </w:style>
  <w:style w:type="character" w:customStyle="1" w:styleId="af1">
    <w:name w:val="כותרת תחתונה תו"/>
    <w:basedOn w:val="a0"/>
    <w:link w:val="af0"/>
    <w:uiPriority w:val="99"/>
    <w:rsid w:val="00AA3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5022">
      <w:bodyDiv w:val="1"/>
      <w:marLeft w:val="0"/>
      <w:marRight w:val="0"/>
      <w:marTop w:val="0"/>
      <w:marBottom w:val="0"/>
      <w:divBdr>
        <w:top w:val="none" w:sz="0" w:space="0" w:color="auto"/>
        <w:left w:val="none" w:sz="0" w:space="0" w:color="auto"/>
        <w:bottom w:val="none" w:sz="0" w:space="0" w:color="auto"/>
        <w:right w:val="none" w:sz="0" w:space="0" w:color="auto"/>
      </w:divBdr>
    </w:div>
    <w:div w:id="280578699">
      <w:bodyDiv w:val="1"/>
      <w:marLeft w:val="0"/>
      <w:marRight w:val="0"/>
      <w:marTop w:val="0"/>
      <w:marBottom w:val="0"/>
      <w:divBdr>
        <w:top w:val="none" w:sz="0" w:space="0" w:color="auto"/>
        <w:left w:val="none" w:sz="0" w:space="0" w:color="auto"/>
        <w:bottom w:val="none" w:sz="0" w:space="0" w:color="auto"/>
        <w:right w:val="none" w:sz="0" w:space="0" w:color="auto"/>
      </w:divBdr>
    </w:div>
    <w:div w:id="313996138">
      <w:bodyDiv w:val="1"/>
      <w:marLeft w:val="0"/>
      <w:marRight w:val="0"/>
      <w:marTop w:val="0"/>
      <w:marBottom w:val="0"/>
      <w:divBdr>
        <w:top w:val="none" w:sz="0" w:space="0" w:color="auto"/>
        <w:left w:val="none" w:sz="0" w:space="0" w:color="auto"/>
        <w:bottom w:val="none" w:sz="0" w:space="0" w:color="auto"/>
        <w:right w:val="none" w:sz="0" w:space="0" w:color="auto"/>
      </w:divBdr>
    </w:div>
    <w:div w:id="15825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information/bank-paymnts/financial-education/minisite-name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oi.org.il/information/bank-paymnts/financial-education/minisite-name1/"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2940</Characters>
  <Application>Microsoft Office Word</Application>
  <DocSecurity>0</DocSecurity>
  <Lines>24</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2023-07-12T10:57:00Z</dcterms:created>
  <dcterms:modified xsi:type="dcterms:W3CDTF">2023-07-12T11:02:00Z</dcterms:modified>
</cp:coreProperties>
</file>