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2.xml" ContentType="application/vnd.openxmlformats-officedocument.drawingml.chart+xml"/>
  <Override PartName="/word/charts/chart3.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42"/>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DF1C42" w:rsidRPr="00620EDD" w:rsidTr="00DF1C42">
        <w:tc>
          <w:tcPr>
            <w:tcW w:w="3343" w:type="dxa"/>
            <w:tcBorders>
              <w:top w:val="nil"/>
              <w:left w:val="nil"/>
              <w:bottom w:val="nil"/>
              <w:right w:val="nil"/>
            </w:tcBorders>
            <w:vAlign w:val="center"/>
          </w:tcPr>
          <w:p w:rsidR="00DF1C42" w:rsidRDefault="00DF1C42" w:rsidP="00DF1C42">
            <w:pPr>
              <w:ind w:left="97"/>
              <w:jc w:val="center"/>
              <w:rPr>
                <w:rFonts w:cs="David"/>
                <w:b/>
                <w:bCs/>
                <w:sz w:val="28"/>
                <w:szCs w:val="28"/>
              </w:rPr>
            </w:pPr>
            <w:r w:rsidRPr="00A67536">
              <w:rPr>
                <w:rFonts w:cs="David"/>
                <w:b/>
                <w:bCs/>
                <w:sz w:val="28"/>
                <w:szCs w:val="28"/>
                <w:rtl/>
              </w:rPr>
              <w:t>בנ</w:t>
            </w:r>
            <w:r w:rsidRPr="00A67536">
              <w:rPr>
                <w:rFonts w:cs="David" w:hint="cs"/>
                <w:b/>
                <w:bCs/>
                <w:sz w:val="28"/>
                <w:szCs w:val="28"/>
                <w:rtl/>
              </w:rPr>
              <w:t xml:space="preserve">ק </w:t>
            </w:r>
            <w:r w:rsidRPr="00A67536">
              <w:rPr>
                <w:rFonts w:cs="David"/>
                <w:b/>
                <w:bCs/>
                <w:sz w:val="28"/>
                <w:szCs w:val="28"/>
                <w:rtl/>
              </w:rPr>
              <w:t>יש</w:t>
            </w:r>
            <w:r w:rsidRPr="00A67536">
              <w:rPr>
                <w:rFonts w:cs="David" w:hint="cs"/>
                <w:b/>
                <w:bCs/>
                <w:sz w:val="28"/>
                <w:szCs w:val="28"/>
                <w:rtl/>
              </w:rPr>
              <w:t>ראל</w:t>
            </w:r>
          </w:p>
          <w:p w:rsidR="00DF1C42" w:rsidRPr="00A67536" w:rsidRDefault="00DF1C42" w:rsidP="00DF1C42">
            <w:pPr>
              <w:ind w:left="97" w:right="-101"/>
              <w:jc w:val="center"/>
            </w:pPr>
            <w:r w:rsidRPr="00A3441C">
              <w:rPr>
                <w:rFonts w:cs="David"/>
                <w:sz w:val="24"/>
                <w:szCs w:val="24"/>
                <w:rtl/>
              </w:rPr>
              <w:t>דו</w:t>
            </w:r>
            <w:r w:rsidRPr="00A3441C">
              <w:rPr>
                <w:rFonts w:cs="David" w:hint="cs"/>
                <w:sz w:val="24"/>
                <w:szCs w:val="24"/>
                <w:rtl/>
              </w:rPr>
              <w:t>בר</w:t>
            </w:r>
            <w:r w:rsidRPr="00A3441C">
              <w:rPr>
                <w:rFonts w:cs="David"/>
                <w:sz w:val="24"/>
                <w:szCs w:val="24"/>
                <w:rtl/>
              </w:rPr>
              <w:t>ות</w:t>
            </w:r>
            <w:r w:rsidRPr="00A3441C">
              <w:rPr>
                <w:rFonts w:cs="David" w:hint="cs"/>
                <w:sz w:val="24"/>
                <w:szCs w:val="24"/>
                <w:rtl/>
              </w:rPr>
              <w:t xml:space="preserve"> והסברה כלכלית</w:t>
            </w:r>
          </w:p>
        </w:tc>
        <w:tc>
          <w:tcPr>
            <w:tcW w:w="2596" w:type="dxa"/>
            <w:tcBorders>
              <w:top w:val="nil"/>
              <w:left w:val="nil"/>
              <w:bottom w:val="nil"/>
              <w:right w:val="nil"/>
            </w:tcBorders>
            <w:shd w:val="clear" w:color="auto" w:fill="FFFFFF" w:themeFill="background1"/>
          </w:tcPr>
          <w:p w:rsidR="00DF1C42" w:rsidRPr="00A67536" w:rsidRDefault="00DF1C42" w:rsidP="00DF1C42">
            <w:pPr>
              <w:jc w:val="center"/>
            </w:pPr>
            <w:r>
              <w:rPr>
                <w:noProof/>
              </w:rPr>
              <w:drawing>
                <wp:inline distT="0" distB="0" distL="0" distR="0" wp14:anchorId="3A71E7CD" wp14:editId="3ED68568">
                  <wp:extent cx="841248" cy="841248"/>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659" cy="838659"/>
                          </a:xfrm>
                          <a:prstGeom prst="rect">
                            <a:avLst/>
                          </a:prstGeom>
                          <a:noFill/>
                        </pic:spPr>
                      </pic:pic>
                    </a:graphicData>
                  </a:graphic>
                </wp:inline>
              </w:drawing>
            </w:r>
          </w:p>
        </w:tc>
        <w:tc>
          <w:tcPr>
            <w:tcW w:w="3591" w:type="dxa"/>
            <w:tcBorders>
              <w:top w:val="nil"/>
              <w:left w:val="nil"/>
              <w:bottom w:val="nil"/>
              <w:right w:val="nil"/>
            </w:tcBorders>
            <w:vAlign w:val="center"/>
          </w:tcPr>
          <w:p w:rsidR="00DF1C42" w:rsidRPr="00A3441C" w:rsidRDefault="00DF1C42" w:rsidP="00DF1C42">
            <w:pPr>
              <w:spacing w:line="480" w:lineRule="auto"/>
              <w:jc w:val="right"/>
              <w:rPr>
                <w:rFonts w:cs="David"/>
                <w:sz w:val="24"/>
                <w:szCs w:val="24"/>
              </w:rPr>
            </w:pPr>
            <w:r w:rsidRPr="003D1D3D">
              <w:rPr>
                <w:rFonts w:cs="David" w:hint="eastAsia"/>
                <w:rtl/>
              </w:rPr>
              <w:t>‏</w:t>
            </w:r>
            <w:r w:rsidRPr="00A3441C">
              <w:rPr>
                <w:rFonts w:cs="David" w:hint="cs"/>
                <w:sz w:val="24"/>
                <w:szCs w:val="24"/>
                <w:rtl/>
              </w:rPr>
              <w:t xml:space="preserve">ירושלים, </w:t>
            </w:r>
            <w:r>
              <w:rPr>
                <w:rFonts w:cs="David" w:hint="cs"/>
                <w:sz w:val="24"/>
                <w:szCs w:val="24"/>
                <w:rtl/>
              </w:rPr>
              <w:t>כ"א</w:t>
            </w:r>
            <w:r w:rsidRPr="00A3441C">
              <w:rPr>
                <w:rFonts w:cs="David" w:hint="cs"/>
                <w:sz w:val="24"/>
                <w:szCs w:val="24"/>
                <w:rtl/>
              </w:rPr>
              <w:t xml:space="preserve"> </w:t>
            </w:r>
            <w:r>
              <w:rPr>
                <w:rFonts w:cs="David" w:hint="cs"/>
                <w:sz w:val="24"/>
                <w:szCs w:val="24"/>
                <w:rtl/>
              </w:rPr>
              <w:t>באדר א'</w:t>
            </w:r>
            <w:r w:rsidRPr="00A3441C">
              <w:rPr>
                <w:rFonts w:cs="David"/>
                <w:sz w:val="24"/>
                <w:szCs w:val="24"/>
                <w:rtl/>
              </w:rPr>
              <w:t>, תשע"</w:t>
            </w:r>
            <w:r w:rsidRPr="00A3441C">
              <w:rPr>
                <w:rFonts w:cs="David" w:hint="cs"/>
                <w:sz w:val="24"/>
                <w:szCs w:val="24"/>
                <w:rtl/>
              </w:rPr>
              <w:t>ט</w:t>
            </w:r>
          </w:p>
          <w:p w:rsidR="00DF1C42" w:rsidRPr="00620EDD" w:rsidRDefault="00DF1C42" w:rsidP="00DF1C42">
            <w:pPr>
              <w:spacing w:line="480" w:lineRule="auto"/>
              <w:jc w:val="right"/>
              <w:rPr>
                <w:rFonts w:cs="David"/>
              </w:rPr>
            </w:pPr>
            <w:r>
              <w:rPr>
                <w:rFonts w:cs="David" w:hint="cs"/>
                <w:sz w:val="24"/>
                <w:szCs w:val="24"/>
                <w:rtl/>
              </w:rPr>
              <w:t>26</w:t>
            </w:r>
            <w:r w:rsidRPr="00A3441C">
              <w:rPr>
                <w:rFonts w:cs="David" w:hint="cs"/>
                <w:sz w:val="24"/>
                <w:szCs w:val="24"/>
                <w:rtl/>
              </w:rPr>
              <w:t xml:space="preserve"> ב</w:t>
            </w:r>
            <w:r>
              <w:rPr>
                <w:rFonts w:cs="David" w:hint="cs"/>
                <w:sz w:val="24"/>
                <w:szCs w:val="24"/>
                <w:rtl/>
              </w:rPr>
              <w:t>פברוא</w:t>
            </w:r>
            <w:r w:rsidRPr="00A3441C">
              <w:rPr>
                <w:rFonts w:cs="David" w:hint="cs"/>
                <w:sz w:val="24"/>
                <w:szCs w:val="24"/>
                <w:rtl/>
              </w:rPr>
              <w:t>ר 2019</w:t>
            </w:r>
          </w:p>
        </w:tc>
      </w:tr>
    </w:tbl>
    <w:p w:rsidR="00DF1C42" w:rsidRDefault="00DF1C42" w:rsidP="00DF1C42">
      <w:pPr>
        <w:spacing w:line="360" w:lineRule="auto"/>
        <w:jc w:val="both"/>
        <w:rPr>
          <w:rFonts w:asciiTheme="minorBidi" w:hAnsiTheme="minorBidi" w:cs="David"/>
          <w:sz w:val="24"/>
          <w:szCs w:val="24"/>
          <w:rtl/>
        </w:rPr>
      </w:pPr>
    </w:p>
    <w:p w:rsidR="00DF1C42" w:rsidRDefault="00DF1C42" w:rsidP="00DF1C42">
      <w:pPr>
        <w:spacing w:after="240" w:line="360" w:lineRule="auto"/>
        <w:ind w:left="56" w:right="-101"/>
        <w:rPr>
          <w:rFonts w:asciiTheme="minorBidi" w:hAnsiTheme="minorBidi" w:cs="David" w:hint="cs"/>
          <w:sz w:val="24"/>
          <w:szCs w:val="24"/>
          <w:rtl/>
        </w:rPr>
      </w:pPr>
      <w:r w:rsidRPr="00D74B3F">
        <w:rPr>
          <w:rFonts w:asciiTheme="minorBidi" w:hAnsiTheme="minorBidi" w:cs="David"/>
          <w:sz w:val="24"/>
          <w:szCs w:val="24"/>
          <w:rtl/>
        </w:rPr>
        <w:t>הודעה לעיתונות:</w:t>
      </w:r>
    </w:p>
    <w:p w:rsidR="00C65797" w:rsidRPr="00D74B3F" w:rsidRDefault="00C65797" w:rsidP="00DF1C42">
      <w:pPr>
        <w:spacing w:after="240" w:line="360" w:lineRule="auto"/>
        <w:ind w:left="56" w:right="-101"/>
        <w:rPr>
          <w:rFonts w:asciiTheme="minorBidi" w:hAnsiTheme="minorBidi" w:cs="David"/>
          <w:sz w:val="24"/>
          <w:szCs w:val="24"/>
          <w:rtl/>
        </w:rPr>
      </w:pPr>
      <w:r w:rsidRPr="00C65797">
        <w:rPr>
          <w:rFonts w:asciiTheme="minorBidi" w:hAnsiTheme="minorBidi" w:cs="David"/>
          <w:sz w:val="24"/>
          <w:szCs w:val="24"/>
          <w:rtl/>
        </w:rPr>
        <w:t>מתוך לקט ניתוחי מדיניות וסוגיות מחקריות של בנק ישראל שיפורסם בקרוב</w:t>
      </w:r>
      <w:r>
        <w:rPr>
          <w:rFonts w:asciiTheme="minorBidi" w:hAnsiTheme="minorBidi" w:cs="David" w:hint="cs"/>
          <w:sz w:val="24"/>
          <w:szCs w:val="24"/>
          <w:rtl/>
        </w:rPr>
        <w:t>:</w:t>
      </w:r>
      <w:bookmarkStart w:id="0" w:name="_GoBack"/>
      <w:bookmarkEnd w:id="0"/>
    </w:p>
    <w:p w:rsidR="00CE677C" w:rsidRPr="00CE677C" w:rsidRDefault="00CE677C" w:rsidP="00CE677C">
      <w:pPr>
        <w:spacing w:line="360" w:lineRule="auto"/>
        <w:jc w:val="center"/>
        <w:rPr>
          <w:rFonts w:cs="David"/>
          <w:b/>
          <w:bCs/>
          <w:sz w:val="24"/>
          <w:szCs w:val="24"/>
        </w:rPr>
      </w:pPr>
      <w:r>
        <w:rPr>
          <w:rFonts w:cs="David" w:hint="cs"/>
          <w:b/>
          <w:bCs/>
          <w:sz w:val="28"/>
          <w:szCs w:val="28"/>
          <w:rtl/>
        </w:rPr>
        <w:t>השינויים בשיעור רוכשי דירה ראשונה בקרב צעירים על פי רמת ההכנסה</w:t>
      </w:r>
    </w:p>
    <w:p w:rsidR="00CE677C" w:rsidRDefault="00CE677C" w:rsidP="00CE677C">
      <w:pPr>
        <w:pStyle w:val="a3"/>
        <w:numPr>
          <w:ilvl w:val="0"/>
          <w:numId w:val="1"/>
        </w:numPr>
        <w:spacing w:line="360" w:lineRule="auto"/>
        <w:ind w:left="425" w:hanging="425"/>
        <w:jc w:val="both"/>
        <w:rPr>
          <w:rFonts w:cs="David"/>
          <w:b/>
          <w:bCs/>
          <w:sz w:val="24"/>
          <w:szCs w:val="24"/>
        </w:rPr>
      </w:pPr>
      <w:r>
        <w:rPr>
          <w:rFonts w:cs="David" w:hint="cs"/>
          <w:b/>
          <w:bCs/>
          <w:sz w:val="24"/>
          <w:szCs w:val="24"/>
          <w:rtl/>
        </w:rPr>
        <w:t>שיעור רוכשי</w:t>
      </w:r>
      <w:r w:rsidRPr="003E0592">
        <w:rPr>
          <w:rFonts w:cs="David" w:hint="cs"/>
          <w:b/>
          <w:bCs/>
          <w:sz w:val="24"/>
          <w:szCs w:val="24"/>
          <w:rtl/>
        </w:rPr>
        <w:t xml:space="preserve"> דירה ראשונה בקרב שכירים </w:t>
      </w:r>
      <w:r>
        <w:rPr>
          <w:rFonts w:cs="David" w:hint="cs"/>
          <w:b/>
          <w:bCs/>
          <w:sz w:val="24"/>
          <w:szCs w:val="24"/>
          <w:rtl/>
        </w:rPr>
        <w:t>בני 25</w:t>
      </w:r>
      <w:r>
        <w:rPr>
          <w:rFonts w:cs="David" w:hint="eastAsia"/>
          <w:b/>
          <w:bCs/>
          <w:sz w:val="24"/>
          <w:szCs w:val="24"/>
          <w:rtl/>
        </w:rPr>
        <w:t>–</w:t>
      </w:r>
      <w:r>
        <w:rPr>
          <w:rFonts w:cs="David" w:hint="cs"/>
          <w:b/>
          <w:bCs/>
          <w:sz w:val="24"/>
          <w:szCs w:val="24"/>
          <w:rtl/>
        </w:rPr>
        <w:t>35</w:t>
      </w:r>
      <w:r w:rsidRPr="003E0592">
        <w:rPr>
          <w:rFonts w:cs="David" w:hint="cs"/>
          <w:b/>
          <w:bCs/>
          <w:sz w:val="24"/>
          <w:szCs w:val="24"/>
          <w:rtl/>
        </w:rPr>
        <w:t xml:space="preserve"> </w:t>
      </w:r>
      <w:r>
        <w:rPr>
          <w:rFonts w:cs="David" w:hint="cs"/>
          <w:b/>
          <w:bCs/>
          <w:sz w:val="24"/>
          <w:szCs w:val="24"/>
          <w:rtl/>
        </w:rPr>
        <w:t>ב</w:t>
      </w:r>
      <w:r w:rsidRPr="003E0592">
        <w:rPr>
          <w:rFonts w:cs="David" w:hint="cs"/>
          <w:b/>
          <w:bCs/>
          <w:sz w:val="24"/>
          <w:szCs w:val="24"/>
          <w:rtl/>
        </w:rPr>
        <w:t>כל רמות ההכנסה עלה ב</w:t>
      </w:r>
      <w:r>
        <w:rPr>
          <w:rFonts w:cs="David" w:hint="cs"/>
          <w:b/>
          <w:bCs/>
          <w:sz w:val="24"/>
          <w:szCs w:val="24"/>
          <w:rtl/>
        </w:rPr>
        <w:t>ין ה</w:t>
      </w:r>
      <w:r w:rsidRPr="003E0592">
        <w:rPr>
          <w:rFonts w:cs="David" w:hint="cs"/>
          <w:b/>
          <w:bCs/>
          <w:sz w:val="24"/>
          <w:szCs w:val="24"/>
          <w:rtl/>
        </w:rPr>
        <w:t xml:space="preserve">שנים </w:t>
      </w:r>
      <w:r>
        <w:rPr>
          <w:rFonts w:cs="David" w:hint="cs"/>
          <w:b/>
          <w:bCs/>
          <w:sz w:val="24"/>
          <w:szCs w:val="24"/>
          <w:rtl/>
        </w:rPr>
        <w:t>2007 ו-2016.</w:t>
      </w:r>
      <w:r w:rsidRPr="003E0592">
        <w:rPr>
          <w:rFonts w:cs="David" w:hint="cs"/>
          <w:b/>
          <w:bCs/>
          <w:sz w:val="24"/>
          <w:szCs w:val="24"/>
          <w:rtl/>
        </w:rPr>
        <w:t xml:space="preserve"> </w:t>
      </w:r>
    </w:p>
    <w:p w:rsidR="00CE677C" w:rsidRDefault="00CE677C" w:rsidP="00CE677C">
      <w:pPr>
        <w:pStyle w:val="a3"/>
        <w:numPr>
          <w:ilvl w:val="0"/>
          <w:numId w:val="1"/>
        </w:numPr>
        <w:spacing w:line="360" w:lineRule="auto"/>
        <w:ind w:left="425" w:hanging="425"/>
        <w:jc w:val="both"/>
        <w:rPr>
          <w:rFonts w:cs="David"/>
          <w:b/>
          <w:bCs/>
          <w:sz w:val="24"/>
          <w:szCs w:val="24"/>
        </w:rPr>
      </w:pPr>
      <w:r w:rsidRPr="003E0592">
        <w:rPr>
          <w:rFonts w:cs="David" w:hint="cs"/>
          <w:b/>
          <w:bCs/>
          <w:sz w:val="24"/>
          <w:szCs w:val="24"/>
          <w:rtl/>
        </w:rPr>
        <w:t xml:space="preserve">הקשר </w:t>
      </w:r>
      <w:r>
        <w:rPr>
          <w:rFonts w:cs="David" w:hint="cs"/>
          <w:b/>
          <w:bCs/>
          <w:sz w:val="24"/>
          <w:szCs w:val="24"/>
          <w:rtl/>
        </w:rPr>
        <w:t>בין הכנסת משק הבית לבין ההסתברות של צעירים בני 25</w:t>
      </w:r>
      <w:r>
        <w:rPr>
          <w:rFonts w:cs="David" w:hint="eastAsia"/>
          <w:b/>
          <w:bCs/>
          <w:sz w:val="24"/>
          <w:szCs w:val="24"/>
          <w:rtl/>
        </w:rPr>
        <w:t>–</w:t>
      </w:r>
      <w:r>
        <w:rPr>
          <w:rFonts w:cs="David" w:hint="cs"/>
          <w:b/>
          <w:bCs/>
          <w:sz w:val="24"/>
          <w:szCs w:val="24"/>
          <w:rtl/>
        </w:rPr>
        <w:t>35 לרכוש דירה ראשונה היה חזק יותר בשנים 2015</w:t>
      </w:r>
      <w:r>
        <w:rPr>
          <w:rFonts w:cs="David" w:hint="eastAsia"/>
          <w:b/>
          <w:bCs/>
          <w:sz w:val="24"/>
          <w:szCs w:val="24"/>
          <w:rtl/>
        </w:rPr>
        <w:t>–</w:t>
      </w:r>
      <w:r>
        <w:rPr>
          <w:rFonts w:cs="David" w:hint="cs"/>
          <w:b/>
          <w:bCs/>
          <w:sz w:val="24"/>
          <w:szCs w:val="24"/>
          <w:rtl/>
        </w:rPr>
        <w:t xml:space="preserve">2016 מאשר בשנים שקדמו לעלייה המואצת של מחירי הדיור </w:t>
      </w:r>
      <w:r>
        <w:rPr>
          <w:rFonts w:cs="David" w:hint="eastAsia"/>
          <w:b/>
          <w:bCs/>
          <w:sz w:val="24"/>
          <w:szCs w:val="24"/>
          <w:rtl/>
        </w:rPr>
        <w:t>–</w:t>
      </w:r>
      <w:r>
        <w:rPr>
          <w:rFonts w:cs="David" w:hint="cs"/>
          <w:b/>
          <w:bCs/>
          <w:sz w:val="24"/>
          <w:szCs w:val="24"/>
          <w:rtl/>
        </w:rPr>
        <w:t xml:space="preserve"> 2007</w:t>
      </w:r>
      <w:r>
        <w:rPr>
          <w:rFonts w:cs="David" w:hint="eastAsia"/>
          <w:b/>
          <w:bCs/>
          <w:sz w:val="24"/>
          <w:szCs w:val="24"/>
          <w:rtl/>
        </w:rPr>
        <w:t>–</w:t>
      </w:r>
      <w:r>
        <w:rPr>
          <w:rFonts w:cs="David" w:hint="cs"/>
          <w:b/>
          <w:bCs/>
          <w:sz w:val="24"/>
          <w:szCs w:val="24"/>
          <w:rtl/>
        </w:rPr>
        <w:t>2008</w:t>
      </w:r>
      <w:r w:rsidRPr="003E0592">
        <w:rPr>
          <w:rFonts w:cs="David" w:hint="cs"/>
          <w:b/>
          <w:bCs/>
          <w:sz w:val="24"/>
          <w:szCs w:val="24"/>
          <w:rtl/>
        </w:rPr>
        <w:t>.</w:t>
      </w:r>
    </w:p>
    <w:p w:rsidR="00CE677C" w:rsidRDefault="00DF1C42" w:rsidP="00DE3ED1">
      <w:pPr>
        <w:spacing w:line="360" w:lineRule="auto"/>
        <w:jc w:val="both"/>
        <w:rPr>
          <w:rFonts w:cs="David"/>
          <w:sz w:val="24"/>
          <w:szCs w:val="24"/>
          <w:rtl/>
        </w:rPr>
      </w:pPr>
      <w:r>
        <w:rPr>
          <w:rFonts w:cs="David" w:hint="cs"/>
          <w:sz w:val="24"/>
          <w:szCs w:val="24"/>
          <w:rtl/>
        </w:rPr>
        <w:t>עבודה שנכתבה על ידי ויקי רובשבסקי-</w:t>
      </w:r>
      <w:r w:rsidR="00CE677C">
        <w:rPr>
          <w:rFonts w:cs="David" w:hint="cs"/>
          <w:sz w:val="24"/>
          <w:szCs w:val="24"/>
          <w:rtl/>
        </w:rPr>
        <w:t xml:space="preserve">בנית מחטיבת המחקר בבנק ישראל ותתפרסם בקרוב ב"לקט ניתוחי מדיניות וסוגיות מחקריות" מנתחת את השינויים בשיעור רוכשי דירה ראשונה בקרב צעירים על פי רמת </w:t>
      </w:r>
      <w:r w:rsidR="00863056">
        <w:rPr>
          <w:rFonts w:cs="David" w:hint="cs"/>
          <w:sz w:val="24"/>
          <w:szCs w:val="24"/>
          <w:rtl/>
        </w:rPr>
        <w:t>ה</w:t>
      </w:r>
      <w:r w:rsidR="00CE677C">
        <w:rPr>
          <w:rFonts w:cs="David" w:hint="cs"/>
          <w:sz w:val="24"/>
          <w:szCs w:val="24"/>
          <w:rtl/>
        </w:rPr>
        <w:t xml:space="preserve">הכנסה. הניתוח מתבסס על עיבוד קבצי נתונים מפורטים של מבצעי עסקאות דיור וקבצי הכנסות שנתיות של שכירים במשק. מהניתוח עולה כי שיעור רוכשי דירה ראשונה בקרב </w:t>
      </w:r>
      <w:r w:rsidR="00CE677C" w:rsidRPr="00CE677C">
        <w:rPr>
          <w:rFonts w:cs="David" w:hint="cs"/>
          <w:sz w:val="24"/>
          <w:szCs w:val="24"/>
          <w:rtl/>
        </w:rPr>
        <w:t>שכירים בני 25</w:t>
      </w:r>
      <w:r w:rsidR="00CE677C" w:rsidRPr="00CE677C">
        <w:rPr>
          <w:rFonts w:cs="David" w:hint="eastAsia"/>
          <w:sz w:val="24"/>
          <w:szCs w:val="24"/>
          <w:rtl/>
        </w:rPr>
        <w:t>–</w:t>
      </w:r>
      <w:r w:rsidR="00CE677C" w:rsidRPr="00CE677C">
        <w:rPr>
          <w:rFonts w:cs="David" w:hint="cs"/>
          <w:sz w:val="24"/>
          <w:szCs w:val="24"/>
          <w:rtl/>
        </w:rPr>
        <w:t xml:space="preserve">35 </w:t>
      </w:r>
      <w:r w:rsidR="008136FA">
        <w:rPr>
          <w:rFonts w:cs="David" w:hint="cs"/>
          <w:sz w:val="24"/>
          <w:szCs w:val="24"/>
          <w:rtl/>
        </w:rPr>
        <w:t xml:space="preserve">מקרב </w:t>
      </w:r>
      <w:r w:rsidR="008862DE">
        <w:rPr>
          <w:rFonts w:cs="David" w:hint="cs"/>
          <w:sz w:val="24"/>
          <w:szCs w:val="24"/>
          <w:rtl/>
        </w:rPr>
        <w:t>השכירים</w:t>
      </w:r>
      <w:r w:rsidR="008136FA">
        <w:rPr>
          <w:rFonts w:cs="David" w:hint="cs"/>
          <w:sz w:val="24"/>
          <w:szCs w:val="24"/>
          <w:rtl/>
        </w:rPr>
        <w:t xml:space="preserve"> בני אותו הגיל</w:t>
      </w:r>
      <w:r w:rsidR="008862DE">
        <w:rPr>
          <w:rFonts w:cs="David" w:hint="cs"/>
          <w:sz w:val="24"/>
          <w:szCs w:val="24"/>
          <w:rtl/>
        </w:rPr>
        <w:t xml:space="preserve"> שלא הייתה בבעלותם דירה</w:t>
      </w:r>
      <w:r w:rsidR="008136FA">
        <w:rPr>
          <w:rFonts w:cs="David" w:hint="cs"/>
          <w:sz w:val="24"/>
          <w:szCs w:val="24"/>
          <w:rtl/>
        </w:rPr>
        <w:t>,</w:t>
      </w:r>
      <w:r w:rsidR="008136FA" w:rsidRPr="00CE677C">
        <w:rPr>
          <w:rFonts w:cs="David" w:hint="cs"/>
          <w:sz w:val="24"/>
          <w:szCs w:val="24"/>
          <w:rtl/>
        </w:rPr>
        <w:t xml:space="preserve"> </w:t>
      </w:r>
      <w:r w:rsidR="00CE677C" w:rsidRPr="00CE677C">
        <w:rPr>
          <w:rFonts w:cs="David" w:hint="cs"/>
          <w:sz w:val="24"/>
          <w:szCs w:val="24"/>
          <w:rtl/>
        </w:rPr>
        <w:t xml:space="preserve">עלה </w:t>
      </w:r>
      <w:r w:rsidR="00CE677C">
        <w:rPr>
          <w:rFonts w:cs="David" w:hint="cs"/>
          <w:sz w:val="24"/>
          <w:szCs w:val="24"/>
          <w:rtl/>
        </w:rPr>
        <w:t>מרמה של כ-2 אחוזים לשנה בשנים 2007 ו-2008 לרמה של כ-4 אחוזים בשנים 2015 ו-2016 (איור 1).</w:t>
      </w:r>
      <w:r w:rsidR="00BE6924">
        <w:rPr>
          <w:rFonts w:cs="David" w:hint="cs"/>
          <w:sz w:val="24"/>
          <w:szCs w:val="24"/>
          <w:rtl/>
        </w:rPr>
        <w:t xml:space="preserve"> עם זאת, חשוב לציין שהעלייה בשיעור רוכשי דירה ראשונה שמזוהה בנתונים</w:t>
      </w:r>
      <w:r w:rsidR="00BE6924" w:rsidRPr="00A21E20">
        <w:rPr>
          <w:rFonts w:cs="David" w:hint="cs"/>
          <w:sz w:val="24"/>
          <w:szCs w:val="24"/>
          <w:rtl/>
        </w:rPr>
        <w:t xml:space="preserve"> אינה משקפת ירידה בנטל הכלכלי על משקי בית צעירים, שכן התפתחות זו התאפשרה, בין היתר, </w:t>
      </w:r>
      <w:r w:rsidR="00F718B0">
        <w:rPr>
          <w:rFonts w:cs="David" w:hint="cs"/>
          <w:sz w:val="24"/>
          <w:szCs w:val="24"/>
          <w:rtl/>
        </w:rPr>
        <w:t xml:space="preserve">באמצעות </w:t>
      </w:r>
      <w:r w:rsidR="00BE6924" w:rsidRPr="00A21E20">
        <w:rPr>
          <w:rFonts w:cs="David" w:hint="cs"/>
          <w:sz w:val="24"/>
          <w:szCs w:val="24"/>
          <w:rtl/>
        </w:rPr>
        <w:t>הארכה</w:t>
      </w:r>
      <w:r w:rsidR="00BE6924" w:rsidRPr="00A21E20">
        <w:rPr>
          <w:rFonts w:cs="David"/>
          <w:sz w:val="24"/>
          <w:szCs w:val="24"/>
          <w:rtl/>
        </w:rPr>
        <w:t xml:space="preserve"> </w:t>
      </w:r>
      <w:r w:rsidR="00BE6924" w:rsidRPr="00A21E20">
        <w:rPr>
          <w:rFonts w:cs="David" w:hint="cs"/>
          <w:sz w:val="24"/>
          <w:szCs w:val="24"/>
          <w:rtl/>
        </w:rPr>
        <w:t>של</w:t>
      </w:r>
      <w:r w:rsidR="00BE6924" w:rsidRPr="00A21E20">
        <w:rPr>
          <w:rFonts w:cs="David"/>
          <w:sz w:val="24"/>
          <w:szCs w:val="24"/>
          <w:rtl/>
        </w:rPr>
        <w:t xml:space="preserve"> </w:t>
      </w:r>
      <w:r w:rsidR="00BE6924" w:rsidRPr="00A21E20">
        <w:rPr>
          <w:rFonts w:cs="David" w:hint="cs"/>
          <w:sz w:val="24"/>
          <w:szCs w:val="24"/>
          <w:rtl/>
        </w:rPr>
        <w:t>תקופת</w:t>
      </w:r>
      <w:r w:rsidR="00BE6924" w:rsidRPr="00A21E20">
        <w:rPr>
          <w:rFonts w:cs="David"/>
          <w:sz w:val="24"/>
          <w:szCs w:val="24"/>
          <w:rtl/>
        </w:rPr>
        <w:t xml:space="preserve"> </w:t>
      </w:r>
      <w:r w:rsidR="00BE6924" w:rsidRPr="00A21E20">
        <w:rPr>
          <w:rFonts w:cs="David" w:hint="cs"/>
          <w:sz w:val="24"/>
          <w:szCs w:val="24"/>
          <w:rtl/>
        </w:rPr>
        <w:t>החזר</w:t>
      </w:r>
      <w:r w:rsidR="00BE6924" w:rsidRPr="00A21E20">
        <w:rPr>
          <w:rFonts w:cs="David"/>
          <w:sz w:val="24"/>
          <w:szCs w:val="24"/>
          <w:rtl/>
        </w:rPr>
        <w:t xml:space="preserve"> </w:t>
      </w:r>
      <w:r w:rsidR="00BE6924" w:rsidRPr="00A21E20">
        <w:rPr>
          <w:rFonts w:cs="David" w:hint="cs"/>
          <w:sz w:val="24"/>
          <w:szCs w:val="24"/>
          <w:rtl/>
        </w:rPr>
        <w:t>המשכנת</w:t>
      </w:r>
      <w:r w:rsidR="00BE6924">
        <w:rPr>
          <w:rFonts w:cs="David" w:hint="cs"/>
          <w:sz w:val="24"/>
          <w:szCs w:val="24"/>
          <w:rtl/>
        </w:rPr>
        <w:t>ה</w:t>
      </w:r>
      <w:r w:rsidR="00BE6924" w:rsidRPr="00A21E20">
        <w:rPr>
          <w:rFonts w:cs="David"/>
          <w:sz w:val="24"/>
          <w:szCs w:val="24"/>
          <w:rtl/>
        </w:rPr>
        <w:t xml:space="preserve">, </w:t>
      </w:r>
      <w:r w:rsidR="00BE6924" w:rsidRPr="00A21E20">
        <w:rPr>
          <w:rFonts w:cs="David" w:hint="cs"/>
          <w:sz w:val="24"/>
          <w:szCs w:val="24"/>
          <w:rtl/>
        </w:rPr>
        <w:t>ו</w:t>
      </w:r>
      <w:r w:rsidR="00BE6924">
        <w:rPr>
          <w:rFonts w:cs="David" w:hint="cs"/>
          <w:sz w:val="24"/>
          <w:szCs w:val="24"/>
          <w:rtl/>
        </w:rPr>
        <w:t>ייתכן</w:t>
      </w:r>
      <w:r w:rsidR="00BE6924" w:rsidRPr="00A21E20">
        <w:rPr>
          <w:rFonts w:cs="David"/>
          <w:sz w:val="24"/>
          <w:szCs w:val="24"/>
          <w:rtl/>
        </w:rPr>
        <w:t xml:space="preserve"> </w:t>
      </w:r>
      <w:r w:rsidR="00BE6924" w:rsidRPr="00A21E20">
        <w:rPr>
          <w:rFonts w:cs="David" w:hint="cs"/>
          <w:sz w:val="24"/>
          <w:szCs w:val="24"/>
          <w:rtl/>
        </w:rPr>
        <w:t>שהיא</w:t>
      </w:r>
      <w:r w:rsidR="00BE6924" w:rsidRPr="00A21E20">
        <w:rPr>
          <w:rFonts w:cs="David"/>
          <w:sz w:val="24"/>
          <w:szCs w:val="24"/>
          <w:rtl/>
        </w:rPr>
        <w:t xml:space="preserve"> </w:t>
      </w:r>
      <w:r w:rsidR="00BE6924" w:rsidRPr="00A21E20">
        <w:rPr>
          <w:rFonts w:cs="David" w:hint="cs"/>
          <w:sz w:val="24"/>
          <w:szCs w:val="24"/>
          <w:rtl/>
        </w:rPr>
        <w:t>לוותה</w:t>
      </w:r>
      <w:r w:rsidR="00BE6924" w:rsidRPr="00A21E20">
        <w:rPr>
          <w:rFonts w:cs="David"/>
          <w:sz w:val="24"/>
          <w:szCs w:val="24"/>
          <w:rtl/>
        </w:rPr>
        <w:t xml:space="preserve"> </w:t>
      </w:r>
      <w:r w:rsidR="00BE6924" w:rsidRPr="00A21E20">
        <w:rPr>
          <w:rFonts w:cs="David" w:hint="cs"/>
          <w:sz w:val="24"/>
          <w:szCs w:val="24"/>
          <w:rtl/>
        </w:rPr>
        <w:t>גם</w:t>
      </w:r>
      <w:r w:rsidR="00BE6924" w:rsidRPr="00A21E20">
        <w:rPr>
          <w:rFonts w:cs="David"/>
          <w:sz w:val="24"/>
          <w:szCs w:val="24"/>
          <w:rtl/>
        </w:rPr>
        <w:t xml:space="preserve"> </w:t>
      </w:r>
      <w:r w:rsidR="00BE6924" w:rsidRPr="00A21E20">
        <w:rPr>
          <w:rFonts w:cs="David" w:hint="cs"/>
          <w:sz w:val="24"/>
          <w:szCs w:val="24"/>
          <w:rtl/>
        </w:rPr>
        <w:t>בה</w:t>
      </w:r>
      <w:r w:rsidR="00BE6924">
        <w:rPr>
          <w:rFonts w:cs="David" w:hint="cs"/>
          <w:sz w:val="24"/>
          <w:szCs w:val="24"/>
          <w:rtl/>
        </w:rPr>
        <w:t>תפשרות</w:t>
      </w:r>
      <w:r w:rsidR="00BE6924" w:rsidRPr="00A21E20">
        <w:rPr>
          <w:rFonts w:cs="David" w:hint="cs"/>
          <w:sz w:val="24"/>
          <w:szCs w:val="24"/>
          <w:rtl/>
        </w:rPr>
        <w:t xml:space="preserve"> </w:t>
      </w:r>
      <w:r w:rsidR="00BE6924">
        <w:rPr>
          <w:rFonts w:cs="David" w:hint="cs"/>
          <w:sz w:val="24"/>
          <w:szCs w:val="24"/>
          <w:rtl/>
        </w:rPr>
        <w:t>ע</w:t>
      </w:r>
      <w:r w:rsidR="00BE6924" w:rsidRPr="00A21E20">
        <w:rPr>
          <w:rFonts w:cs="David" w:hint="cs"/>
          <w:sz w:val="24"/>
          <w:szCs w:val="24"/>
          <w:rtl/>
        </w:rPr>
        <w:t>ל</w:t>
      </w:r>
      <w:r w:rsidR="00BE6924" w:rsidRPr="00A21E20">
        <w:rPr>
          <w:rFonts w:cs="David"/>
          <w:sz w:val="24"/>
          <w:szCs w:val="24"/>
          <w:rtl/>
        </w:rPr>
        <w:t xml:space="preserve"> </w:t>
      </w:r>
      <w:r w:rsidR="00BE6924" w:rsidRPr="00A21E20">
        <w:rPr>
          <w:rFonts w:cs="David" w:hint="cs"/>
          <w:sz w:val="24"/>
          <w:szCs w:val="24"/>
          <w:rtl/>
        </w:rPr>
        <w:t>מאפייני</w:t>
      </w:r>
      <w:r w:rsidR="00BE6924" w:rsidRPr="00A21E20">
        <w:rPr>
          <w:rFonts w:cs="David"/>
          <w:sz w:val="24"/>
          <w:szCs w:val="24"/>
          <w:rtl/>
        </w:rPr>
        <w:t xml:space="preserve"> </w:t>
      </w:r>
      <w:r w:rsidR="00BE6924" w:rsidRPr="00A21E20">
        <w:rPr>
          <w:rFonts w:cs="David" w:hint="cs"/>
          <w:sz w:val="24"/>
          <w:szCs w:val="24"/>
          <w:rtl/>
        </w:rPr>
        <w:t>הדירות</w:t>
      </w:r>
      <w:r w:rsidR="00BE6924" w:rsidRPr="00A21E20">
        <w:rPr>
          <w:rFonts w:cs="David"/>
          <w:sz w:val="24"/>
          <w:szCs w:val="24"/>
          <w:rtl/>
        </w:rPr>
        <w:t xml:space="preserve"> </w:t>
      </w:r>
      <w:r w:rsidR="00BE6924" w:rsidRPr="00A21E20">
        <w:rPr>
          <w:rFonts w:cs="David" w:hint="cs"/>
          <w:sz w:val="24"/>
          <w:szCs w:val="24"/>
          <w:rtl/>
        </w:rPr>
        <w:t>הנרכשות.</w:t>
      </w:r>
      <w:r w:rsidR="00BE6924">
        <w:rPr>
          <w:rFonts w:cs="David" w:hint="cs"/>
          <w:sz w:val="24"/>
          <w:szCs w:val="24"/>
          <w:rtl/>
        </w:rPr>
        <w:t xml:space="preserve"> </w:t>
      </w:r>
      <w:r w:rsidR="00F718B0">
        <w:rPr>
          <w:rFonts w:cs="David" w:hint="cs"/>
          <w:sz w:val="24"/>
          <w:szCs w:val="24"/>
          <w:rtl/>
        </w:rPr>
        <w:t xml:space="preserve">למרות שבשנים 2011 ו-2014 נצפתה </w:t>
      </w:r>
      <w:r w:rsidR="00BE6924">
        <w:rPr>
          <w:rFonts w:cs="David" w:hint="cs"/>
          <w:sz w:val="24"/>
          <w:szCs w:val="24"/>
          <w:rtl/>
        </w:rPr>
        <w:t xml:space="preserve">ירידה זמנית בשיעור רוכשי דירה ראשונה צעירים </w:t>
      </w:r>
      <w:r w:rsidR="00F718B0">
        <w:rPr>
          <w:rFonts w:cs="David" w:hint="cs"/>
          <w:sz w:val="24"/>
          <w:szCs w:val="24"/>
          <w:rtl/>
        </w:rPr>
        <w:t>ב</w:t>
      </w:r>
      <w:r w:rsidR="00BE6924">
        <w:rPr>
          <w:rFonts w:cs="David" w:hint="cs"/>
          <w:sz w:val="24"/>
          <w:szCs w:val="24"/>
          <w:rtl/>
        </w:rPr>
        <w:t>של המחאה החברתית (שנת 2011) וההמתנה לתוכנית מע"מ אפס שבסופו של דבר לא יצאה אל הפועל (שנת 2014)</w:t>
      </w:r>
      <w:r w:rsidR="00F718B0">
        <w:rPr>
          <w:rFonts w:cs="David" w:hint="cs"/>
          <w:sz w:val="24"/>
          <w:szCs w:val="24"/>
          <w:rtl/>
        </w:rPr>
        <w:t>, היקף הרכישות עלה בחדות מייד אחריהן</w:t>
      </w:r>
      <w:r w:rsidR="00BE6924">
        <w:rPr>
          <w:rFonts w:cs="David" w:hint="cs"/>
          <w:sz w:val="24"/>
          <w:szCs w:val="24"/>
          <w:rtl/>
        </w:rPr>
        <w:t>.</w:t>
      </w:r>
    </w:p>
    <w:p w:rsidR="00CE677C" w:rsidRPr="00CE677C" w:rsidRDefault="00CE677C" w:rsidP="00FF0CB4">
      <w:pPr>
        <w:spacing w:after="0" w:line="240" w:lineRule="auto"/>
        <w:jc w:val="center"/>
        <w:rPr>
          <w:rFonts w:cs="David"/>
          <w:b/>
          <w:bCs/>
          <w:sz w:val="24"/>
          <w:szCs w:val="24"/>
          <w:rtl/>
        </w:rPr>
      </w:pPr>
      <w:r w:rsidRPr="00CE677C">
        <w:rPr>
          <w:rFonts w:cs="David" w:hint="cs"/>
          <w:b/>
          <w:bCs/>
          <w:sz w:val="24"/>
          <w:szCs w:val="24"/>
          <w:rtl/>
        </w:rPr>
        <w:t>איור 1: שיעור רוכשי דירה ראשונה מתוך סך הפוטנציאל,</w:t>
      </w:r>
    </w:p>
    <w:p w:rsidR="00CE677C" w:rsidRDefault="00CE677C" w:rsidP="00CE677C">
      <w:pPr>
        <w:spacing w:after="0" w:line="240" w:lineRule="auto"/>
        <w:jc w:val="center"/>
        <w:rPr>
          <w:rFonts w:cs="David"/>
          <w:b/>
          <w:bCs/>
          <w:sz w:val="24"/>
          <w:szCs w:val="24"/>
          <w:rtl/>
        </w:rPr>
      </w:pPr>
      <w:r w:rsidRPr="00CE677C">
        <w:rPr>
          <w:rFonts w:cs="David" w:hint="cs"/>
          <w:b/>
          <w:bCs/>
          <w:sz w:val="24"/>
          <w:szCs w:val="24"/>
          <w:rtl/>
        </w:rPr>
        <w:t>צעירים בני 25 עד 35, 2007 עד 2016</w:t>
      </w:r>
      <w:r>
        <w:rPr>
          <w:rFonts w:cs="David" w:hint="cs"/>
          <w:b/>
          <w:bCs/>
          <w:sz w:val="24"/>
          <w:szCs w:val="24"/>
          <w:rtl/>
        </w:rPr>
        <w:t>*</w:t>
      </w:r>
    </w:p>
    <w:p w:rsidR="00DF1C42" w:rsidRPr="00CE677C" w:rsidRDefault="00DF1C42" w:rsidP="00CE677C">
      <w:pPr>
        <w:spacing w:after="0" w:line="240" w:lineRule="auto"/>
        <w:jc w:val="center"/>
        <w:rPr>
          <w:rFonts w:cs="David"/>
          <w:b/>
          <w:bCs/>
          <w:sz w:val="24"/>
          <w:szCs w:val="24"/>
          <w:rtl/>
        </w:rPr>
      </w:pPr>
    </w:p>
    <w:p w:rsidR="00CE677C" w:rsidRDefault="00CE677C" w:rsidP="00CE677C">
      <w:pPr>
        <w:spacing w:after="0" w:line="240" w:lineRule="auto"/>
        <w:jc w:val="center"/>
        <w:rPr>
          <w:rFonts w:cs="David"/>
          <w:sz w:val="24"/>
          <w:szCs w:val="24"/>
          <w:rtl/>
        </w:rPr>
      </w:pPr>
      <w:r>
        <w:rPr>
          <w:noProof/>
        </w:rPr>
        <w:drawing>
          <wp:inline distT="0" distB="0" distL="0" distR="0" wp14:anchorId="1FDA6FEB" wp14:editId="1A043F7F">
            <wp:extent cx="4612944" cy="2968388"/>
            <wp:effectExtent l="0" t="0" r="16510" b="22860"/>
            <wp:docPr id="1" name="Chart 1" descr="שיעור רוכשי דירה ראשונה מתוך סך הפוטנציאל,&#10;צעירים בני 25 עד 35, 2007 עד 2016*&#10;" title="שיעור רוכשי דירה ראשונה מתוך סך הפוטנציאל"/>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677C" w:rsidRDefault="00CE677C" w:rsidP="00CE677C">
      <w:pPr>
        <w:spacing w:after="0" w:line="240" w:lineRule="auto"/>
        <w:ind w:left="509" w:right="567"/>
        <w:rPr>
          <w:rFonts w:cs="David"/>
          <w:sz w:val="20"/>
          <w:szCs w:val="20"/>
          <w:rtl/>
        </w:rPr>
      </w:pPr>
      <w:r>
        <w:rPr>
          <w:rFonts w:cs="David" w:hint="cs"/>
          <w:sz w:val="20"/>
          <w:szCs w:val="20"/>
          <w:rtl/>
        </w:rPr>
        <w:lastRenderedPageBreak/>
        <w:t xml:space="preserve">* משקי הבית בהם המבוגר הוא בגיל 25 עד 35 שרכשו דירה </w:t>
      </w:r>
      <w:r w:rsidR="00FF0CB4">
        <w:rPr>
          <w:rFonts w:cs="David" w:hint="cs"/>
          <w:sz w:val="20"/>
          <w:szCs w:val="20"/>
          <w:rtl/>
        </w:rPr>
        <w:t xml:space="preserve">ראשונה </w:t>
      </w:r>
      <w:r>
        <w:rPr>
          <w:rFonts w:cs="David" w:hint="cs"/>
          <w:sz w:val="20"/>
          <w:szCs w:val="20"/>
          <w:rtl/>
        </w:rPr>
        <w:t xml:space="preserve">בשנה מסוימת ביחס לכלל משקי הבית </w:t>
      </w:r>
      <w:r w:rsidR="00FF0CB4">
        <w:rPr>
          <w:rFonts w:cs="David" w:hint="cs"/>
          <w:sz w:val="20"/>
          <w:szCs w:val="20"/>
          <w:rtl/>
        </w:rPr>
        <w:t xml:space="preserve">של שכירים </w:t>
      </w:r>
      <w:r>
        <w:rPr>
          <w:rFonts w:cs="David" w:hint="cs"/>
          <w:sz w:val="20"/>
          <w:szCs w:val="20"/>
          <w:rtl/>
        </w:rPr>
        <w:t xml:space="preserve">שלא </w:t>
      </w:r>
      <w:r w:rsidRPr="00863056">
        <w:rPr>
          <w:rFonts w:cs="David" w:hint="cs"/>
          <w:sz w:val="20"/>
          <w:szCs w:val="20"/>
          <w:rtl/>
        </w:rPr>
        <w:t>ה</w:t>
      </w:r>
      <w:r w:rsidR="00863056" w:rsidRPr="00863056">
        <w:rPr>
          <w:rFonts w:cs="David" w:hint="cs"/>
          <w:sz w:val="20"/>
          <w:szCs w:val="20"/>
          <w:rtl/>
        </w:rPr>
        <w:t>י</w:t>
      </w:r>
      <w:r w:rsidRPr="00863056">
        <w:rPr>
          <w:rFonts w:cs="David" w:hint="cs"/>
          <w:sz w:val="20"/>
          <w:szCs w:val="20"/>
          <w:rtl/>
        </w:rPr>
        <w:t>ית</w:t>
      </w:r>
      <w:r>
        <w:rPr>
          <w:rFonts w:cs="David" w:hint="cs"/>
          <w:sz w:val="20"/>
          <w:szCs w:val="20"/>
          <w:rtl/>
        </w:rPr>
        <w:t xml:space="preserve">ה בבעלותם דירה בתחילת אותה השנה. </w:t>
      </w:r>
    </w:p>
    <w:p w:rsidR="00CE677C" w:rsidRDefault="00CE677C" w:rsidP="00CE677C">
      <w:pPr>
        <w:spacing w:after="0" w:line="240" w:lineRule="auto"/>
        <w:ind w:left="509"/>
        <w:rPr>
          <w:rFonts w:cs="David"/>
          <w:sz w:val="20"/>
          <w:szCs w:val="20"/>
          <w:rtl/>
        </w:rPr>
      </w:pPr>
      <w:r w:rsidRPr="00CE677C">
        <w:rPr>
          <w:rFonts w:cs="David" w:hint="cs"/>
          <w:sz w:val="20"/>
          <w:szCs w:val="20"/>
          <w:rtl/>
        </w:rPr>
        <w:t>המקור: עיבודי בנק ישראל לנתוני רשות המיסים</w:t>
      </w:r>
    </w:p>
    <w:p w:rsidR="00CE677C" w:rsidRPr="00CE677C" w:rsidRDefault="00CE677C" w:rsidP="00CE677C">
      <w:pPr>
        <w:spacing w:after="0" w:line="240" w:lineRule="auto"/>
        <w:ind w:left="509"/>
        <w:rPr>
          <w:rFonts w:cs="David"/>
          <w:sz w:val="20"/>
          <w:szCs w:val="20"/>
          <w:rtl/>
        </w:rPr>
      </w:pPr>
    </w:p>
    <w:p w:rsidR="00CE677C" w:rsidRDefault="00CE677C" w:rsidP="0007063B">
      <w:pPr>
        <w:spacing w:line="360" w:lineRule="auto"/>
        <w:jc w:val="both"/>
        <w:rPr>
          <w:rFonts w:cs="David"/>
          <w:sz w:val="24"/>
          <w:szCs w:val="24"/>
          <w:rtl/>
        </w:rPr>
      </w:pPr>
      <w:r>
        <w:rPr>
          <w:rFonts w:cs="David" w:hint="cs"/>
          <w:sz w:val="24"/>
          <w:szCs w:val="24"/>
          <w:rtl/>
        </w:rPr>
        <w:t xml:space="preserve">מניתוח רכישת </w:t>
      </w:r>
      <w:r w:rsidR="00F718B0">
        <w:rPr>
          <w:rFonts w:cs="David" w:hint="cs"/>
          <w:sz w:val="24"/>
          <w:szCs w:val="24"/>
          <w:rtl/>
        </w:rPr>
        <w:t>ה</w:t>
      </w:r>
      <w:r>
        <w:rPr>
          <w:rFonts w:cs="David" w:hint="cs"/>
          <w:sz w:val="24"/>
          <w:szCs w:val="24"/>
          <w:rtl/>
        </w:rPr>
        <w:t xml:space="preserve">דירות של </w:t>
      </w:r>
      <w:r w:rsidR="00F718B0">
        <w:rPr>
          <w:rFonts w:cs="David" w:hint="cs"/>
          <w:sz w:val="24"/>
          <w:szCs w:val="24"/>
          <w:rtl/>
        </w:rPr>
        <w:t>השכירים</w:t>
      </w:r>
      <w:r>
        <w:rPr>
          <w:rFonts w:cs="David" w:hint="cs"/>
          <w:sz w:val="24"/>
          <w:szCs w:val="24"/>
          <w:rtl/>
        </w:rPr>
        <w:t xml:space="preserve"> </w:t>
      </w:r>
      <w:r w:rsidR="00F718B0">
        <w:rPr>
          <w:rFonts w:cs="David" w:hint="cs"/>
          <w:sz w:val="24"/>
          <w:szCs w:val="24"/>
          <w:rtl/>
        </w:rPr>
        <w:t>ה</w:t>
      </w:r>
      <w:r>
        <w:rPr>
          <w:rFonts w:cs="David" w:hint="cs"/>
          <w:sz w:val="24"/>
          <w:szCs w:val="24"/>
          <w:rtl/>
        </w:rPr>
        <w:t>צעירים על פי מאפייני משק הבית עולה כי העלייה בשיעור השנתי של ר</w:t>
      </w:r>
      <w:r w:rsidR="00F718B0">
        <w:rPr>
          <w:rFonts w:cs="David" w:hint="cs"/>
          <w:sz w:val="24"/>
          <w:szCs w:val="24"/>
          <w:rtl/>
        </w:rPr>
        <w:t>ו</w:t>
      </w:r>
      <w:r>
        <w:rPr>
          <w:rFonts w:cs="David" w:hint="cs"/>
          <w:sz w:val="24"/>
          <w:szCs w:val="24"/>
          <w:rtl/>
        </w:rPr>
        <w:t>כש</w:t>
      </w:r>
      <w:r w:rsidR="00F718B0">
        <w:rPr>
          <w:rFonts w:cs="David" w:hint="cs"/>
          <w:sz w:val="24"/>
          <w:szCs w:val="24"/>
          <w:rtl/>
        </w:rPr>
        <w:t>י</w:t>
      </w:r>
      <w:r>
        <w:rPr>
          <w:rFonts w:cs="David" w:hint="cs"/>
          <w:sz w:val="24"/>
          <w:szCs w:val="24"/>
          <w:rtl/>
        </w:rPr>
        <w:t xml:space="preserve"> דירה ראשונה התרחשה בכל רמות ההכנסה, אך העלייה בשני חמישוני ההכנסה הגבוהים בולטת ביחס לעלייה בחמישוני ההכנסה הנמוכים יותר. אמידה של </w:t>
      </w:r>
      <w:r w:rsidR="00EC0344">
        <w:rPr>
          <w:rFonts w:cs="David" w:hint="cs"/>
          <w:sz w:val="24"/>
          <w:szCs w:val="24"/>
          <w:rtl/>
        </w:rPr>
        <w:t>שיעור רוכשי</w:t>
      </w:r>
      <w:r>
        <w:rPr>
          <w:rFonts w:cs="David" w:hint="cs"/>
          <w:sz w:val="24"/>
          <w:szCs w:val="24"/>
          <w:rtl/>
        </w:rPr>
        <w:t xml:space="preserve"> דירה ראשונה בקרב משקי בית בהם המבוגר במשק הבית הוא בגיל 25 עד 35</w:t>
      </w:r>
      <w:r w:rsidR="008136FA">
        <w:rPr>
          <w:rFonts w:cs="David" w:hint="cs"/>
          <w:sz w:val="24"/>
          <w:szCs w:val="24"/>
          <w:rtl/>
        </w:rPr>
        <w:t>,</w:t>
      </w:r>
      <w:r>
        <w:rPr>
          <w:rFonts w:cs="David" w:hint="cs"/>
          <w:sz w:val="24"/>
          <w:szCs w:val="24"/>
          <w:rtl/>
        </w:rPr>
        <w:t xml:space="preserve"> הכוללת את </w:t>
      </w:r>
      <w:r w:rsidR="00FF0CB4">
        <w:rPr>
          <w:rFonts w:cs="David" w:hint="cs"/>
          <w:sz w:val="24"/>
          <w:szCs w:val="24"/>
          <w:rtl/>
        </w:rPr>
        <w:t>ה</w:t>
      </w:r>
      <w:r>
        <w:rPr>
          <w:rFonts w:cs="David" w:hint="cs"/>
          <w:sz w:val="24"/>
          <w:szCs w:val="24"/>
          <w:rtl/>
        </w:rPr>
        <w:t>מאפייני</w:t>
      </w:r>
      <w:r w:rsidR="00FF0CB4">
        <w:rPr>
          <w:rFonts w:cs="David" w:hint="cs"/>
          <w:sz w:val="24"/>
          <w:szCs w:val="24"/>
          <w:rtl/>
        </w:rPr>
        <w:t>ם הדמוגרפיים של</w:t>
      </w:r>
      <w:r>
        <w:rPr>
          <w:rFonts w:cs="David" w:hint="cs"/>
          <w:sz w:val="24"/>
          <w:szCs w:val="24"/>
          <w:rtl/>
        </w:rPr>
        <w:t xml:space="preserve"> משק הבית </w:t>
      </w:r>
      <w:r w:rsidR="00FF0CB4">
        <w:rPr>
          <w:rFonts w:cs="David" w:hint="cs"/>
          <w:sz w:val="24"/>
          <w:szCs w:val="24"/>
          <w:rtl/>
        </w:rPr>
        <w:t xml:space="preserve">ואת </w:t>
      </w:r>
      <w:r>
        <w:rPr>
          <w:rFonts w:cs="David" w:hint="cs"/>
          <w:sz w:val="24"/>
          <w:szCs w:val="24"/>
          <w:rtl/>
        </w:rPr>
        <w:t xml:space="preserve">חמישון </w:t>
      </w:r>
      <w:r w:rsidR="00DE3ED1">
        <w:rPr>
          <w:rFonts w:cs="David" w:hint="cs"/>
          <w:sz w:val="24"/>
          <w:szCs w:val="24"/>
          <w:rtl/>
        </w:rPr>
        <w:t>ה</w:t>
      </w:r>
      <w:r>
        <w:rPr>
          <w:rFonts w:cs="David" w:hint="cs"/>
          <w:sz w:val="24"/>
          <w:szCs w:val="24"/>
          <w:rtl/>
        </w:rPr>
        <w:t>הכנסה</w:t>
      </w:r>
      <w:r w:rsidR="00EC0344">
        <w:rPr>
          <w:rFonts w:cs="David" w:hint="cs"/>
          <w:sz w:val="24"/>
          <w:szCs w:val="24"/>
          <w:rtl/>
        </w:rPr>
        <w:t xml:space="preserve"> (בקרב הצעירים)</w:t>
      </w:r>
      <w:r w:rsidR="00EC0344">
        <w:rPr>
          <w:rStyle w:val="a8"/>
          <w:rFonts w:cs="David"/>
          <w:sz w:val="24"/>
          <w:szCs w:val="24"/>
          <w:rtl/>
        </w:rPr>
        <w:footnoteReference w:id="1"/>
      </w:r>
      <w:r>
        <w:rPr>
          <w:rFonts w:cs="David" w:hint="cs"/>
          <w:sz w:val="24"/>
          <w:szCs w:val="24"/>
          <w:rtl/>
        </w:rPr>
        <w:t xml:space="preserve"> </w:t>
      </w:r>
      <w:r w:rsidR="008136FA">
        <w:rPr>
          <w:rFonts w:cs="David" w:hint="cs"/>
          <w:sz w:val="24"/>
          <w:szCs w:val="24"/>
          <w:rtl/>
        </w:rPr>
        <w:t>בכל אחת מהשנים 2007 עד 2016</w:t>
      </w:r>
      <w:r>
        <w:rPr>
          <w:rFonts w:cs="David" w:hint="cs"/>
          <w:sz w:val="24"/>
          <w:szCs w:val="24"/>
          <w:rtl/>
        </w:rPr>
        <w:t xml:space="preserve"> מצביעה על ההשפעה המשמעותית של רמת ההכנסה של משק הבית על ההסתברות לרכוש דירה ראשונה. על פי האמידה הפער</w:t>
      </w:r>
      <w:r w:rsidR="008136FA">
        <w:rPr>
          <w:rFonts w:cs="David" w:hint="cs"/>
          <w:sz w:val="24"/>
          <w:szCs w:val="24"/>
          <w:rtl/>
        </w:rPr>
        <w:t xml:space="preserve"> הממוצע</w:t>
      </w:r>
      <w:r>
        <w:rPr>
          <w:rFonts w:cs="David" w:hint="cs"/>
          <w:sz w:val="24"/>
          <w:szCs w:val="24"/>
          <w:rtl/>
        </w:rPr>
        <w:t xml:space="preserve"> </w:t>
      </w:r>
      <w:r w:rsidR="00EC0344">
        <w:rPr>
          <w:rFonts w:cs="David" w:hint="cs"/>
          <w:sz w:val="24"/>
          <w:szCs w:val="24"/>
          <w:rtl/>
        </w:rPr>
        <w:t xml:space="preserve">בשיעור רוכשי הדירה </w:t>
      </w:r>
      <w:r w:rsidR="008136FA">
        <w:rPr>
          <w:rFonts w:cs="David" w:hint="cs"/>
          <w:sz w:val="24"/>
          <w:szCs w:val="24"/>
          <w:rtl/>
        </w:rPr>
        <w:t>בין שני משקי בית בעלי מאפיינים דומים</w:t>
      </w:r>
      <w:r>
        <w:rPr>
          <w:rFonts w:cs="David" w:hint="cs"/>
          <w:sz w:val="24"/>
          <w:szCs w:val="24"/>
          <w:rtl/>
        </w:rPr>
        <w:t xml:space="preserve">, שאחד מהם </w:t>
      </w:r>
      <w:r w:rsidR="00EC0344">
        <w:rPr>
          <w:rFonts w:cs="David" w:hint="cs"/>
          <w:sz w:val="24"/>
          <w:szCs w:val="24"/>
          <w:rtl/>
        </w:rPr>
        <w:t>ה</w:t>
      </w:r>
      <w:r>
        <w:rPr>
          <w:rFonts w:cs="David" w:hint="cs"/>
          <w:sz w:val="24"/>
          <w:szCs w:val="24"/>
          <w:rtl/>
        </w:rPr>
        <w:t>שתייך לחמישון העליון ואחד לחמישון התחתון, עמד בשנים 2007 ו-2008 על מעט יותר משתי נקודות אחוז</w:t>
      </w:r>
      <w:r w:rsidR="008136FA">
        <w:rPr>
          <w:rFonts w:cs="David" w:hint="cs"/>
          <w:sz w:val="24"/>
          <w:szCs w:val="24"/>
          <w:rtl/>
        </w:rPr>
        <w:t>.</w:t>
      </w:r>
      <w:r>
        <w:rPr>
          <w:rFonts w:cs="David" w:hint="cs"/>
          <w:sz w:val="24"/>
          <w:szCs w:val="24"/>
          <w:rtl/>
        </w:rPr>
        <w:t xml:space="preserve"> בשנים 2015 ו-2016 </w:t>
      </w:r>
      <w:r w:rsidR="008136FA">
        <w:rPr>
          <w:rFonts w:cs="David" w:hint="cs"/>
          <w:sz w:val="24"/>
          <w:szCs w:val="24"/>
          <w:rtl/>
        </w:rPr>
        <w:t xml:space="preserve">פער זה עמד על יותר </w:t>
      </w:r>
      <w:r>
        <w:rPr>
          <w:rFonts w:cs="David" w:hint="cs"/>
          <w:sz w:val="24"/>
          <w:szCs w:val="24"/>
          <w:rtl/>
        </w:rPr>
        <w:t xml:space="preserve">מ-5 נקודות אחוז, עלייה של כ-3 נקודות אחוז בפער </w:t>
      </w:r>
      <w:r w:rsidR="008136FA">
        <w:rPr>
          <w:rFonts w:cs="David" w:hint="cs"/>
          <w:sz w:val="24"/>
          <w:szCs w:val="24"/>
          <w:rtl/>
        </w:rPr>
        <w:t xml:space="preserve">הממוצע בהסתברות לרכוש דירה כאשר זה נמדד על פני כלל אוכלוסיית המדגם </w:t>
      </w:r>
      <w:r>
        <w:rPr>
          <w:rFonts w:cs="David" w:hint="cs"/>
          <w:sz w:val="24"/>
          <w:szCs w:val="24"/>
          <w:rtl/>
        </w:rPr>
        <w:t>(איור 2). עלייה זו היא מובהקת</w:t>
      </w:r>
      <w:r w:rsidR="0007063B">
        <w:rPr>
          <w:rFonts w:cs="David" w:hint="cs"/>
          <w:sz w:val="24"/>
          <w:szCs w:val="24"/>
          <w:rtl/>
        </w:rPr>
        <w:t xml:space="preserve"> סטטיסטית</w:t>
      </w:r>
      <w:r>
        <w:rPr>
          <w:rFonts w:cs="David" w:hint="cs"/>
          <w:sz w:val="24"/>
          <w:szCs w:val="24"/>
          <w:rtl/>
        </w:rPr>
        <w:t xml:space="preserve"> ומבטאת </w:t>
      </w:r>
      <w:r w:rsidR="00214319">
        <w:rPr>
          <w:rFonts w:cs="David" w:hint="cs"/>
          <w:sz w:val="24"/>
          <w:szCs w:val="24"/>
          <w:rtl/>
        </w:rPr>
        <w:t xml:space="preserve">ככל הנראה </w:t>
      </w:r>
      <w:r>
        <w:rPr>
          <w:rFonts w:cs="David" w:hint="cs"/>
          <w:sz w:val="24"/>
          <w:szCs w:val="24"/>
          <w:rtl/>
        </w:rPr>
        <w:t>את התרחבות הפער ב</w:t>
      </w:r>
      <w:r w:rsidR="008136FA">
        <w:rPr>
          <w:rFonts w:cs="David" w:hint="cs"/>
          <w:sz w:val="24"/>
          <w:szCs w:val="24"/>
          <w:rtl/>
        </w:rPr>
        <w:t xml:space="preserve">ין משקי הבית החזקים כלכלית לאלו החלשים יותר מבחינה כלכלית </w:t>
      </w:r>
      <w:r w:rsidR="00214319">
        <w:rPr>
          <w:rFonts w:cs="David" w:hint="cs"/>
          <w:sz w:val="24"/>
          <w:szCs w:val="24"/>
          <w:rtl/>
        </w:rPr>
        <w:t xml:space="preserve">ביכולת </w:t>
      </w:r>
      <w:r>
        <w:rPr>
          <w:rFonts w:cs="David" w:hint="cs"/>
          <w:sz w:val="24"/>
          <w:szCs w:val="24"/>
          <w:rtl/>
        </w:rPr>
        <w:t xml:space="preserve">לגייס את ההון הנדרש לרכישת דירה (הון עצמי ויכולת החזר לגיוס משכנתא), עם העלייה במחירי הדירות. </w:t>
      </w:r>
      <w:r w:rsidR="008136FA">
        <w:rPr>
          <w:rFonts w:cs="David" w:hint="cs"/>
          <w:sz w:val="24"/>
          <w:szCs w:val="24"/>
          <w:rtl/>
        </w:rPr>
        <w:t xml:space="preserve"> </w:t>
      </w:r>
      <w:r>
        <w:rPr>
          <w:rFonts w:cs="David" w:hint="cs"/>
          <w:sz w:val="24"/>
          <w:szCs w:val="24"/>
          <w:rtl/>
        </w:rPr>
        <w:t xml:space="preserve"> </w:t>
      </w:r>
    </w:p>
    <w:p w:rsidR="00CE677C" w:rsidRDefault="00CE677C" w:rsidP="00863056">
      <w:pPr>
        <w:spacing w:after="0" w:line="240" w:lineRule="auto"/>
        <w:jc w:val="center"/>
        <w:rPr>
          <w:rFonts w:cs="David"/>
          <w:b/>
          <w:bCs/>
          <w:sz w:val="24"/>
          <w:szCs w:val="24"/>
          <w:rtl/>
        </w:rPr>
      </w:pPr>
      <w:r w:rsidRPr="00CE677C">
        <w:rPr>
          <w:rFonts w:cs="David" w:hint="cs"/>
          <w:b/>
          <w:bCs/>
          <w:sz w:val="24"/>
          <w:szCs w:val="24"/>
          <w:rtl/>
        </w:rPr>
        <w:t xml:space="preserve">איור 2: </w:t>
      </w:r>
      <w:r w:rsidR="00863056">
        <w:rPr>
          <w:rFonts w:cs="David" w:hint="cs"/>
          <w:b/>
          <w:bCs/>
          <w:sz w:val="24"/>
          <w:szCs w:val="24"/>
          <w:rtl/>
        </w:rPr>
        <w:t>הקשר בין</w:t>
      </w:r>
      <w:r w:rsidRPr="00CE677C">
        <w:rPr>
          <w:rFonts w:cs="David"/>
          <w:b/>
          <w:bCs/>
          <w:sz w:val="24"/>
          <w:szCs w:val="24"/>
          <w:rtl/>
        </w:rPr>
        <w:t xml:space="preserve"> חמישון ההכנסה</w:t>
      </w:r>
    </w:p>
    <w:p w:rsidR="00CE677C" w:rsidRPr="00CE677C" w:rsidRDefault="00863056" w:rsidP="00DE3ED1">
      <w:pPr>
        <w:spacing w:after="0" w:line="240" w:lineRule="auto"/>
        <w:jc w:val="center"/>
        <w:rPr>
          <w:rFonts w:cs="David"/>
          <w:b/>
          <w:bCs/>
          <w:sz w:val="24"/>
          <w:szCs w:val="24"/>
          <w:rtl/>
        </w:rPr>
      </w:pPr>
      <w:r>
        <w:rPr>
          <w:rFonts w:cs="David" w:hint="cs"/>
          <w:b/>
          <w:bCs/>
          <w:sz w:val="24"/>
          <w:szCs w:val="24"/>
          <w:rtl/>
        </w:rPr>
        <w:t>לבין</w:t>
      </w:r>
      <w:r w:rsidRPr="00CE677C">
        <w:rPr>
          <w:rFonts w:cs="David" w:hint="cs"/>
          <w:b/>
          <w:bCs/>
          <w:sz w:val="24"/>
          <w:szCs w:val="24"/>
          <w:rtl/>
        </w:rPr>
        <w:t xml:space="preserve"> </w:t>
      </w:r>
      <w:r w:rsidR="00CE677C" w:rsidRPr="00CE677C">
        <w:rPr>
          <w:rFonts w:cs="David" w:hint="cs"/>
          <w:b/>
          <w:bCs/>
          <w:sz w:val="24"/>
          <w:szCs w:val="24"/>
          <w:rtl/>
        </w:rPr>
        <w:t>ההסתברות לרכוש דירה</w:t>
      </w:r>
      <w:r w:rsidR="00CE677C" w:rsidRPr="00CE677C">
        <w:rPr>
          <w:rFonts w:cs="David"/>
          <w:b/>
          <w:bCs/>
          <w:sz w:val="24"/>
          <w:szCs w:val="24"/>
          <w:rtl/>
        </w:rPr>
        <w:t>, בשנים 2007</w:t>
      </w:r>
      <w:r w:rsidR="00CE677C" w:rsidRPr="00CE677C">
        <w:rPr>
          <w:rFonts w:cs="David" w:hint="cs"/>
          <w:b/>
          <w:bCs/>
          <w:sz w:val="24"/>
          <w:szCs w:val="24"/>
          <w:rtl/>
        </w:rPr>
        <w:t>–</w:t>
      </w:r>
      <w:r w:rsidR="00CE677C" w:rsidRPr="00CE677C">
        <w:rPr>
          <w:rFonts w:cs="David"/>
          <w:b/>
          <w:bCs/>
          <w:sz w:val="24"/>
          <w:szCs w:val="24"/>
          <w:rtl/>
        </w:rPr>
        <w:t>2016</w:t>
      </w:r>
      <w:r w:rsidR="00DE3ED1">
        <w:rPr>
          <w:rFonts w:cs="David" w:hint="cs"/>
          <w:b/>
          <w:bCs/>
          <w:sz w:val="24"/>
          <w:szCs w:val="24"/>
          <w:rtl/>
        </w:rPr>
        <w:t>*</w:t>
      </w:r>
    </w:p>
    <w:p w:rsidR="00CE677C" w:rsidRDefault="00CE677C" w:rsidP="008136FA">
      <w:pPr>
        <w:spacing w:after="0" w:line="240" w:lineRule="auto"/>
        <w:jc w:val="center"/>
        <w:rPr>
          <w:rFonts w:cs="David"/>
          <w:sz w:val="24"/>
          <w:szCs w:val="24"/>
          <w:rtl/>
        </w:rPr>
      </w:pPr>
      <w:r>
        <w:rPr>
          <w:noProof/>
        </w:rPr>
        <w:drawing>
          <wp:inline distT="0" distB="0" distL="0" distR="0" wp14:anchorId="44178C48" wp14:editId="566D9127">
            <wp:extent cx="4647063" cy="2797791"/>
            <wp:effectExtent l="0" t="0" r="20320" b="22225"/>
            <wp:docPr id="2" name="Chart 2" descr="הקשר בין חמישון ההכנסה&#10;לבין ההסתברות לרכוש דירה, בשנים 2007–2016*&#10;" title="הקשר בין חמישון ההכנסה"/>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3ED1" w:rsidRDefault="00DE3ED1" w:rsidP="00DE3ED1">
      <w:pPr>
        <w:spacing w:after="0" w:line="240" w:lineRule="auto"/>
        <w:ind w:left="510" w:right="284"/>
        <w:jc w:val="both"/>
        <w:rPr>
          <w:rFonts w:cs="David"/>
          <w:sz w:val="20"/>
          <w:szCs w:val="20"/>
          <w:rtl/>
        </w:rPr>
      </w:pPr>
      <w:r w:rsidRPr="00DE3ED1">
        <w:rPr>
          <w:rFonts w:cs="David" w:hint="cs"/>
          <w:sz w:val="20"/>
          <w:szCs w:val="20"/>
          <w:rtl/>
        </w:rPr>
        <w:t>* האפקט השולי הממוצע של חמישון ההכנסה על ההסתברות לרכוש דירה</w:t>
      </w:r>
      <w:r>
        <w:rPr>
          <w:rFonts w:cs="David" w:hint="cs"/>
          <w:sz w:val="20"/>
          <w:szCs w:val="20"/>
          <w:rtl/>
        </w:rPr>
        <w:t>. מבוססי על תוצאות רגרסיה.</w:t>
      </w:r>
    </w:p>
    <w:p w:rsidR="00DE3ED1" w:rsidRDefault="00DE3ED1" w:rsidP="00DE3ED1">
      <w:pPr>
        <w:spacing w:after="0" w:line="240" w:lineRule="auto"/>
        <w:ind w:left="510" w:right="426"/>
        <w:jc w:val="both"/>
        <w:rPr>
          <w:rFonts w:cs="David"/>
          <w:sz w:val="20"/>
          <w:szCs w:val="20"/>
          <w:rtl/>
        </w:rPr>
      </w:pPr>
      <w:r>
        <w:rPr>
          <w:rFonts w:cs="David" w:hint="cs"/>
          <w:sz w:val="20"/>
          <w:szCs w:val="20"/>
          <w:rtl/>
        </w:rPr>
        <w:t xml:space="preserve">המקור: "השינויים בשיעורי רוכשי דירה ראשונה בקרב צעירים על פי רמת הכנסה בשנים 2016-2007", לקט </w:t>
      </w:r>
      <w:r w:rsidRPr="00DE3ED1">
        <w:rPr>
          <w:rFonts w:cs="David" w:hint="cs"/>
          <w:sz w:val="20"/>
          <w:szCs w:val="20"/>
          <w:rtl/>
        </w:rPr>
        <w:t>ניתוחי מדיניות וסוגיות מחקריות, בנק ישראל</w:t>
      </w:r>
      <w:r>
        <w:rPr>
          <w:rFonts w:cs="David" w:hint="cs"/>
          <w:sz w:val="20"/>
          <w:szCs w:val="20"/>
          <w:rtl/>
        </w:rPr>
        <w:t>.</w:t>
      </w:r>
    </w:p>
    <w:p w:rsidR="00DE3ED1" w:rsidRPr="00DE3ED1" w:rsidRDefault="00DE3ED1" w:rsidP="00DE3ED1">
      <w:pPr>
        <w:spacing w:after="0" w:line="240" w:lineRule="auto"/>
        <w:ind w:left="510"/>
        <w:jc w:val="both"/>
        <w:rPr>
          <w:rFonts w:cs="David"/>
          <w:sz w:val="20"/>
          <w:szCs w:val="20"/>
          <w:rtl/>
        </w:rPr>
      </w:pPr>
      <w:r>
        <w:rPr>
          <w:rFonts w:cs="David" w:hint="cs"/>
          <w:sz w:val="20"/>
          <w:szCs w:val="20"/>
          <w:rtl/>
        </w:rPr>
        <w:t xml:space="preserve"> </w:t>
      </w:r>
      <w:r w:rsidRPr="00DE3ED1">
        <w:rPr>
          <w:rFonts w:cs="David" w:hint="cs"/>
          <w:sz w:val="20"/>
          <w:szCs w:val="20"/>
          <w:rtl/>
        </w:rPr>
        <w:t xml:space="preserve"> </w:t>
      </w:r>
    </w:p>
    <w:p w:rsidR="00CE677C" w:rsidRDefault="00CE677C" w:rsidP="00214319">
      <w:pPr>
        <w:spacing w:line="360" w:lineRule="auto"/>
        <w:jc w:val="both"/>
        <w:rPr>
          <w:rFonts w:cs="David"/>
          <w:sz w:val="24"/>
          <w:szCs w:val="24"/>
          <w:rtl/>
        </w:rPr>
      </w:pPr>
      <w:r>
        <w:rPr>
          <w:rFonts w:cs="David" w:hint="cs"/>
          <w:sz w:val="24"/>
          <w:szCs w:val="24"/>
          <w:rtl/>
        </w:rPr>
        <w:t>סימולציה לבחינת ההסתברות המצטברת של רווק בגיל 25 המתגורר במרכז, מתחתן בגיל 29 והופך להורה בגיל 32 לרכוש דירה ראשונה עד גיל 35 מצביעה על עלייה בהסתברות זו בכל רמות ההכנסה אך היא בולטת במיוחד ברמת ההכנסה הגבוהה. כך, ההסתברות המצטברת של משק בית טיפוסי, כאמור, המשתייך לחמישון ההכנסה הגבוה, לרכוש דירה במהלך 11 שנים (מגיל 25 עד גיל 35 כולל) עלתה מ-45 אחוזים, על פי ההתנהגות של משקי בית צעירים בשנת 2007 ל-71 אחוזים</w:t>
      </w:r>
      <w:r w:rsidR="008136FA">
        <w:rPr>
          <w:rFonts w:cs="David" w:hint="cs"/>
          <w:sz w:val="24"/>
          <w:szCs w:val="24"/>
          <w:rtl/>
        </w:rPr>
        <w:t xml:space="preserve"> על פי התנהגות משקי הבית </w:t>
      </w:r>
      <w:r>
        <w:rPr>
          <w:rFonts w:cs="David" w:hint="cs"/>
          <w:sz w:val="24"/>
          <w:szCs w:val="24"/>
          <w:rtl/>
        </w:rPr>
        <w:t xml:space="preserve">בשנת 2016. </w:t>
      </w:r>
      <w:r w:rsidR="00214319">
        <w:rPr>
          <w:rFonts w:cs="David" w:hint="cs"/>
          <w:sz w:val="24"/>
          <w:szCs w:val="24"/>
          <w:rtl/>
        </w:rPr>
        <w:t xml:space="preserve">עיקר העליה התרחשה אחרי שנת 2011. </w:t>
      </w:r>
      <w:r>
        <w:rPr>
          <w:rFonts w:cs="David" w:hint="cs"/>
          <w:sz w:val="24"/>
          <w:szCs w:val="24"/>
          <w:rtl/>
        </w:rPr>
        <w:t>ההסתברות המצטברת של משק בית טיפוסי דומה המשתייך לחמישון התחתון לרכוש דירה ראשונה עלתה באותה התקופה מ-14 אחוזים ל-28 אחוזים (איור 3).</w:t>
      </w:r>
    </w:p>
    <w:p w:rsidR="00CE677C" w:rsidRDefault="00CE677C" w:rsidP="00CE677C">
      <w:pPr>
        <w:spacing w:after="0" w:line="240" w:lineRule="auto"/>
        <w:jc w:val="center"/>
        <w:rPr>
          <w:rFonts w:cs="David"/>
          <w:b/>
          <w:bCs/>
          <w:sz w:val="24"/>
          <w:szCs w:val="24"/>
          <w:rtl/>
        </w:rPr>
      </w:pPr>
    </w:p>
    <w:p w:rsidR="00CE677C" w:rsidRDefault="00CE677C" w:rsidP="00CE677C">
      <w:pPr>
        <w:spacing w:after="0" w:line="240" w:lineRule="auto"/>
        <w:jc w:val="center"/>
        <w:rPr>
          <w:rFonts w:cs="David"/>
          <w:b/>
          <w:bCs/>
          <w:sz w:val="24"/>
          <w:szCs w:val="24"/>
          <w:rtl/>
        </w:rPr>
      </w:pPr>
    </w:p>
    <w:p w:rsidR="00CE677C" w:rsidRDefault="00CE677C" w:rsidP="00CE677C">
      <w:pPr>
        <w:spacing w:after="0" w:line="240" w:lineRule="auto"/>
        <w:jc w:val="center"/>
        <w:rPr>
          <w:rFonts w:cs="David"/>
          <w:b/>
          <w:bCs/>
          <w:sz w:val="24"/>
          <w:szCs w:val="24"/>
          <w:rtl/>
        </w:rPr>
      </w:pPr>
    </w:p>
    <w:p w:rsidR="00CE677C" w:rsidRPr="00CE677C" w:rsidRDefault="00CE677C" w:rsidP="00214319">
      <w:pPr>
        <w:spacing w:after="0" w:line="240" w:lineRule="auto"/>
        <w:jc w:val="center"/>
        <w:rPr>
          <w:rFonts w:cs="David"/>
          <w:b/>
          <w:bCs/>
          <w:sz w:val="24"/>
          <w:szCs w:val="24"/>
          <w:rtl/>
        </w:rPr>
      </w:pPr>
      <w:r w:rsidRPr="00CE677C">
        <w:rPr>
          <w:rFonts w:cs="David" w:hint="cs"/>
          <w:b/>
          <w:bCs/>
          <w:sz w:val="24"/>
          <w:szCs w:val="24"/>
          <w:rtl/>
        </w:rPr>
        <w:t xml:space="preserve">איור 3: </w:t>
      </w:r>
      <w:r w:rsidR="00214319">
        <w:rPr>
          <w:rFonts w:cs="David" w:hint="cs"/>
          <w:b/>
          <w:bCs/>
          <w:sz w:val="24"/>
          <w:szCs w:val="24"/>
          <w:rtl/>
        </w:rPr>
        <w:t>הקשר בין</w:t>
      </w:r>
      <w:r w:rsidRPr="00CE677C">
        <w:rPr>
          <w:rFonts w:cs="David"/>
          <w:b/>
          <w:bCs/>
          <w:sz w:val="24"/>
          <w:szCs w:val="24"/>
          <w:rtl/>
        </w:rPr>
        <w:t xml:space="preserve"> חמישון ההכנסה</w:t>
      </w:r>
      <w:r w:rsidRPr="00CE677C">
        <w:rPr>
          <w:rFonts w:cs="David" w:hint="cs"/>
          <w:b/>
          <w:bCs/>
          <w:sz w:val="24"/>
          <w:szCs w:val="24"/>
          <w:rtl/>
        </w:rPr>
        <w:t xml:space="preserve"> </w:t>
      </w:r>
      <w:r w:rsidR="00214319">
        <w:rPr>
          <w:rFonts w:cs="David" w:hint="cs"/>
          <w:b/>
          <w:bCs/>
          <w:sz w:val="24"/>
          <w:szCs w:val="24"/>
          <w:rtl/>
        </w:rPr>
        <w:t>לבין</w:t>
      </w:r>
      <w:r w:rsidRPr="00CE677C">
        <w:rPr>
          <w:rFonts w:cs="David" w:hint="cs"/>
          <w:b/>
          <w:bCs/>
          <w:sz w:val="24"/>
          <w:szCs w:val="24"/>
          <w:rtl/>
        </w:rPr>
        <w:t xml:space="preserve"> ההסתברות לרכוש דירה</w:t>
      </w:r>
      <w:r w:rsidR="008136FA">
        <w:rPr>
          <w:rFonts w:cs="David" w:hint="cs"/>
          <w:b/>
          <w:bCs/>
          <w:sz w:val="24"/>
          <w:szCs w:val="24"/>
          <w:rtl/>
        </w:rPr>
        <w:t xml:space="preserve"> במהלך </w:t>
      </w:r>
      <w:r w:rsidR="008136FA" w:rsidRPr="008136FA">
        <w:rPr>
          <w:rFonts w:cs="David" w:hint="cs"/>
          <w:b/>
          <w:bCs/>
          <w:sz w:val="24"/>
          <w:szCs w:val="24"/>
          <w:rtl/>
        </w:rPr>
        <w:t>11</w:t>
      </w:r>
      <w:r w:rsidR="008136FA" w:rsidRPr="008136FA">
        <w:rPr>
          <w:rFonts w:cs="David"/>
          <w:b/>
          <w:bCs/>
          <w:sz w:val="24"/>
          <w:szCs w:val="24"/>
          <w:rtl/>
        </w:rPr>
        <w:t xml:space="preserve"> </w:t>
      </w:r>
      <w:r w:rsidR="008136FA" w:rsidRPr="008136FA">
        <w:rPr>
          <w:rFonts w:cs="David" w:hint="cs"/>
          <w:b/>
          <w:bCs/>
          <w:sz w:val="24"/>
          <w:szCs w:val="24"/>
          <w:rtl/>
        </w:rPr>
        <w:t>השנים</w:t>
      </w:r>
      <w:r w:rsidR="008136FA" w:rsidRPr="008136FA">
        <w:rPr>
          <w:rFonts w:cs="David"/>
          <w:b/>
          <w:bCs/>
          <w:sz w:val="24"/>
          <w:szCs w:val="24"/>
          <w:rtl/>
        </w:rPr>
        <w:t xml:space="preserve"> </w:t>
      </w:r>
      <w:r w:rsidR="008136FA" w:rsidRPr="008136FA">
        <w:rPr>
          <w:rFonts w:cs="David" w:hint="cs"/>
          <w:b/>
          <w:bCs/>
          <w:sz w:val="24"/>
          <w:szCs w:val="24"/>
          <w:rtl/>
        </w:rPr>
        <w:t>שבין</w:t>
      </w:r>
      <w:r w:rsidR="008136FA" w:rsidRPr="008136FA">
        <w:rPr>
          <w:rFonts w:cs="David"/>
          <w:b/>
          <w:bCs/>
          <w:sz w:val="24"/>
          <w:szCs w:val="24"/>
          <w:rtl/>
        </w:rPr>
        <w:t xml:space="preserve"> </w:t>
      </w:r>
      <w:r w:rsidR="008136FA" w:rsidRPr="008136FA">
        <w:rPr>
          <w:rFonts w:cs="David" w:hint="cs"/>
          <w:b/>
          <w:bCs/>
          <w:sz w:val="24"/>
          <w:szCs w:val="24"/>
          <w:rtl/>
        </w:rPr>
        <w:t>גיל</w:t>
      </w:r>
      <w:r w:rsidR="008136FA" w:rsidRPr="008136FA">
        <w:rPr>
          <w:rFonts w:cs="David"/>
          <w:b/>
          <w:bCs/>
          <w:sz w:val="24"/>
          <w:szCs w:val="24"/>
          <w:rtl/>
        </w:rPr>
        <w:t xml:space="preserve"> 25 </w:t>
      </w:r>
      <w:r w:rsidR="008136FA" w:rsidRPr="008136FA">
        <w:rPr>
          <w:rFonts w:cs="David" w:hint="cs"/>
          <w:b/>
          <w:bCs/>
          <w:sz w:val="24"/>
          <w:szCs w:val="24"/>
          <w:rtl/>
        </w:rPr>
        <w:t>לגיל</w:t>
      </w:r>
      <w:r w:rsidR="008136FA" w:rsidRPr="008136FA">
        <w:rPr>
          <w:rFonts w:cs="David"/>
          <w:b/>
          <w:bCs/>
          <w:sz w:val="24"/>
          <w:szCs w:val="24"/>
          <w:rtl/>
        </w:rPr>
        <w:t xml:space="preserve"> 35</w:t>
      </w:r>
      <w:r w:rsidR="008136FA" w:rsidRPr="008136FA">
        <w:rPr>
          <w:rFonts w:cs="David" w:hint="cs"/>
          <w:b/>
          <w:bCs/>
          <w:sz w:val="24"/>
          <w:szCs w:val="24"/>
          <w:rtl/>
        </w:rPr>
        <w:t>, על</w:t>
      </w:r>
      <w:r w:rsidR="008136FA" w:rsidRPr="008136FA">
        <w:rPr>
          <w:rFonts w:cs="David"/>
          <w:b/>
          <w:bCs/>
          <w:sz w:val="24"/>
          <w:szCs w:val="24"/>
          <w:rtl/>
        </w:rPr>
        <w:t xml:space="preserve"> </w:t>
      </w:r>
      <w:r w:rsidR="008136FA" w:rsidRPr="008136FA">
        <w:rPr>
          <w:rFonts w:cs="David" w:hint="cs"/>
          <w:b/>
          <w:bCs/>
          <w:sz w:val="24"/>
          <w:szCs w:val="24"/>
          <w:rtl/>
        </w:rPr>
        <w:t>פי</w:t>
      </w:r>
      <w:r w:rsidR="008136FA" w:rsidRPr="008136FA">
        <w:rPr>
          <w:rFonts w:cs="David"/>
          <w:b/>
          <w:bCs/>
          <w:sz w:val="24"/>
          <w:szCs w:val="24"/>
          <w:rtl/>
        </w:rPr>
        <w:t xml:space="preserve"> </w:t>
      </w:r>
      <w:r w:rsidR="008136FA" w:rsidRPr="008136FA">
        <w:rPr>
          <w:rFonts w:cs="David" w:hint="cs"/>
          <w:b/>
          <w:bCs/>
          <w:sz w:val="24"/>
          <w:szCs w:val="24"/>
          <w:rtl/>
        </w:rPr>
        <w:t>חמישוני</w:t>
      </w:r>
      <w:r w:rsidR="008136FA" w:rsidRPr="008136FA">
        <w:rPr>
          <w:rFonts w:cs="David"/>
          <w:b/>
          <w:bCs/>
          <w:sz w:val="24"/>
          <w:szCs w:val="24"/>
          <w:rtl/>
        </w:rPr>
        <w:t xml:space="preserve"> </w:t>
      </w:r>
      <w:r w:rsidR="008136FA" w:rsidRPr="008136FA">
        <w:rPr>
          <w:rFonts w:cs="David" w:hint="cs"/>
          <w:b/>
          <w:bCs/>
          <w:sz w:val="24"/>
          <w:szCs w:val="24"/>
          <w:rtl/>
        </w:rPr>
        <w:t>הכנסה</w:t>
      </w:r>
      <w:r w:rsidRPr="00CE677C">
        <w:rPr>
          <w:rFonts w:cs="David"/>
          <w:b/>
          <w:bCs/>
          <w:sz w:val="24"/>
          <w:szCs w:val="24"/>
          <w:rtl/>
        </w:rPr>
        <w:t>,2007</w:t>
      </w:r>
      <w:r w:rsidRPr="00CE677C">
        <w:rPr>
          <w:rFonts w:cs="David" w:hint="cs"/>
          <w:b/>
          <w:bCs/>
          <w:sz w:val="24"/>
          <w:szCs w:val="24"/>
          <w:rtl/>
        </w:rPr>
        <w:t xml:space="preserve">, 2011 ו- </w:t>
      </w:r>
      <w:r w:rsidRPr="00CE677C">
        <w:rPr>
          <w:rFonts w:cs="David"/>
          <w:b/>
          <w:bCs/>
          <w:sz w:val="24"/>
          <w:szCs w:val="24"/>
          <w:rtl/>
        </w:rPr>
        <w:t>2016</w:t>
      </w:r>
    </w:p>
    <w:p w:rsidR="00CE677C" w:rsidRDefault="00CE677C" w:rsidP="00CE677C">
      <w:pPr>
        <w:spacing w:after="0" w:line="240" w:lineRule="auto"/>
        <w:jc w:val="both"/>
        <w:rPr>
          <w:rFonts w:cs="David"/>
          <w:sz w:val="24"/>
          <w:szCs w:val="24"/>
          <w:rtl/>
        </w:rPr>
      </w:pPr>
      <w:r>
        <w:rPr>
          <w:noProof/>
        </w:rPr>
        <w:drawing>
          <wp:inline distT="0" distB="0" distL="0" distR="0" wp14:anchorId="36A75220" wp14:editId="4C066A4B">
            <wp:extent cx="4865427" cy="3125337"/>
            <wp:effectExtent l="0" t="0" r="11430" b="18415"/>
            <wp:docPr id="3" name="Chart 3" descr=" הקשר בין חמישון ההכנסה לבין ההסתברות לרכוש דירה במהלך 11 השנים שבין גיל 25 לגיל 35, על פי חמישוני הכנסה,2007, 2011 ו- 2016" title=" הקשר בין חמישון ההכנסה לבין ההסתברות לרכוש דירה במהלך 11 השנים שבין גיל 25 לגיל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1729B" w:rsidRDefault="00B1729B" w:rsidP="00B1729B">
      <w:pPr>
        <w:spacing w:after="0" w:line="240" w:lineRule="auto"/>
        <w:ind w:right="425"/>
        <w:jc w:val="both"/>
        <w:rPr>
          <w:rFonts w:cs="David"/>
          <w:sz w:val="20"/>
          <w:szCs w:val="20"/>
          <w:rtl/>
        </w:rPr>
      </w:pPr>
      <w:r>
        <w:rPr>
          <w:rFonts w:cs="David" w:hint="cs"/>
          <w:sz w:val="20"/>
          <w:szCs w:val="20"/>
          <w:rtl/>
        </w:rPr>
        <w:t xml:space="preserve">המקור: "השינויים בשיעורי רוכשי דירה ראשונה בקרב צעירים על פי רמת הכנסה בשנים 2016-2007", לקט </w:t>
      </w:r>
      <w:r w:rsidRPr="00DE3ED1">
        <w:rPr>
          <w:rFonts w:cs="David" w:hint="cs"/>
          <w:sz w:val="20"/>
          <w:szCs w:val="20"/>
          <w:rtl/>
        </w:rPr>
        <w:t>ניתוחי מדיניות וסוגיות מחקריות, בנק ישראל</w:t>
      </w:r>
      <w:r>
        <w:rPr>
          <w:rFonts w:cs="David" w:hint="cs"/>
          <w:sz w:val="20"/>
          <w:szCs w:val="20"/>
          <w:rtl/>
        </w:rPr>
        <w:t>.</w:t>
      </w:r>
    </w:p>
    <w:p w:rsidR="00EA6861" w:rsidRPr="00CE677C" w:rsidRDefault="00EA6861" w:rsidP="00CE677C">
      <w:pPr>
        <w:spacing w:after="0" w:line="240" w:lineRule="auto"/>
        <w:jc w:val="both"/>
        <w:rPr>
          <w:rFonts w:cs="David"/>
          <w:sz w:val="24"/>
          <w:szCs w:val="24"/>
          <w:rtl/>
        </w:rPr>
      </w:pPr>
    </w:p>
    <w:sectPr w:rsidR="00EA6861" w:rsidRPr="00CE677C" w:rsidSect="00DF1C42">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CE" w:rsidRDefault="007238CE" w:rsidP="00EC0344">
      <w:pPr>
        <w:spacing w:after="0" w:line="240" w:lineRule="auto"/>
      </w:pPr>
      <w:r>
        <w:separator/>
      </w:r>
    </w:p>
  </w:endnote>
  <w:endnote w:type="continuationSeparator" w:id="0">
    <w:p w:rsidR="007238CE" w:rsidRDefault="007238CE" w:rsidP="00EC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CE" w:rsidRDefault="007238CE" w:rsidP="00EC0344">
      <w:pPr>
        <w:spacing w:after="0" w:line="240" w:lineRule="auto"/>
      </w:pPr>
      <w:r>
        <w:separator/>
      </w:r>
    </w:p>
  </w:footnote>
  <w:footnote w:type="continuationSeparator" w:id="0">
    <w:p w:rsidR="007238CE" w:rsidRDefault="007238CE" w:rsidP="00EC0344">
      <w:pPr>
        <w:spacing w:after="0" w:line="240" w:lineRule="auto"/>
      </w:pPr>
      <w:r>
        <w:continuationSeparator/>
      </w:r>
    </w:p>
  </w:footnote>
  <w:footnote w:id="1">
    <w:p w:rsidR="00EC0344" w:rsidRDefault="00EC0344" w:rsidP="00EC0344">
      <w:pPr>
        <w:pStyle w:val="a6"/>
      </w:pPr>
      <w:r>
        <w:rPr>
          <w:rStyle w:val="a8"/>
        </w:rPr>
        <w:footnoteRef/>
      </w:r>
      <w:r w:rsidRPr="00DE3ED1">
        <w:rPr>
          <w:rFonts w:cs="David"/>
          <w:rtl/>
        </w:rPr>
        <w:t xml:space="preserve"> </w:t>
      </w:r>
      <w:r w:rsidRPr="00DE3ED1">
        <w:rPr>
          <w:rFonts w:cs="David" w:hint="cs"/>
          <w:rtl/>
        </w:rPr>
        <w:t>חמישון</w:t>
      </w:r>
      <w:r w:rsidRPr="00DE3ED1">
        <w:rPr>
          <w:rFonts w:cs="David"/>
          <w:rtl/>
        </w:rPr>
        <w:t xml:space="preserve"> </w:t>
      </w:r>
      <w:r w:rsidRPr="00DE3ED1">
        <w:rPr>
          <w:rFonts w:cs="David" w:hint="cs"/>
          <w:rtl/>
        </w:rPr>
        <w:t>ההכנסה</w:t>
      </w:r>
      <w:r w:rsidRPr="00DE3ED1">
        <w:rPr>
          <w:rFonts w:cs="David"/>
          <w:rtl/>
        </w:rPr>
        <w:t xml:space="preserve"> </w:t>
      </w:r>
      <w:r w:rsidRPr="00DE3ED1">
        <w:rPr>
          <w:rFonts w:cs="David" w:hint="cs"/>
          <w:rtl/>
        </w:rPr>
        <w:t>חושב</w:t>
      </w:r>
      <w:r w:rsidRPr="00DE3ED1">
        <w:rPr>
          <w:rFonts w:cs="David"/>
          <w:rtl/>
        </w:rPr>
        <w:t xml:space="preserve"> </w:t>
      </w:r>
      <w:r w:rsidRPr="00DE3ED1">
        <w:rPr>
          <w:rFonts w:cs="David" w:hint="cs"/>
          <w:rtl/>
        </w:rPr>
        <w:t>לכל</w:t>
      </w:r>
      <w:r w:rsidRPr="00DE3ED1">
        <w:rPr>
          <w:rFonts w:cs="David"/>
          <w:rtl/>
        </w:rPr>
        <w:t xml:space="preserve"> </w:t>
      </w:r>
      <w:r w:rsidRPr="00DE3ED1">
        <w:rPr>
          <w:rFonts w:cs="David" w:hint="cs"/>
          <w:rtl/>
        </w:rPr>
        <w:t>משק</w:t>
      </w:r>
      <w:r w:rsidRPr="00DE3ED1">
        <w:rPr>
          <w:rFonts w:cs="David"/>
          <w:rtl/>
        </w:rPr>
        <w:t xml:space="preserve"> </w:t>
      </w:r>
      <w:r w:rsidRPr="00DE3ED1">
        <w:rPr>
          <w:rFonts w:cs="David" w:hint="cs"/>
          <w:rtl/>
        </w:rPr>
        <w:t>בית</w:t>
      </w:r>
      <w:r w:rsidRPr="00DE3ED1">
        <w:rPr>
          <w:rFonts w:cs="David"/>
          <w:rtl/>
        </w:rPr>
        <w:t xml:space="preserve"> </w:t>
      </w:r>
      <w:r w:rsidRPr="00DE3ED1">
        <w:rPr>
          <w:rFonts w:cs="David" w:hint="cs"/>
          <w:rtl/>
        </w:rPr>
        <w:t>ביחס</w:t>
      </w:r>
      <w:r w:rsidRPr="00DE3ED1">
        <w:rPr>
          <w:rFonts w:cs="David"/>
          <w:rtl/>
        </w:rPr>
        <w:t xml:space="preserve"> </w:t>
      </w:r>
      <w:r w:rsidRPr="00DE3ED1">
        <w:rPr>
          <w:rFonts w:cs="David" w:hint="cs"/>
          <w:rtl/>
        </w:rPr>
        <w:t>לצעירים</w:t>
      </w:r>
      <w:r w:rsidRPr="00DE3ED1">
        <w:rPr>
          <w:rFonts w:cs="David"/>
          <w:rtl/>
        </w:rPr>
        <w:t xml:space="preserve"> </w:t>
      </w:r>
      <w:r w:rsidRPr="00DE3ED1">
        <w:rPr>
          <w:rFonts w:cs="David" w:hint="cs"/>
          <w:rtl/>
        </w:rPr>
        <w:t>ילידי</w:t>
      </w:r>
      <w:r w:rsidRPr="00DE3ED1">
        <w:rPr>
          <w:rFonts w:cs="David"/>
          <w:rtl/>
        </w:rPr>
        <w:t xml:space="preserve"> </w:t>
      </w:r>
      <w:r w:rsidRPr="00DE3ED1">
        <w:rPr>
          <w:rFonts w:cs="David" w:hint="cs"/>
          <w:rtl/>
        </w:rPr>
        <w:t>אותו</w:t>
      </w:r>
      <w:r w:rsidRPr="00DE3ED1">
        <w:rPr>
          <w:rFonts w:cs="David"/>
          <w:rtl/>
        </w:rPr>
        <w:t xml:space="preserve"> </w:t>
      </w:r>
      <w:r w:rsidRPr="00DE3ED1">
        <w:rPr>
          <w:rFonts w:cs="David" w:hint="cs"/>
          <w:rtl/>
        </w:rPr>
        <w:t>שנתון</w:t>
      </w:r>
      <w:r w:rsidRPr="00DE3ED1">
        <w:rPr>
          <w:rFonts w:cs="David"/>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E00F5"/>
    <w:multiLevelType w:val="hybridMultilevel"/>
    <w:tmpl w:val="AAB0A3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77C"/>
    <w:rsid w:val="0007063B"/>
    <w:rsid w:val="00214319"/>
    <w:rsid w:val="00421061"/>
    <w:rsid w:val="007238CE"/>
    <w:rsid w:val="008136FA"/>
    <w:rsid w:val="00863056"/>
    <w:rsid w:val="008862DE"/>
    <w:rsid w:val="00B1729B"/>
    <w:rsid w:val="00BE6924"/>
    <w:rsid w:val="00C65797"/>
    <w:rsid w:val="00C712C1"/>
    <w:rsid w:val="00CD349A"/>
    <w:rsid w:val="00CE677C"/>
    <w:rsid w:val="00DE3ED1"/>
    <w:rsid w:val="00DF1C42"/>
    <w:rsid w:val="00EA6861"/>
    <w:rsid w:val="00EC0344"/>
    <w:rsid w:val="00F46B0E"/>
    <w:rsid w:val="00F718B0"/>
    <w:rsid w:val="00FF0C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77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77C"/>
    <w:pPr>
      <w:ind w:left="720"/>
      <w:contextualSpacing/>
    </w:pPr>
  </w:style>
  <w:style w:type="paragraph" w:styleId="a4">
    <w:name w:val="Balloon Text"/>
    <w:basedOn w:val="a"/>
    <w:link w:val="a5"/>
    <w:uiPriority w:val="99"/>
    <w:semiHidden/>
    <w:unhideWhenUsed/>
    <w:rsid w:val="00CE677C"/>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E677C"/>
    <w:rPr>
      <w:rFonts w:ascii="Tahoma" w:hAnsi="Tahoma" w:cs="Tahoma"/>
      <w:sz w:val="16"/>
      <w:szCs w:val="16"/>
    </w:rPr>
  </w:style>
  <w:style w:type="paragraph" w:styleId="a6">
    <w:name w:val="footnote text"/>
    <w:basedOn w:val="a"/>
    <w:link w:val="a7"/>
    <w:uiPriority w:val="99"/>
    <w:semiHidden/>
    <w:unhideWhenUsed/>
    <w:rsid w:val="00EC0344"/>
    <w:pPr>
      <w:spacing w:after="0" w:line="240" w:lineRule="auto"/>
    </w:pPr>
    <w:rPr>
      <w:sz w:val="20"/>
      <w:szCs w:val="20"/>
    </w:rPr>
  </w:style>
  <w:style w:type="character" w:customStyle="1" w:styleId="a7">
    <w:name w:val="טקסט הערת שוליים תו"/>
    <w:basedOn w:val="a0"/>
    <w:link w:val="a6"/>
    <w:uiPriority w:val="99"/>
    <w:semiHidden/>
    <w:rsid w:val="00EC0344"/>
    <w:rPr>
      <w:sz w:val="20"/>
      <w:szCs w:val="20"/>
    </w:rPr>
  </w:style>
  <w:style w:type="character" w:styleId="a8">
    <w:name w:val="footnote reference"/>
    <w:basedOn w:val="a0"/>
    <w:uiPriority w:val="99"/>
    <w:semiHidden/>
    <w:unhideWhenUsed/>
    <w:rsid w:val="00EC0344"/>
    <w:rPr>
      <w:vertAlign w:val="superscript"/>
    </w:rPr>
  </w:style>
  <w:style w:type="character" w:styleId="a9">
    <w:name w:val="annotation reference"/>
    <w:basedOn w:val="a0"/>
    <w:uiPriority w:val="99"/>
    <w:semiHidden/>
    <w:unhideWhenUsed/>
    <w:rsid w:val="00214319"/>
    <w:rPr>
      <w:sz w:val="16"/>
      <w:szCs w:val="16"/>
    </w:rPr>
  </w:style>
  <w:style w:type="paragraph" w:styleId="aa">
    <w:name w:val="annotation text"/>
    <w:basedOn w:val="a"/>
    <w:link w:val="ab"/>
    <w:uiPriority w:val="99"/>
    <w:semiHidden/>
    <w:unhideWhenUsed/>
    <w:rsid w:val="00214319"/>
    <w:pPr>
      <w:spacing w:line="240" w:lineRule="auto"/>
    </w:pPr>
    <w:rPr>
      <w:sz w:val="20"/>
      <w:szCs w:val="20"/>
    </w:rPr>
  </w:style>
  <w:style w:type="character" w:customStyle="1" w:styleId="ab">
    <w:name w:val="טקסט הערה תו"/>
    <w:basedOn w:val="a0"/>
    <w:link w:val="aa"/>
    <w:uiPriority w:val="99"/>
    <w:semiHidden/>
    <w:rsid w:val="00214319"/>
    <w:rPr>
      <w:sz w:val="20"/>
      <w:szCs w:val="20"/>
    </w:rPr>
  </w:style>
  <w:style w:type="paragraph" w:styleId="ac">
    <w:name w:val="annotation subject"/>
    <w:basedOn w:val="aa"/>
    <w:next w:val="aa"/>
    <w:link w:val="ad"/>
    <w:uiPriority w:val="99"/>
    <w:semiHidden/>
    <w:unhideWhenUsed/>
    <w:rsid w:val="00214319"/>
    <w:rPr>
      <w:b/>
      <w:bCs/>
    </w:rPr>
  </w:style>
  <w:style w:type="character" w:customStyle="1" w:styleId="ad">
    <w:name w:val="נושא הערה תו"/>
    <w:basedOn w:val="ab"/>
    <w:link w:val="ac"/>
    <w:uiPriority w:val="99"/>
    <w:semiHidden/>
    <w:rsid w:val="00214319"/>
    <w:rPr>
      <w:b/>
      <w:bCs/>
      <w:sz w:val="20"/>
      <w:szCs w:val="20"/>
    </w:rPr>
  </w:style>
  <w:style w:type="paragraph" w:styleId="ae">
    <w:name w:val="Revision"/>
    <w:hidden/>
    <w:uiPriority w:val="99"/>
    <w:semiHidden/>
    <w:rsid w:val="00214319"/>
    <w:pPr>
      <w:spacing w:after="0" w:line="240" w:lineRule="auto"/>
    </w:pPr>
  </w:style>
  <w:style w:type="paragraph" w:styleId="af">
    <w:name w:val="header"/>
    <w:basedOn w:val="a"/>
    <w:link w:val="af0"/>
    <w:uiPriority w:val="99"/>
    <w:unhideWhenUsed/>
    <w:rsid w:val="00DE3ED1"/>
    <w:pPr>
      <w:tabs>
        <w:tab w:val="center" w:pos="4153"/>
        <w:tab w:val="right" w:pos="8306"/>
      </w:tabs>
      <w:spacing w:after="0" w:line="240" w:lineRule="auto"/>
    </w:pPr>
  </w:style>
  <w:style w:type="character" w:customStyle="1" w:styleId="af0">
    <w:name w:val="כותרת עליונה תו"/>
    <w:basedOn w:val="a0"/>
    <w:link w:val="af"/>
    <w:uiPriority w:val="99"/>
    <w:rsid w:val="00DE3ED1"/>
  </w:style>
  <w:style w:type="paragraph" w:styleId="af1">
    <w:name w:val="footer"/>
    <w:basedOn w:val="a"/>
    <w:link w:val="af2"/>
    <w:uiPriority w:val="99"/>
    <w:unhideWhenUsed/>
    <w:rsid w:val="00DE3ED1"/>
    <w:pPr>
      <w:tabs>
        <w:tab w:val="center" w:pos="4153"/>
        <w:tab w:val="right" w:pos="8306"/>
      </w:tabs>
      <w:spacing w:after="0" w:line="240" w:lineRule="auto"/>
    </w:pPr>
  </w:style>
  <w:style w:type="character" w:customStyle="1" w:styleId="af2">
    <w:name w:val="כותרת תחתונה תו"/>
    <w:basedOn w:val="a0"/>
    <w:link w:val="af1"/>
    <w:uiPriority w:val="99"/>
    <w:rsid w:val="00DE3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77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77C"/>
    <w:pPr>
      <w:ind w:left="720"/>
      <w:contextualSpacing/>
    </w:pPr>
  </w:style>
  <w:style w:type="paragraph" w:styleId="a4">
    <w:name w:val="Balloon Text"/>
    <w:basedOn w:val="a"/>
    <w:link w:val="a5"/>
    <w:uiPriority w:val="99"/>
    <w:semiHidden/>
    <w:unhideWhenUsed/>
    <w:rsid w:val="00CE677C"/>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E677C"/>
    <w:rPr>
      <w:rFonts w:ascii="Tahoma" w:hAnsi="Tahoma" w:cs="Tahoma"/>
      <w:sz w:val="16"/>
      <w:szCs w:val="16"/>
    </w:rPr>
  </w:style>
  <w:style w:type="paragraph" w:styleId="a6">
    <w:name w:val="footnote text"/>
    <w:basedOn w:val="a"/>
    <w:link w:val="a7"/>
    <w:uiPriority w:val="99"/>
    <w:semiHidden/>
    <w:unhideWhenUsed/>
    <w:rsid w:val="00EC0344"/>
    <w:pPr>
      <w:spacing w:after="0" w:line="240" w:lineRule="auto"/>
    </w:pPr>
    <w:rPr>
      <w:sz w:val="20"/>
      <w:szCs w:val="20"/>
    </w:rPr>
  </w:style>
  <w:style w:type="character" w:customStyle="1" w:styleId="a7">
    <w:name w:val="טקסט הערת שוליים תו"/>
    <w:basedOn w:val="a0"/>
    <w:link w:val="a6"/>
    <w:uiPriority w:val="99"/>
    <w:semiHidden/>
    <w:rsid w:val="00EC0344"/>
    <w:rPr>
      <w:sz w:val="20"/>
      <w:szCs w:val="20"/>
    </w:rPr>
  </w:style>
  <w:style w:type="character" w:styleId="a8">
    <w:name w:val="footnote reference"/>
    <w:basedOn w:val="a0"/>
    <w:uiPriority w:val="99"/>
    <w:semiHidden/>
    <w:unhideWhenUsed/>
    <w:rsid w:val="00EC0344"/>
    <w:rPr>
      <w:vertAlign w:val="superscript"/>
    </w:rPr>
  </w:style>
  <w:style w:type="character" w:styleId="a9">
    <w:name w:val="annotation reference"/>
    <w:basedOn w:val="a0"/>
    <w:uiPriority w:val="99"/>
    <w:semiHidden/>
    <w:unhideWhenUsed/>
    <w:rsid w:val="00214319"/>
    <w:rPr>
      <w:sz w:val="16"/>
      <w:szCs w:val="16"/>
    </w:rPr>
  </w:style>
  <w:style w:type="paragraph" w:styleId="aa">
    <w:name w:val="annotation text"/>
    <w:basedOn w:val="a"/>
    <w:link w:val="ab"/>
    <w:uiPriority w:val="99"/>
    <w:semiHidden/>
    <w:unhideWhenUsed/>
    <w:rsid w:val="00214319"/>
    <w:pPr>
      <w:spacing w:line="240" w:lineRule="auto"/>
    </w:pPr>
    <w:rPr>
      <w:sz w:val="20"/>
      <w:szCs w:val="20"/>
    </w:rPr>
  </w:style>
  <w:style w:type="character" w:customStyle="1" w:styleId="ab">
    <w:name w:val="טקסט הערה תו"/>
    <w:basedOn w:val="a0"/>
    <w:link w:val="aa"/>
    <w:uiPriority w:val="99"/>
    <w:semiHidden/>
    <w:rsid w:val="00214319"/>
    <w:rPr>
      <w:sz w:val="20"/>
      <w:szCs w:val="20"/>
    </w:rPr>
  </w:style>
  <w:style w:type="paragraph" w:styleId="ac">
    <w:name w:val="annotation subject"/>
    <w:basedOn w:val="aa"/>
    <w:next w:val="aa"/>
    <w:link w:val="ad"/>
    <w:uiPriority w:val="99"/>
    <w:semiHidden/>
    <w:unhideWhenUsed/>
    <w:rsid w:val="00214319"/>
    <w:rPr>
      <w:b/>
      <w:bCs/>
    </w:rPr>
  </w:style>
  <w:style w:type="character" w:customStyle="1" w:styleId="ad">
    <w:name w:val="נושא הערה תו"/>
    <w:basedOn w:val="ab"/>
    <w:link w:val="ac"/>
    <w:uiPriority w:val="99"/>
    <w:semiHidden/>
    <w:rsid w:val="00214319"/>
    <w:rPr>
      <w:b/>
      <w:bCs/>
      <w:sz w:val="20"/>
      <w:szCs w:val="20"/>
    </w:rPr>
  </w:style>
  <w:style w:type="paragraph" w:styleId="ae">
    <w:name w:val="Revision"/>
    <w:hidden/>
    <w:uiPriority w:val="99"/>
    <w:semiHidden/>
    <w:rsid w:val="00214319"/>
    <w:pPr>
      <w:spacing w:after="0" w:line="240" w:lineRule="auto"/>
    </w:pPr>
  </w:style>
  <w:style w:type="paragraph" w:styleId="af">
    <w:name w:val="header"/>
    <w:basedOn w:val="a"/>
    <w:link w:val="af0"/>
    <w:uiPriority w:val="99"/>
    <w:unhideWhenUsed/>
    <w:rsid w:val="00DE3ED1"/>
    <w:pPr>
      <w:tabs>
        <w:tab w:val="center" w:pos="4153"/>
        <w:tab w:val="right" w:pos="8306"/>
      </w:tabs>
      <w:spacing w:after="0" w:line="240" w:lineRule="auto"/>
    </w:pPr>
  </w:style>
  <w:style w:type="character" w:customStyle="1" w:styleId="af0">
    <w:name w:val="כותרת עליונה תו"/>
    <w:basedOn w:val="a0"/>
    <w:link w:val="af"/>
    <w:uiPriority w:val="99"/>
    <w:rsid w:val="00DE3ED1"/>
  </w:style>
  <w:style w:type="paragraph" w:styleId="af1">
    <w:name w:val="footer"/>
    <w:basedOn w:val="a"/>
    <w:link w:val="af2"/>
    <w:uiPriority w:val="99"/>
    <w:unhideWhenUsed/>
    <w:rsid w:val="00DE3ED1"/>
    <w:pPr>
      <w:tabs>
        <w:tab w:val="center" w:pos="4153"/>
        <w:tab w:val="right" w:pos="8306"/>
      </w:tabs>
      <w:spacing w:after="0" w:line="240" w:lineRule="auto"/>
    </w:pPr>
  </w:style>
  <w:style w:type="character" w:customStyle="1" w:styleId="af2">
    <w:name w:val="כותרת תחתונה תו"/>
    <w:basedOn w:val="a0"/>
    <w:link w:val="af1"/>
    <w:uiPriority w:val="99"/>
    <w:rsid w:val="00DE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387\AppData\Local\Microsoft\Windows\Temporary%20Internet%20Files\Content.Outlook\O2T483SL\main_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387\AppData\Local\Microsoft\Windows\Temporary%20Internet%20Files\Content.Outlook\O2T483SL\main_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387\AppData\Local\Microsoft\Windows\Temporary%20Internet%20Files\Content.Outlook\O2T483SL\main_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17398895215229"/>
          <c:y val="8.7256656509356142E-2"/>
          <c:w val="0.78733333333333333"/>
          <c:h val="0.79699062498927242"/>
        </c:manualLayout>
      </c:layout>
      <c:lineChart>
        <c:grouping val="standard"/>
        <c:varyColors val="0"/>
        <c:ser>
          <c:idx val="0"/>
          <c:order val="0"/>
          <c:tx>
            <c:strRef>
              <c:f>stats!$A$35</c:f>
              <c:strCache>
                <c:ptCount val="1"/>
                <c:pt idx="0">
                  <c:v>שיעור רוכשי דירה ראשונה</c:v>
                </c:pt>
              </c:strCache>
            </c:strRef>
          </c:tx>
          <c:marker>
            <c:symbol val="none"/>
          </c:marker>
          <c:cat>
            <c:numRef>
              <c:f>stats!$B$34:$K$34</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stats!$B$35:$K$35</c:f>
              <c:numCache>
                <c:formatCode>General</c:formatCode>
                <c:ptCount val="10"/>
                <c:pt idx="0">
                  <c:v>1.9758817867859366</c:v>
                </c:pt>
                <c:pt idx="1">
                  <c:v>1.9148275925013236</c:v>
                </c:pt>
                <c:pt idx="2">
                  <c:v>2.1611996578391497</c:v>
                </c:pt>
                <c:pt idx="3">
                  <c:v>2.3633527736335278</c:v>
                </c:pt>
                <c:pt idx="4">
                  <c:v>2.0887858207719066</c:v>
                </c:pt>
                <c:pt idx="5">
                  <c:v>3.2104212968220232</c:v>
                </c:pt>
                <c:pt idx="6">
                  <c:v>3.5832245798894742</c:v>
                </c:pt>
                <c:pt idx="7">
                  <c:v>2.8037830337634166</c:v>
                </c:pt>
                <c:pt idx="8">
                  <c:v>4.0281500289964107</c:v>
                </c:pt>
                <c:pt idx="9">
                  <c:v>3.8961448174814484</c:v>
                </c:pt>
              </c:numCache>
            </c:numRef>
          </c:val>
          <c:smooth val="0"/>
        </c:ser>
        <c:dLbls>
          <c:showLegendKey val="0"/>
          <c:showVal val="0"/>
          <c:showCatName val="0"/>
          <c:showSerName val="0"/>
          <c:showPercent val="0"/>
          <c:showBubbleSize val="0"/>
        </c:dLbls>
        <c:marker val="1"/>
        <c:smooth val="0"/>
        <c:axId val="57370880"/>
        <c:axId val="67574784"/>
      </c:lineChart>
      <c:catAx>
        <c:axId val="57370880"/>
        <c:scaling>
          <c:orientation val="minMax"/>
        </c:scaling>
        <c:delete val="0"/>
        <c:axPos val="b"/>
        <c:numFmt formatCode="General" sourceLinked="1"/>
        <c:majorTickMark val="none"/>
        <c:minorTickMark val="none"/>
        <c:tickLblPos val="nextTo"/>
        <c:txPr>
          <a:bodyPr/>
          <a:lstStyle/>
          <a:p>
            <a:pPr>
              <a:defRPr sz="1100"/>
            </a:pPr>
            <a:endParaRPr lang="he-IL"/>
          </a:p>
        </c:txPr>
        <c:crossAx val="67574784"/>
        <c:crosses val="autoZero"/>
        <c:auto val="1"/>
        <c:lblAlgn val="ctr"/>
        <c:lblOffset val="100"/>
        <c:noMultiLvlLbl val="0"/>
      </c:catAx>
      <c:valAx>
        <c:axId val="67574784"/>
        <c:scaling>
          <c:orientation val="minMax"/>
        </c:scaling>
        <c:delete val="0"/>
        <c:axPos val="l"/>
        <c:majorGridlines/>
        <c:title>
          <c:tx>
            <c:rich>
              <a:bodyPr rot="0" vert="horz"/>
              <a:lstStyle/>
              <a:p>
                <a:pPr>
                  <a:defRPr/>
                </a:pPr>
                <a:r>
                  <a:rPr lang="he-IL"/>
                  <a:t>אחוזים</a:t>
                </a:r>
                <a:r>
                  <a:rPr lang="he-IL" baseline="0"/>
                  <a:t> </a:t>
                </a:r>
                <a:endParaRPr lang="he-IL"/>
              </a:p>
            </c:rich>
          </c:tx>
          <c:layout>
            <c:manualLayout>
              <c:xMode val="edge"/>
              <c:yMode val="edge"/>
              <c:x val="2.6451053587245019E-2"/>
              <c:y val="1.6872559127333313E-2"/>
            </c:manualLayout>
          </c:layout>
          <c:overlay val="0"/>
        </c:title>
        <c:numFmt formatCode="#,##0.0" sourceLinked="0"/>
        <c:majorTickMark val="none"/>
        <c:minorTickMark val="none"/>
        <c:tickLblPos val="nextTo"/>
        <c:spPr>
          <a:ln w="9525">
            <a:noFill/>
          </a:ln>
        </c:spPr>
        <c:txPr>
          <a:bodyPr/>
          <a:lstStyle/>
          <a:p>
            <a:pPr>
              <a:defRPr sz="1200"/>
            </a:pPr>
            <a:endParaRPr lang="he-IL"/>
          </a:p>
        </c:txPr>
        <c:crossAx val="57370880"/>
        <c:crosses val="autoZero"/>
        <c:crossBetween val="between"/>
      </c:valAx>
    </c:plotArea>
    <c:plotVisOnly val="1"/>
    <c:dispBlanksAs val="gap"/>
    <c:showDLblsOverMax val="0"/>
  </c:chart>
  <c:txPr>
    <a:bodyPr/>
    <a:lstStyle/>
    <a:p>
      <a:pPr>
        <a:defRPr>
          <a:latin typeface="David" pitchFamily="34" charset="-79"/>
          <a:cs typeface="David" pitchFamily="34" charset="-79"/>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466498465743535E-2"/>
          <c:y val="8.1470019838681795E-2"/>
          <c:w val="0.93951453807710394"/>
          <c:h val="0.76226543561539728"/>
        </c:manualLayout>
      </c:layout>
      <c:lineChart>
        <c:grouping val="standard"/>
        <c:varyColors val="0"/>
        <c:ser>
          <c:idx val="0"/>
          <c:order val="0"/>
          <c:tx>
            <c:strRef>
              <c:f>margins!$J$5</c:f>
              <c:strCache>
                <c:ptCount val="1"/>
                <c:pt idx="0">
                  <c:v>חמישון 1</c:v>
                </c:pt>
              </c:strCache>
            </c:strRef>
          </c:tx>
          <c:marker>
            <c:symbol val="none"/>
          </c:marker>
          <c:cat>
            <c:numRef>
              <c:f>margins!$I$6:$I$15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margins!$J$6:$J$15</c:f>
              <c:numCache>
                <c:formatCode>0.00</c:formatCode>
                <c:ptCount val="10"/>
                <c:pt idx="0">
                  <c:v>1.0453999999999999</c:v>
                </c:pt>
                <c:pt idx="1">
                  <c:v>0.89136000000000004</c:v>
                </c:pt>
                <c:pt idx="2">
                  <c:v>0.80470000000000008</c:v>
                </c:pt>
                <c:pt idx="3">
                  <c:v>1.05874</c:v>
                </c:pt>
                <c:pt idx="4">
                  <c:v>1.0056700000000001</c:v>
                </c:pt>
                <c:pt idx="5">
                  <c:v>1.3570599999999999</c:v>
                </c:pt>
                <c:pt idx="6">
                  <c:v>1.5685999999999998</c:v>
                </c:pt>
                <c:pt idx="7">
                  <c:v>1.3446800000000001</c:v>
                </c:pt>
                <c:pt idx="8">
                  <c:v>1.6836199999999999</c:v>
                </c:pt>
                <c:pt idx="9">
                  <c:v>1.9439499999999998</c:v>
                </c:pt>
              </c:numCache>
            </c:numRef>
          </c:val>
          <c:smooth val="0"/>
        </c:ser>
        <c:ser>
          <c:idx val="1"/>
          <c:order val="1"/>
          <c:tx>
            <c:strRef>
              <c:f>margins!$K$5</c:f>
              <c:strCache>
                <c:ptCount val="1"/>
                <c:pt idx="0">
                  <c:v>חמישון 2</c:v>
                </c:pt>
              </c:strCache>
            </c:strRef>
          </c:tx>
          <c:marker>
            <c:symbol val="none"/>
          </c:marker>
          <c:cat>
            <c:numRef>
              <c:f>margins!$I$6:$I$15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margins!$K$6:$K$15</c:f>
              <c:numCache>
                <c:formatCode>0.00</c:formatCode>
                <c:ptCount val="10"/>
                <c:pt idx="0">
                  <c:v>1.08907</c:v>
                </c:pt>
                <c:pt idx="1">
                  <c:v>1.0872700000000002</c:v>
                </c:pt>
                <c:pt idx="2">
                  <c:v>1.15368</c:v>
                </c:pt>
                <c:pt idx="3">
                  <c:v>1.3635299999999999</c:v>
                </c:pt>
                <c:pt idx="4">
                  <c:v>1.24258</c:v>
                </c:pt>
                <c:pt idx="5">
                  <c:v>1.5569599999999999</c:v>
                </c:pt>
                <c:pt idx="6">
                  <c:v>2.1033300000000001</c:v>
                </c:pt>
                <c:pt idx="7">
                  <c:v>1.3226200000000001</c:v>
                </c:pt>
                <c:pt idx="8">
                  <c:v>2.25847</c:v>
                </c:pt>
                <c:pt idx="9">
                  <c:v>1.9598500000000001</c:v>
                </c:pt>
              </c:numCache>
            </c:numRef>
          </c:val>
          <c:smooth val="0"/>
        </c:ser>
        <c:ser>
          <c:idx val="2"/>
          <c:order val="2"/>
          <c:tx>
            <c:strRef>
              <c:f>margins!$L$5</c:f>
              <c:strCache>
                <c:ptCount val="1"/>
                <c:pt idx="0">
                  <c:v>חמישון 3</c:v>
                </c:pt>
              </c:strCache>
            </c:strRef>
          </c:tx>
          <c:marker>
            <c:symbol val="none"/>
          </c:marker>
          <c:cat>
            <c:numRef>
              <c:f>margins!$I$6:$I$15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margins!$L$6:$L$15</c:f>
              <c:numCache>
                <c:formatCode>0.00</c:formatCode>
                <c:ptCount val="10"/>
                <c:pt idx="0">
                  <c:v>1.49064</c:v>
                </c:pt>
                <c:pt idx="1">
                  <c:v>1.5585</c:v>
                </c:pt>
                <c:pt idx="2">
                  <c:v>1.52919</c:v>
                </c:pt>
                <c:pt idx="3">
                  <c:v>1.53505</c:v>
                </c:pt>
                <c:pt idx="4">
                  <c:v>1.5783599999999998</c:v>
                </c:pt>
                <c:pt idx="5">
                  <c:v>2.3653899999999997</c:v>
                </c:pt>
                <c:pt idx="6">
                  <c:v>2.4333499999999999</c:v>
                </c:pt>
                <c:pt idx="7">
                  <c:v>1.9248999999999998</c:v>
                </c:pt>
                <c:pt idx="8">
                  <c:v>2.7148099999999999</c:v>
                </c:pt>
                <c:pt idx="9">
                  <c:v>2.3679700000000001</c:v>
                </c:pt>
              </c:numCache>
            </c:numRef>
          </c:val>
          <c:smooth val="0"/>
        </c:ser>
        <c:ser>
          <c:idx val="3"/>
          <c:order val="3"/>
          <c:tx>
            <c:strRef>
              <c:f>margins!$M$5</c:f>
              <c:strCache>
                <c:ptCount val="1"/>
                <c:pt idx="0">
                  <c:v>חמישון 4</c:v>
                </c:pt>
              </c:strCache>
            </c:strRef>
          </c:tx>
          <c:marker>
            <c:symbol val="none"/>
          </c:marker>
          <c:cat>
            <c:numRef>
              <c:f>margins!$I$6:$I$15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margins!$M$6:$M$15</c:f>
              <c:numCache>
                <c:formatCode>0.00</c:formatCode>
                <c:ptCount val="10"/>
                <c:pt idx="0">
                  <c:v>1.9943200000000001</c:v>
                </c:pt>
                <c:pt idx="1">
                  <c:v>1.9890300000000001</c:v>
                </c:pt>
                <c:pt idx="2">
                  <c:v>2.58331</c:v>
                </c:pt>
                <c:pt idx="3">
                  <c:v>2.6343399999999999</c:v>
                </c:pt>
                <c:pt idx="4">
                  <c:v>2.1273299999999997</c:v>
                </c:pt>
                <c:pt idx="5">
                  <c:v>3.3566799999999999</c:v>
                </c:pt>
                <c:pt idx="6">
                  <c:v>3.6569499999999997</c:v>
                </c:pt>
                <c:pt idx="7">
                  <c:v>2.9453</c:v>
                </c:pt>
                <c:pt idx="8">
                  <c:v>4.0457700000000001</c:v>
                </c:pt>
                <c:pt idx="9">
                  <c:v>4.0865400000000003</c:v>
                </c:pt>
              </c:numCache>
            </c:numRef>
          </c:val>
          <c:smooth val="0"/>
        </c:ser>
        <c:ser>
          <c:idx val="4"/>
          <c:order val="4"/>
          <c:tx>
            <c:strRef>
              <c:f>margins!$N$5</c:f>
              <c:strCache>
                <c:ptCount val="1"/>
                <c:pt idx="0">
                  <c:v>חמישון 5</c:v>
                </c:pt>
              </c:strCache>
            </c:strRef>
          </c:tx>
          <c:marker>
            <c:symbol val="none"/>
          </c:marker>
          <c:cat>
            <c:numRef>
              <c:f>margins!$I$6:$I$15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margins!$N$6:$N$15</c:f>
              <c:numCache>
                <c:formatCode>0.00</c:formatCode>
                <c:ptCount val="10"/>
                <c:pt idx="0">
                  <c:v>3.3525</c:v>
                </c:pt>
                <c:pt idx="1">
                  <c:v>3.1832500000000001</c:v>
                </c:pt>
                <c:pt idx="2">
                  <c:v>3.9923300000000004</c:v>
                </c:pt>
                <c:pt idx="3">
                  <c:v>4.3018299999999998</c:v>
                </c:pt>
                <c:pt idx="4">
                  <c:v>3.79793</c:v>
                </c:pt>
                <c:pt idx="5">
                  <c:v>5.9825200000000001</c:v>
                </c:pt>
                <c:pt idx="6">
                  <c:v>6.5897899999999998</c:v>
                </c:pt>
                <c:pt idx="7">
                  <c:v>5.0225400000000002</c:v>
                </c:pt>
                <c:pt idx="8">
                  <c:v>7.4676800000000005</c:v>
                </c:pt>
                <c:pt idx="9">
                  <c:v>7.0858000000000008</c:v>
                </c:pt>
              </c:numCache>
            </c:numRef>
          </c:val>
          <c:smooth val="0"/>
        </c:ser>
        <c:ser>
          <c:idx val="5"/>
          <c:order val="5"/>
          <c:tx>
            <c:strRef>
              <c:f>margins!$H$5</c:f>
              <c:strCache>
                <c:ptCount val="1"/>
              </c:strCache>
            </c:strRef>
          </c:tx>
          <c:spPr>
            <a:ln>
              <a:solidFill>
                <a:schemeClr val="tx1"/>
              </a:solidFill>
              <a:prstDash val="sysDash"/>
            </a:ln>
          </c:spPr>
          <c:marker>
            <c:symbol val="none"/>
          </c:marker>
          <c:cat>
            <c:numRef>
              <c:f>margins!$I$6:$I$15</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margins!$H$6:$H$13</c:f>
              <c:numCache>
                <c:formatCode>General</c:formatCode>
                <c:ptCount val="8"/>
              </c:numCache>
            </c:numRef>
          </c:val>
          <c:smooth val="0"/>
        </c:ser>
        <c:dLbls>
          <c:showLegendKey val="0"/>
          <c:showVal val="0"/>
          <c:showCatName val="0"/>
          <c:showSerName val="0"/>
          <c:showPercent val="0"/>
          <c:showBubbleSize val="0"/>
        </c:dLbls>
        <c:marker val="1"/>
        <c:smooth val="0"/>
        <c:axId val="103611776"/>
        <c:axId val="117511296"/>
      </c:lineChart>
      <c:catAx>
        <c:axId val="103611776"/>
        <c:scaling>
          <c:orientation val="minMax"/>
        </c:scaling>
        <c:delete val="0"/>
        <c:axPos val="b"/>
        <c:numFmt formatCode="General" sourceLinked="1"/>
        <c:majorTickMark val="none"/>
        <c:minorTickMark val="none"/>
        <c:tickLblPos val="nextTo"/>
        <c:crossAx val="117511296"/>
        <c:crosses val="autoZero"/>
        <c:auto val="1"/>
        <c:lblAlgn val="ctr"/>
        <c:lblOffset val="100"/>
        <c:noMultiLvlLbl val="0"/>
      </c:catAx>
      <c:valAx>
        <c:axId val="117511296"/>
        <c:scaling>
          <c:orientation val="minMax"/>
        </c:scaling>
        <c:delete val="0"/>
        <c:axPos val="l"/>
        <c:majorGridlines/>
        <c:title>
          <c:tx>
            <c:rich>
              <a:bodyPr rot="0" vert="horz"/>
              <a:lstStyle/>
              <a:p>
                <a:pPr>
                  <a:defRPr/>
                </a:pPr>
                <a:r>
                  <a:rPr lang="he-IL" sz="1050"/>
                  <a:t>אחוזים </a:t>
                </a:r>
                <a:endParaRPr lang="en-US" sz="1050"/>
              </a:p>
            </c:rich>
          </c:tx>
          <c:layout>
            <c:manualLayout>
              <c:xMode val="edge"/>
              <c:yMode val="edge"/>
              <c:x val="1.4539564161888561E-3"/>
              <c:y val="1.5026338637828367E-2"/>
            </c:manualLayout>
          </c:layout>
          <c:overlay val="0"/>
        </c:title>
        <c:numFmt formatCode="#,##0" sourceLinked="0"/>
        <c:majorTickMark val="none"/>
        <c:minorTickMark val="none"/>
        <c:tickLblPos val="nextTo"/>
        <c:spPr>
          <a:ln w="9525">
            <a:noFill/>
          </a:ln>
        </c:spPr>
        <c:txPr>
          <a:bodyPr/>
          <a:lstStyle/>
          <a:p>
            <a:pPr>
              <a:defRPr sz="1050"/>
            </a:pPr>
            <a:endParaRPr lang="he-IL"/>
          </a:p>
        </c:txPr>
        <c:crossAx val="103611776"/>
        <c:crosses val="autoZero"/>
        <c:crossBetween val="between"/>
        <c:majorUnit val="1"/>
      </c:valAx>
    </c:plotArea>
    <c:legend>
      <c:legendPos val="b"/>
      <c:legendEntry>
        <c:idx val="5"/>
        <c:delete val="1"/>
      </c:legendEntry>
      <c:layout>
        <c:manualLayout>
          <c:xMode val="edge"/>
          <c:yMode val="edge"/>
          <c:x val="7.6849544241820708E-2"/>
          <c:y val="0.94083925223632758"/>
          <c:w val="0.8463862826912556"/>
          <c:h val="5.0455146285244987E-2"/>
        </c:manualLayout>
      </c:layout>
      <c:overlay val="0"/>
    </c:legend>
    <c:plotVisOnly val="1"/>
    <c:dispBlanksAs val="gap"/>
    <c:showDLblsOverMax val="0"/>
  </c:chart>
  <c:txPr>
    <a:bodyPr/>
    <a:lstStyle/>
    <a:p>
      <a:pPr>
        <a:defRPr>
          <a:latin typeface="David" panose="020E0502060401010101" pitchFamily="34" charset="-79"/>
          <a:cs typeface="David" panose="020E0502060401010101" pitchFamily="34" charset="-79"/>
        </a:defRPr>
      </a:pPr>
      <a:endParaRPr lang="he-I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695919891712761E-2"/>
          <c:y val="6.2463419269937849E-2"/>
          <c:w val="0.83868197268807421"/>
          <c:h val="0.80969164785291026"/>
        </c:manualLayout>
      </c:layout>
      <c:barChart>
        <c:barDir val="col"/>
        <c:grouping val="clustered"/>
        <c:varyColors val="0"/>
        <c:ser>
          <c:idx val="0"/>
          <c:order val="0"/>
          <c:tx>
            <c:strRef>
              <c:f>'cumulative prob'!$B$88</c:f>
              <c:strCache>
                <c:ptCount val="1"/>
                <c:pt idx="0">
                  <c:v>חמישון 1</c:v>
                </c:pt>
              </c:strCache>
            </c:strRef>
          </c:tx>
          <c:spPr>
            <a:ln w="28575">
              <a:noFill/>
            </a:ln>
          </c:spPr>
          <c:invertIfNegative val="0"/>
          <c:dLbls>
            <c:numFmt formatCode="#,##0" sourceLinked="0"/>
            <c:showLegendKey val="0"/>
            <c:showVal val="1"/>
            <c:showCatName val="0"/>
            <c:showSerName val="0"/>
            <c:showPercent val="0"/>
            <c:showBubbleSize val="0"/>
            <c:showLeaderLines val="0"/>
          </c:dLbls>
          <c:cat>
            <c:numRef>
              <c:f>'cumulative prob'!$A$100:$A$102</c:f>
              <c:numCache>
                <c:formatCode>General</c:formatCode>
                <c:ptCount val="3"/>
                <c:pt idx="0">
                  <c:v>2007</c:v>
                </c:pt>
                <c:pt idx="1">
                  <c:v>2011</c:v>
                </c:pt>
                <c:pt idx="2">
                  <c:v>2016</c:v>
                </c:pt>
              </c:numCache>
            </c:numRef>
          </c:cat>
          <c:val>
            <c:numRef>
              <c:f>'cumulative prob'!$B$100:$B$102</c:f>
              <c:numCache>
                <c:formatCode>0.00</c:formatCode>
                <c:ptCount val="3"/>
                <c:pt idx="0">
                  <c:v>16.925268180889987</c:v>
                </c:pt>
                <c:pt idx="1">
                  <c:v>15.737432539436238</c:v>
                </c:pt>
                <c:pt idx="2">
                  <c:v>28.273207807137148</c:v>
                </c:pt>
              </c:numCache>
            </c:numRef>
          </c:val>
        </c:ser>
        <c:ser>
          <c:idx val="1"/>
          <c:order val="1"/>
          <c:tx>
            <c:strRef>
              <c:f>'cumulative prob'!$C$88</c:f>
              <c:strCache>
                <c:ptCount val="1"/>
                <c:pt idx="0">
                  <c:v>חמישון 3</c:v>
                </c:pt>
              </c:strCache>
            </c:strRef>
          </c:tx>
          <c:spPr>
            <a:ln w="28575">
              <a:noFill/>
            </a:ln>
          </c:spPr>
          <c:invertIfNegative val="0"/>
          <c:dLbls>
            <c:numFmt formatCode="#,##0" sourceLinked="0"/>
            <c:showLegendKey val="0"/>
            <c:showVal val="1"/>
            <c:showCatName val="0"/>
            <c:showSerName val="0"/>
            <c:showPercent val="0"/>
            <c:showBubbleSize val="0"/>
            <c:showLeaderLines val="0"/>
          </c:dLbls>
          <c:cat>
            <c:numRef>
              <c:f>'cumulative prob'!$A$100:$A$102</c:f>
              <c:numCache>
                <c:formatCode>General</c:formatCode>
                <c:ptCount val="3"/>
                <c:pt idx="0">
                  <c:v>2007</c:v>
                </c:pt>
                <c:pt idx="1">
                  <c:v>2011</c:v>
                </c:pt>
                <c:pt idx="2">
                  <c:v>2016</c:v>
                </c:pt>
              </c:numCache>
            </c:numRef>
          </c:cat>
          <c:val>
            <c:numRef>
              <c:f>'cumulative prob'!$C$100:$C$102</c:f>
              <c:numCache>
                <c:formatCode>0.00</c:formatCode>
                <c:ptCount val="3"/>
                <c:pt idx="0">
                  <c:v>23.279031555131265</c:v>
                </c:pt>
                <c:pt idx="1">
                  <c:v>23.631067039058994</c:v>
                </c:pt>
                <c:pt idx="2">
                  <c:v>33.348855388724807</c:v>
                </c:pt>
              </c:numCache>
            </c:numRef>
          </c:val>
        </c:ser>
        <c:ser>
          <c:idx val="2"/>
          <c:order val="2"/>
          <c:tx>
            <c:strRef>
              <c:f>'cumulative prob'!$D$88</c:f>
              <c:strCache>
                <c:ptCount val="1"/>
                <c:pt idx="0">
                  <c:v>חמישון 5</c:v>
                </c:pt>
              </c:strCache>
            </c:strRef>
          </c:tx>
          <c:spPr>
            <a:ln w="25400">
              <a:noFill/>
            </a:ln>
          </c:spPr>
          <c:invertIfNegative val="0"/>
          <c:dLbls>
            <c:numFmt formatCode="#,##0" sourceLinked="0"/>
            <c:showLegendKey val="0"/>
            <c:showVal val="1"/>
            <c:showCatName val="0"/>
            <c:showSerName val="0"/>
            <c:showPercent val="0"/>
            <c:showBubbleSize val="0"/>
            <c:showLeaderLines val="0"/>
          </c:dLbls>
          <c:cat>
            <c:numRef>
              <c:f>'cumulative prob'!$A$100:$A$102</c:f>
              <c:numCache>
                <c:formatCode>General</c:formatCode>
                <c:ptCount val="3"/>
                <c:pt idx="0">
                  <c:v>2007</c:v>
                </c:pt>
                <c:pt idx="1">
                  <c:v>2011</c:v>
                </c:pt>
                <c:pt idx="2">
                  <c:v>2016</c:v>
                </c:pt>
              </c:numCache>
            </c:numRef>
          </c:cat>
          <c:val>
            <c:numRef>
              <c:f>'cumulative prob'!$D$100:$D$102</c:f>
              <c:numCache>
                <c:formatCode>0.00</c:formatCode>
                <c:ptCount val="3"/>
                <c:pt idx="0">
                  <c:v>45.24165225882075</c:v>
                </c:pt>
                <c:pt idx="1">
                  <c:v>48.100088077342313</c:v>
                </c:pt>
                <c:pt idx="2">
                  <c:v>71.130608244153635</c:v>
                </c:pt>
              </c:numCache>
            </c:numRef>
          </c:val>
        </c:ser>
        <c:dLbls>
          <c:showLegendKey val="0"/>
          <c:showVal val="1"/>
          <c:showCatName val="0"/>
          <c:showSerName val="0"/>
          <c:showPercent val="0"/>
          <c:showBubbleSize val="0"/>
        </c:dLbls>
        <c:gapWidth val="75"/>
        <c:axId val="124331520"/>
        <c:axId val="124333440"/>
      </c:barChart>
      <c:catAx>
        <c:axId val="124331520"/>
        <c:scaling>
          <c:orientation val="minMax"/>
        </c:scaling>
        <c:delete val="0"/>
        <c:axPos val="b"/>
        <c:numFmt formatCode="General" sourceLinked="1"/>
        <c:majorTickMark val="none"/>
        <c:minorTickMark val="none"/>
        <c:tickLblPos val="nextTo"/>
        <c:crossAx val="124333440"/>
        <c:crosses val="autoZero"/>
        <c:auto val="1"/>
        <c:lblAlgn val="ctr"/>
        <c:lblOffset val="100"/>
        <c:noMultiLvlLbl val="0"/>
      </c:catAx>
      <c:valAx>
        <c:axId val="124333440"/>
        <c:scaling>
          <c:orientation val="minMax"/>
        </c:scaling>
        <c:delete val="0"/>
        <c:axPos val="l"/>
        <c:title>
          <c:tx>
            <c:rich>
              <a:bodyPr rot="0" vert="horz"/>
              <a:lstStyle/>
              <a:p>
                <a:pPr>
                  <a:defRPr/>
                </a:pPr>
                <a:r>
                  <a:rPr lang="he-IL"/>
                  <a:t>אחוזים</a:t>
                </a:r>
              </a:p>
            </c:rich>
          </c:tx>
          <c:layout>
            <c:manualLayout>
              <c:xMode val="edge"/>
              <c:yMode val="edge"/>
              <c:x val="4.2340895506873519E-2"/>
              <c:y val="4.9571328027357524E-4"/>
            </c:manualLayout>
          </c:layout>
          <c:overlay val="0"/>
        </c:title>
        <c:numFmt formatCode="0" sourceLinked="0"/>
        <c:majorTickMark val="none"/>
        <c:minorTickMark val="none"/>
        <c:tickLblPos val="nextTo"/>
        <c:txPr>
          <a:bodyPr/>
          <a:lstStyle/>
          <a:p>
            <a:pPr>
              <a:defRPr sz="1050"/>
            </a:pPr>
            <a:endParaRPr lang="he-IL"/>
          </a:p>
        </c:txPr>
        <c:crossAx val="124331520"/>
        <c:crosses val="autoZero"/>
        <c:crossBetween val="between"/>
      </c:valAx>
    </c:plotArea>
    <c:legend>
      <c:legendPos val="b"/>
      <c:layout>
        <c:manualLayout>
          <c:xMode val="edge"/>
          <c:yMode val="edge"/>
          <c:x val="0.2778172311682206"/>
          <c:y val="0.93348683819166067"/>
          <c:w val="0.36976685101937506"/>
          <c:h val="4.1727161080308474E-2"/>
        </c:manualLayout>
      </c:layout>
      <c:overlay val="0"/>
    </c:legend>
    <c:plotVisOnly val="1"/>
    <c:dispBlanksAs val="gap"/>
    <c:showDLblsOverMax val="0"/>
  </c:chart>
  <c:txPr>
    <a:bodyPr/>
    <a:lstStyle/>
    <a:p>
      <a:pPr>
        <a:defRPr>
          <a:latin typeface="David" pitchFamily="34" charset="-79"/>
          <a:cs typeface="David" pitchFamily="34" charset="-79"/>
        </a:defRPr>
      </a:pPr>
      <a:endParaRPr lang="he-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FE51582-42F7-4602-BEC2-B8B7226C9EE2}"/>
</file>

<file path=customXml/itemProps2.xml><?xml version="1.0" encoding="utf-8"?>
<ds:datastoreItem xmlns:ds="http://schemas.openxmlformats.org/officeDocument/2006/customXml" ds:itemID="{37805791-626D-4C7F-9736-79F646AECF21}"/>
</file>

<file path=customXml/itemProps3.xml><?xml version="1.0" encoding="utf-8"?>
<ds:datastoreItem xmlns:ds="http://schemas.openxmlformats.org/officeDocument/2006/customXml" ds:itemID="{9871D03E-6BFE-4AD6-BB01-CF9C73C50FEC}"/>
</file>

<file path=customXml/itemProps4.xml><?xml version="1.0" encoding="utf-8"?>
<ds:datastoreItem xmlns:ds="http://schemas.openxmlformats.org/officeDocument/2006/customXml" ds:itemID="{832F1F41-6778-4783-B3A6-C5B4D3B0E9FF}"/>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3299</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יואב פרידמן</dc:creator>
  <cp:lastModifiedBy>מיטל רפאלי</cp:lastModifiedBy>
  <cp:revision>3</cp:revision>
  <cp:lastPrinted>2019-02-04T14:34:00Z</cp:lastPrinted>
  <dcterms:created xsi:type="dcterms:W3CDTF">2019-02-26T09:10:00Z</dcterms:created>
  <dcterms:modified xsi:type="dcterms:W3CDTF">2019-02-26T09:14:00Z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