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F5" w:rsidRDefault="003571F5" w:rsidP="005758B8">
      <w:pPr>
        <w:bidi/>
        <w:spacing w:line="360" w:lineRule="auto"/>
        <w:ind w:left="-35" w:right="-101"/>
        <w:rPr>
          <w:rFonts w:cs="David"/>
          <w:rtl/>
        </w:rPr>
      </w:pPr>
    </w:p>
    <w:p w:rsidR="003571F5" w:rsidRDefault="003571F5" w:rsidP="003571F5">
      <w:pPr>
        <w:bidi/>
        <w:spacing w:line="360" w:lineRule="auto"/>
        <w:ind w:left="-35" w:right="-101"/>
        <w:rPr>
          <w:rFonts w:cs="David"/>
          <w:rtl/>
        </w:rPr>
      </w:pPr>
    </w:p>
    <w:tbl>
      <w:tblPr>
        <w:tblpPr w:leftFromText="180" w:rightFromText="180" w:vertAnchor="page" w:horzAnchor="margin" w:tblpXSpec="center" w:tblpY="1021"/>
        <w:bidiVisual/>
        <w:tblW w:w="9072" w:type="dxa"/>
        <w:tblLayout w:type="fixed"/>
        <w:tblLook w:val="0000" w:firstRow="0" w:lastRow="0" w:firstColumn="0" w:lastColumn="0" w:noHBand="0" w:noVBand="0"/>
      </w:tblPr>
      <w:tblGrid>
        <w:gridCol w:w="3392"/>
        <w:gridCol w:w="2596"/>
        <w:gridCol w:w="3084"/>
      </w:tblGrid>
      <w:tr w:rsidR="003571F5" w:rsidRPr="003571F5" w:rsidTr="00C001B3">
        <w:trPr>
          <w:cantSplit/>
        </w:trPr>
        <w:tc>
          <w:tcPr>
            <w:tcW w:w="3392" w:type="dxa"/>
            <w:tcBorders>
              <w:top w:val="nil"/>
              <w:left w:val="nil"/>
              <w:bottom w:val="nil"/>
              <w:right w:val="nil"/>
            </w:tcBorders>
            <w:vAlign w:val="center"/>
          </w:tcPr>
          <w:p w:rsidR="003571F5" w:rsidRPr="003571F5" w:rsidRDefault="003571F5" w:rsidP="003571F5">
            <w:pPr>
              <w:spacing w:line="360" w:lineRule="auto"/>
              <w:jc w:val="center"/>
              <w:rPr>
                <w:rFonts w:ascii="David" w:eastAsia="Calibri" w:hAnsi="David" w:cs="David"/>
                <w:b/>
                <w:bCs/>
              </w:rPr>
            </w:pPr>
            <w:r w:rsidRPr="003571F5">
              <w:rPr>
                <w:rFonts w:ascii="David" w:eastAsia="Calibri" w:hAnsi="David" w:cs="David"/>
                <w:b/>
                <w:bCs/>
                <w:rtl/>
              </w:rPr>
              <w:t>בנק ישראל</w:t>
            </w:r>
          </w:p>
          <w:p w:rsidR="003571F5" w:rsidRPr="003571F5" w:rsidRDefault="003571F5" w:rsidP="003571F5">
            <w:pPr>
              <w:spacing w:line="360" w:lineRule="auto"/>
              <w:ind w:right="-101"/>
              <w:jc w:val="center"/>
              <w:rPr>
                <w:rFonts w:ascii="David" w:eastAsia="Calibri" w:hAnsi="David" w:cs="David"/>
              </w:rPr>
            </w:pPr>
            <w:r w:rsidRPr="003571F5">
              <w:rPr>
                <w:rFonts w:ascii="David" w:eastAsia="Calibri" w:hAnsi="David" w:cs="David"/>
                <w:rtl/>
              </w:rPr>
              <w:t>דוברות והסברה כלכלית</w:t>
            </w:r>
          </w:p>
        </w:tc>
        <w:tc>
          <w:tcPr>
            <w:tcW w:w="2596" w:type="dxa"/>
            <w:tcBorders>
              <w:top w:val="nil"/>
              <w:left w:val="nil"/>
              <w:bottom w:val="nil"/>
              <w:right w:val="nil"/>
            </w:tcBorders>
          </w:tcPr>
          <w:p w:rsidR="003571F5" w:rsidRPr="003571F5" w:rsidRDefault="003571F5" w:rsidP="003571F5">
            <w:pPr>
              <w:jc w:val="center"/>
              <w:rPr>
                <w:rFonts w:ascii="David" w:eastAsia="Calibri" w:hAnsi="David" w:cs="David"/>
              </w:rPr>
            </w:pPr>
            <w:r w:rsidRPr="003571F5">
              <w:rPr>
                <w:rFonts w:eastAsia="Calibri"/>
                <w:noProof/>
              </w:rPr>
              <w:drawing>
                <wp:inline distT="0" distB="0" distL="0" distR="0" wp14:anchorId="099E76F9" wp14:editId="1F46DE57">
                  <wp:extent cx="1050925" cy="1050925"/>
                  <wp:effectExtent l="0" t="0" r="0" b="0"/>
                  <wp:docPr id="14" name="תמונה 14" descr="\\portals\DavWWWRoot\sites\boi\about\Mitug\DocList\Logo Bank of Israel 2 color\Logo Bank of Israel 2 color.jpg"/>
                  <wp:cNvGraphicFramePr/>
                  <a:graphic xmlns:a="http://schemas.openxmlformats.org/drawingml/2006/main">
                    <a:graphicData uri="http://schemas.openxmlformats.org/drawingml/2006/picture">
                      <pic:pic xmlns:pic="http://schemas.openxmlformats.org/drawingml/2006/picture">
                        <pic:nvPicPr>
                          <pic:cNvPr id="14" name="תמונה 14" descr="\\portals\DavWWWRoot\sites\boi\about\Mitug\DocList\Logo Bank of Israel 2 color\Logo Bank of Israel 2 color.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3571F5" w:rsidRPr="003571F5" w:rsidRDefault="003571F5" w:rsidP="003571F5">
            <w:pPr>
              <w:spacing w:line="480" w:lineRule="auto"/>
              <w:rPr>
                <w:rFonts w:ascii="David" w:eastAsia="Calibri" w:hAnsi="David" w:cs="David"/>
                <w:rtl/>
              </w:rPr>
            </w:pPr>
            <w:r w:rsidRPr="003571F5">
              <w:rPr>
                <w:rFonts w:ascii="David" w:eastAsia="Calibri" w:hAnsi="David" w:cs="David"/>
                <w:rtl/>
              </w:rPr>
              <w:t>‏ירושלים</w:t>
            </w:r>
            <w:r w:rsidRPr="003571F5">
              <w:rPr>
                <w:rFonts w:ascii="David" w:eastAsia="Calibri" w:hAnsi="David" w:cs="David" w:hint="cs"/>
                <w:rtl/>
              </w:rPr>
              <w:t>,</w:t>
            </w:r>
            <w:r w:rsidRPr="003571F5">
              <w:rPr>
                <w:rFonts w:ascii="David" w:eastAsia="Calibri" w:hAnsi="David" w:cs="David" w:hint="eastAsia"/>
                <w:rtl/>
              </w:rPr>
              <w:t>‏‏</w:t>
            </w:r>
            <w:r w:rsidRPr="003571F5">
              <w:rPr>
                <w:rFonts w:ascii="David" w:eastAsia="Calibri" w:hAnsi="David" w:cs="David" w:hint="cs"/>
                <w:rtl/>
              </w:rPr>
              <w:t xml:space="preserve"> </w:t>
            </w:r>
            <w:r w:rsidRPr="003571F5">
              <w:rPr>
                <w:rFonts w:ascii="David" w:eastAsia="Calibri" w:hAnsi="David" w:cs="David" w:hint="eastAsia"/>
                <w:rtl/>
              </w:rPr>
              <w:t>‏</w:t>
            </w:r>
            <w:r w:rsidRPr="003571F5">
              <w:rPr>
                <w:rFonts w:ascii="David" w:eastAsia="Calibri" w:hAnsi="David" w:cs="David" w:hint="cs"/>
                <w:rtl/>
              </w:rPr>
              <w:t>י"ז בטבת</w:t>
            </w:r>
            <w:r w:rsidRPr="003571F5">
              <w:rPr>
                <w:rFonts w:ascii="David" w:eastAsia="Calibri" w:hAnsi="David" w:cs="David"/>
                <w:rtl/>
              </w:rPr>
              <w:t>, תשפ"ג</w:t>
            </w:r>
          </w:p>
          <w:p w:rsidR="003571F5" w:rsidRPr="003571F5" w:rsidRDefault="003571F5" w:rsidP="003571F5">
            <w:pPr>
              <w:spacing w:line="480" w:lineRule="auto"/>
              <w:rPr>
                <w:rFonts w:ascii="David" w:eastAsia="Calibri" w:hAnsi="David" w:cs="David"/>
              </w:rPr>
            </w:pPr>
            <w:r w:rsidRPr="003571F5">
              <w:rPr>
                <w:rFonts w:ascii="David" w:eastAsia="Calibri" w:hAnsi="David" w:cs="David"/>
                <w:rtl/>
              </w:rPr>
              <w:t>‏‏‏‏</w:t>
            </w:r>
            <w:r w:rsidRPr="003571F5">
              <w:rPr>
                <w:rFonts w:ascii="David" w:eastAsia="Calibri" w:hAnsi="David" w:cs="David" w:hint="eastAsia"/>
                <w:rtl/>
              </w:rPr>
              <w:t>‏</w:t>
            </w:r>
            <w:r w:rsidRPr="003571F5">
              <w:rPr>
                <w:rFonts w:ascii="David" w:eastAsia="Calibri" w:hAnsi="David" w:cs="David" w:hint="cs"/>
                <w:rtl/>
              </w:rPr>
              <w:t>10 בינואר 2023</w:t>
            </w:r>
          </w:p>
        </w:tc>
      </w:tr>
    </w:tbl>
    <w:p w:rsidR="003571F5" w:rsidRPr="003571F5" w:rsidRDefault="003571F5" w:rsidP="003571F5">
      <w:pPr>
        <w:spacing w:line="360" w:lineRule="auto"/>
        <w:jc w:val="right"/>
        <w:rPr>
          <w:rFonts w:ascii="David" w:eastAsia="Calibri" w:hAnsi="David" w:cs="David"/>
        </w:rPr>
      </w:pPr>
    </w:p>
    <w:p w:rsidR="003571F5" w:rsidRPr="003571F5" w:rsidRDefault="003571F5" w:rsidP="003571F5">
      <w:pPr>
        <w:spacing w:line="360" w:lineRule="auto"/>
        <w:jc w:val="right"/>
        <w:rPr>
          <w:rFonts w:ascii="David" w:eastAsia="Calibri" w:hAnsi="David" w:cs="David"/>
          <w:rtl/>
        </w:rPr>
      </w:pPr>
      <w:r w:rsidRPr="003571F5">
        <w:rPr>
          <w:rFonts w:ascii="David" w:eastAsia="Calibri" w:hAnsi="David" w:cs="David" w:hint="cs"/>
          <w:rtl/>
        </w:rPr>
        <w:t>הודעה לעיתונות:</w:t>
      </w:r>
    </w:p>
    <w:p w:rsidR="004D2E0E" w:rsidRDefault="004D2E0E" w:rsidP="004D2E0E">
      <w:pPr>
        <w:bidi/>
        <w:spacing w:line="360" w:lineRule="auto"/>
        <w:jc w:val="both"/>
        <w:rPr>
          <w:rFonts w:cs="David"/>
          <w:rtl/>
        </w:rPr>
      </w:pPr>
    </w:p>
    <w:p w:rsidR="00EA369C" w:rsidRPr="005758B8" w:rsidRDefault="00EA369C" w:rsidP="00BE7CA1">
      <w:pPr>
        <w:bidi/>
        <w:spacing w:line="360" w:lineRule="auto"/>
        <w:jc w:val="center"/>
        <w:rPr>
          <w:rFonts w:cs="David"/>
          <w:b/>
          <w:bCs/>
          <w:sz w:val="28"/>
          <w:szCs w:val="28"/>
          <w:rtl/>
        </w:rPr>
      </w:pPr>
      <w:bookmarkStart w:id="0" w:name="_GoBack"/>
      <w:r>
        <w:rPr>
          <w:rFonts w:cs="David" w:hint="cs"/>
          <w:b/>
          <w:bCs/>
          <w:sz w:val="28"/>
          <w:szCs w:val="28"/>
          <w:rtl/>
        </w:rPr>
        <w:t>מינויה של הגב</w:t>
      </w:r>
      <w:r w:rsidR="00F5708C">
        <w:rPr>
          <w:rFonts w:cs="David" w:hint="cs"/>
          <w:b/>
          <w:bCs/>
          <w:sz w:val="28"/>
          <w:szCs w:val="28"/>
          <w:rtl/>
        </w:rPr>
        <w:t>' ל</w:t>
      </w:r>
      <w:r w:rsidR="001872D2">
        <w:rPr>
          <w:rFonts w:cs="David" w:hint="cs"/>
          <w:b/>
          <w:bCs/>
          <w:sz w:val="28"/>
          <w:szCs w:val="28"/>
          <w:rtl/>
        </w:rPr>
        <w:t xml:space="preserve">ימור גרובגלס </w:t>
      </w:r>
      <w:r>
        <w:rPr>
          <w:rFonts w:cs="David" w:hint="cs"/>
          <w:b/>
          <w:bCs/>
          <w:sz w:val="28"/>
          <w:szCs w:val="28"/>
          <w:rtl/>
        </w:rPr>
        <w:t xml:space="preserve">לראש אגף </w:t>
      </w:r>
      <w:r w:rsidR="001872D2">
        <w:rPr>
          <w:rFonts w:cs="David" w:hint="cs"/>
          <w:b/>
          <w:bCs/>
          <w:sz w:val="28"/>
          <w:szCs w:val="28"/>
          <w:rtl/>
        </w:rPr>
        <w:t xml:space="preserve">מסלקות </w:t>
      </w:r>
      <w:r w:rsidR="00460819">
        <w:rPr>
          <w:rFonts w:cs="David" w:hint="cs"/>
          <w:b/>
          <w:bCs/>
          <w:sz w:val="28"/>
          <w:szCs w:val="28"/>
          <w:rtl/>
        </w:rPr>
        <w:t>במחלקת מערכות תשלומים וסליקה</w:t>
      </w:r>
    </w:p>
    <w:bookmarkEnd w:id="0"/>
    <w:p w:rsidR="00632624" w:rsidRDefault="00632624" w:rsidP="00632624">
      <w:pPr>
        <w:bidi/>
        <w:spacing w:line="360" w:lineRule="auto"/>
        <w:jc w:val="both"/>
        <w:rPr>
          <w:rFonts w:cs="David"/>
          <w:rtl/>
        </w:rPr>
      </w:pPr>
    </w:p>
    <w:p w:rsidR="0064385C" w:rsidRDefault="00B100AD" w:rsidP="00C05ADB">
      <w:pPr>
        <w:bidi/>
        <w:spacing w:line="360" w:lineRule="auto"/>
        <w:jc w:val="both"/>
        <w:rPr>
          <w:rFonts w:cs="David"/>
          <w:rtl/>
        </w:rPr>
      </w:pPr>
      <w:r>
        <w:rPr>
          <w:rFonts w:cs="David" w:hint="cs"/>
          <w:rtl/>
        </w:rPr>
        <w:t>בתום</w:t>
      </w:r>
      <w:r w:rsidR="00A74FF9">
        <w:rPr>
          <w:rFonts w:cs="David" w:hint="cs"/>
          <w:rtl/>
        </w:rPr>
        <w:t xml:space="preserve"> הליך מכרז שה</w:t>
      </w:r>
      <w:r w:rsidR="003C4767">
        <w:rPr>
          <w:rFonts w:cs="David"/>
        </w:rPr>
        <w:softHyphen/>
      </w:r>
      <w:r w:rsidR="003C4767">
        <w:rPr>
          <w:rFonts w:cs="David"/>
        </w:rPr>
        <w:softHyphen/>
      </w:r>
      <w:r w:rsidR="003C4767">
        <w:rPr>
          <w:rFonts w:cs="David"/>
        </w:rPr>
        <w:softHyphen/>
      </w:r>
      <w:r w:rsidR="003C4767">
        <w:rPr>
          <w:rFonts w:cs="David"/>
        </w:rPr>
        <w:softHyphen/>
      </w:r>
      <w:r w:rsidR="00A74FF9">
        <w:rPr>
          <w:rFonts w:cs="David" w:hint="cs"/>
          <w:rtl/>
        </w:rPr>
        <w:t xml:space="preserve">תקיים בבנק ישראל, </w:t>
      </w:r>
      <w:r w:rsidR="00BC64E8">
        <w:rPr>
          <w:rFonts w:cs="David" w:hint="cs"/>
          <w:rtl/>
        </w:rPr>
        <w:t>נבחרה ה</w:t>
      </w:r>
      <w:r w:rsidR="00DD427E">
        <w:rPr>
          <w:rFonts w:cs="David" w:hint="cs"/>
          <w:rtl/>
        </w:rPr>
        <w:t xml:space="preserve">גב' לימור גרובגלס </w:t>
      </w:r>
      <w:r w:rsidR="00BC64E8">
        <w:rPr>
          <w:rFonts w:cs="David" w:hint="cs"/>
          <w:rtl/>
        </w:rPr>
        <w:t>ל</w:t>
      </w:r>
      <w:r>
        <w:rPr>
          <w:rFonts w:cs="David" w:hint="cs"/>
          <w:rtl/>
        </w:rPr>
        <w:t xml:space="preserve">תפקיד ראש אגף </w:t>
      </w:r>
      <w:r w:rsidR="00DD427E">
        <w:rPr>
          <w:rFonts w:cs="David" w:hint="cs"/>
          <w:rtl/>
        </w:rPr>
        <w:t xml:space="preserve">מסלקות </w:t>
      </w:r>
      <w:r w:rsidR="00A74FF9">
        <w:rPr>
          <w:rFonts w:cs="David" w:hint="cs"/>
          <w:rtl/>
        </w:rPr>
        <w:t>במחלקת מערכות תשלומים וסליקה</w:t>
      </w:r>
      <w:r>
        <w:rPr>
          <w:rFonts w:cs="David" w:hint="cs"/>
          <w:rtl/>
        </w:rPr>
        <w:t xml:space="preserve">. </w:t>
      </w:r>
    </w:p>
    <w:p w:rsidR="007A4B5C" w:rsidRDefault="007A4B5C" w:rsidP="005758B8">
      <w:pPr>
        <w:bidi/>
        <w:spacing w:line="360" w:lineRule="auto"/>
        <w:jc w:val="both"/>
        <w:rPr>
          <w:rFonts w:cs="David"/>
          <w:rtl/>
        </w:rPr>
      </w:pPr>
    </w:p>
    <w:p w:rsidR="000058BC" w:rsidRPr="00DB6C49" w:rsidRDefault="002D2392" w:rsidP="00BC64E8">
      <w:pPr>
        <w:bidi/>
        <w:spacing w:line="360" w:lineRule="auto"/>
        <w:jc w:val="both"/>
        <w:rPr>
          <w:rFonts w:cs="David"/>
        </w:rPr>
      </w:pPr>
      <w:r>
        <w:rPr>
          <w:rFonts w:cs="David" w:hint="cs"/>
          <w:rtl/>
        </w:rPr>
        <w:t>ל</w:t>
      </w:r>
      <w:r w:rsidR="00C8437B">
        <w:rPr>
          <w:rFonts w:cs="David" w:hint="cs"/>
          <w:rtl/>
        </w:rPr>
        <w:t>גב</w:t>
      </w:r>
      <w:r w:rsidR="0091413D">
        <w:rPr>
          <w:rFonts w:cs="David" w:hint="cs"/>
          <w:rtl/>
        </w:rPr>
        <w:t>' ג</w:t>
      </w:r>
      <w:r w:rsidR="00C8437B">
        <w:rPr>
          <w:rFonts w:cs="David" w:hint="cs"/>
          <w:rtl/>
        </w:rPr>
        <w:t>רובגלס ניסיו</w:t>
      </w:r>
      <w:r w:rsidR="00C8437B">
        <w:rPr>
          <w:rFonts w:cs="David" w:hint="eastAsia"/>
          <w:rtl/>
        </w:rPr>
        <w:t>ן</w:t>
      </w:r>
      <w:r>
        <w:rPr>
          <w:rFonts w:cs="David" w:hint="cs"/>
          <w:rtl/>
        </w:rPr>
        <w:t xml:space="preserve"> מקצועי של כ 25 שנים</w:t>
      </w:r>
      <w:r w:rsidR="00D559C0">
        <w:rPr>
          <w:rFonts w:cs="David" w:hint="cs"/>
          <w:rtl/>
        </w:rPr>
        <w:t xml:space="preserve">. לימור </w:t>
      </w:r>
      <w:r>
        <w:rPr>
          <w:rFonts w:cs="David" w:hint="cs"/>
          <w:rtl/>
        </w:rPr>
        <w:t>ה</w:t>
      </w:r>
      <w:r w:rsidR="00AD1378" w:rsidRPr="00A74FF9">
        <w:rPr>
          <w:rFonts w:cs="David" w:hint="cs"/>
          <w:rtl/>
        </w:rPr>
        <w:t>חלה את עבודתה בבנק ישראל לפני כ-1</w:t>
      </w:r>
      <w:r w:rsidR="00AD1378">
        <w:rPr>
          <w:rFonts w:cs="David" w:hint="cs"/>
          <w:rtl/>
        </w:rPr>
        <w:t>7</w:t>
      </w:r>
      <w:r w:rsidR="00AD1378" w:rsidRPr="00A74FF9">
        <w:rPr>
          <w:rFonts w:cs="David" w:hint="cs"/>
          <w:rtl/>
        </w:rPr>
        <w:t xml:space="preserve"> שנ</w:t>
      </w:r>
      <w:r w:rsidR="00A153B9">
        <w:rPr>
          <w:rFonts w:cs="David" w:hint="cs"/>
          <w:rtl/>
        </w:rPr>
        <w:t>ים</w:t>
      </w:r>
      <w:r w:rsidR="004139BA">
        <w:rPr>
          <w:rFonts w:cs="David" w:hint="cs"/>
          <w:rtl/>
        </w:rPr>
        <w:t xml:space="preserve">, </w:t>
      </w:r>
      <w:r>
        <w:rPr>
          <w:rFonts w:cs="David" w:hint="cs"/>
          <w:rtl/>
        </w:rPr>
        <w:t xml:space="preserve">בהן </w:t>
      </w:r>
      <w:r w:rsidR="00AD1378" w:rsidRPr="00A74FF9">
        <w:rPr>
          <w:rFonts w:cs="David" w:hint="cs"/>
          <w:rtl/>
        </w:rPr>
        <w:t>שימשה במגוון תפקידים</w:t>
      </w:r>
      <w:r>
        <w:rPr>
          <w:rFonts w:cs="David" w:hint="cs"/>
          <w:rtl/>
        </w:rPr>
        <w:t xml:space="preserve">, </w:t>
      </w:r>
      <w:r w:rsidR="00AD1378">
        <w:rPr>
          <w:rFonts w:cs="David" w:hint="cs"/>
          <w:rtl/>
        </w:rPr>
        <w:t>ב</w:t>
      </w:r>
      <w:r w:rsidR="00AD1378" w:rsidRPr="00A74FF9">
        <w:rPr>
          <w:rFonts w:cs="David" w:hint="cs"/>
          <w:rtl/>
        </w:rPr>
        <w:t xml:space="preserve">יניהם </w:t>
      </w:r>
      <w:r w:rsidR="00AD1378">
        <w:rPr>
          <w:rFonts w:cs="David" w:hint="cs"/>
          <w:rtl/>
        </w:rPr>
        <w:t>לקחה חלק ב</w:t>
      </w:r>
      <w:r w:rsidR="00AD1378" w:rsidRPr="00A74FF9">
        <w:rPr>
          <w:rFonts w:cs="David" w:hint="cs"/>
          <w:rtl/>
        </w:rPr>
        <w:t>הקמת מערכת</w:t>
      </w:r>
      <w:r w:rsidR="00AD1378">
        <w:rPr>
          <w:rFonts w:cs="David" w:hint="cs"/>
          <w:rtl/>
        </w:rPr>
        <w:t xml:space="preserve"> זה"ב</w:t>
      </w:r>
      <w:r w:rsidR="00AD1378" w:rsidRPr="00A74FF9">
        <w:rPr>
          <w:rFonts w:cs="David" w:hint="cs"/>
          <w:rtl/>
        </w:rPr>
        <w:t xml:space="preserve"> </w:t>
      </w:r>
      <w:r w:rsidR="00AD1378">
        <w:rPr>
          <w:rFonts w:cs="David" w:hint="cs"/>
          <w:rtl/>
        </w:rPr>
        <w:t>(</w:t>
      </w:r>
      <w:r w:rsidR="00AD1378" w:rsidRPr="00A74FF9">
        <w:rPr>
          <w:rFonts w:cs="David" w:hint="cs"/>
        </w:rPr>
        <w:t>RTGS</w:t>
      </w:r>
      <w:r w:rsidR="00AD1378">
        <w:rPr>
          <w:rFonts w:cs="David" w:hint="cs"/>
          <w:rtl/>
        </w:rPr>
        <w:t>)</w:t>
      </w:r>
      <w:r w:rsidR="00AD1378" w:rsidRPr="00A74FF9">
        <w:rPr>
          <w:rFonts w:cs="David" w:hint="cs"/>
          <w:rtl/>
        </w:rPr>
        <w:t xml:space="preserve"> </w:t>
      </w:r>
      <w:r w:rsidR="00AD1378">
        <w:rPr>
          <w:rFonts w:cs="David" w:hint="cs"/>
          <w:rtl/>
        </w:rPr>
        <w:t>ו</w:t>
      </w:r>
      <w:r w:rsidR="00AD1378" w:rsidRPr="00A74FF9">
        <w:rPr>
          <w:rFonts w:cs="David" w:hint="cs"/>
          <w:rtl/>
        </w:rPr>
        <w:t>הקמת והובלת</w:t>
      </w:r>
      <w:r w:rsidR="00AD1378" w:rsidRPr="00A74FF9">
        <w:rPr>
          <w:rFonts w:cs="David"/>
          <w:rtl/>
        </w:rPr>
        <w:t xml:space="preserve"> </w:t>
      </w:r>
      <w:r w:rsidR="00AD1378">
        <w:rPr>
          <w:rFonts w:cs="David" w:hint="cs"/>
          <w:rtl/>
        </w:rPr>
        <w:t>תחום בדיקות הקבלה של המערכת</w:t>
      </w:r>
      <w:r w:rsidR="00AD1378" w:rsidRPr="00A74FF9">
        <w:rPr>
          <w:rFonts w:cs="David" w:hint="cs"/>
          <w:rtl/>
        </w:rPr>
        <w:t xml:space="preserve">. </w:t>
      </w:r>
      <w:r w:rsidR="00A153B9">
        <w:rPr>
          <w:rFonts w:cs="David" w:hint="cs"/>
          <w:rtl/>
        </w:rPr>
        <w:t xml:space="preserve">החל משנת 2017 לימור </w:t>
      </w:r>
      <w:r w:rsidR="00AD1378">
        <w:rPr>
          <w:rFonts w:cs="David" w:hint="cs"/>
          <w:rtl/>
        </w:rPr>
        <w:t xml:space="preserve">מנהלת </w:t>
      </w:r>
      <w:r w:rsidR="00A153B9">
        <w:rPr>
          <w:rFonts w:cs="David" w:hint="cs"/>
          <w:rtl/>
        </w:rPr>
        <w:t xml:space="preserve">את </w:t>
      </w:r>
      <w:r w:rsidR="00AD1378">
        <w:rPr>
          <w:rFonts w:cs="David" w:hint="cs"/>
          <w:rtl/>
        </w:rPr>
        <w:t>יחידת טכנו</w:t>
      </w:r>
      <w:r w:rsidR="00A153B9">
        <w:rPr>
          <w:rFonts w:cs="David" w:hint="cs"/>
          <w:rtl/>
        </w:rPr>
        <w:t>לוגיה בבנקאות בפיקוח על הבנקים</w:t>
      </w:r>
      <w:r w:rsidR="004139BA">
        <w:rPr>
          <w:rFonts w:cs="David" w:hint="cs"/>
          <w:rtl/>
        </w:rPr>
        <w:t xml:space="preserve"> - </w:t>
      </w:r>
      <w:r w:rsidR="00AD1378">
        <w:rPr>
          <w:rFonts w:cs="David" w:hint="cs"/>
          <w:rtl/>
        </w:rPr>
        <w:t xml:space="preserve">יחידה אותה הקימה. במסגרת זו הובילה רפורמות ושינויים </w:t>
      </w:r>
      <w:r w:rsidR="00A153B9">
        <w:rPr>
          <w:rFonts w:cs="David" w:hint="cs"/>
          <w:rtl/>
        </w:rPr>
        <w:t>במערכת הבנקאות בתחום הטכנולוגי</w:t>
      </w:r>
      <w:r w:rsidR="004130D9">
        <w:rPr>
          <w:rFonts w:cs="David" w:hint="cs"/>
          <w:rtl/>
        </w:rPr>
        <w:t xml:space="preserve">, </w:t>
      </w:r>
      <w:r w:rsidR="00A410B2">
        <w:rPr>
          <w:rFonts w:cs="David" w:hint="cs"/>
          <w:rtl/>
        </w:rPr>
        <w:t xml:space="preserve">אשר </w:t>
      </w:r>
      <w:r w:rsidR="00A153B9" w:rsidRPr="00DB6C49">
        <w:rPr>
          <w:rFonts w:cs="David"/>
          <w:rtl/>
        </w:rPr>
        <w:t>חל</w:t>
      </w:r>
      <w:r w:rsidR="00A153B9">
        <w:rPr>
          <w:rFonts w:cs="David"/>
          <w:rtl/>
        </w:rPr>
        <w:t>קן משפיעות עלינו ישירות כצרכנים</w:t>
      </w:r>
      <w:r w:rsidR="00D07BCC">
        <w:rPr>
          <w:rFonts w:cs="David" w:hint="cs"/>
          <w:rtl/>
        </w:rPr>
        <w:t>,</w:t>
      </w:r>
      <w:r w:rsidR="004130D9">
        <w:rPr>
          <w:rFonts w:cs="David" w:hint="cs"/>
          <w:rtl/>
        </w:rPr>
        <w:t xml:space="preserve"> ו</w:t>
      </w:r>
      <w:r w:rsidR="004A0C9B">
        <w:rPr>
          <w:rFonts w:cs="David" w:hint="cs"/>
          <w:rtl/>
        </w:rPr>
        <w:t xml:space="preserve">אף </w:t>
      </w:r>
      <w:r w:rsidR="00DE2244">
        <w:rPr>
          <w:rFonts w:cs="David" w:hint="cs"/>
          <w:rtl/>
        </w:rPr>
        <w:t xml:space="preserve">הובילה את </w:t>
      </w:r>
      <w:r w:rsidR="00A153B9">
        <w:rPr>
          <w:rFonts w:cs="David" w:hint="cs"/>
          <w:rtl/>
        </w:rPr>
        <w:t xml:space="preserve">הקמתם וביסוסם של </w:t>
      </w:r>
      <w:r w:rsidR="00AD1378">
        <w:rPr>
          <w:rFonts w:cs="David" w:hint="cs"/>
          <w:rtl/>
        </w:rPr>
        <w:t>תהליכי אכיפה בתחומי ניהול הסיכון הטכנולוגי</w:t>
      </w:r>
      <w:r w:rsidR="00DE2244">
        <w:rPr>
          <w:rFonts w:cs="David" w:hint="cs"/>
          <w:rtl/>
        </w:rPr>
        <w:t xml:space="preserve">. </w:t>
      </w:r>
      <w:r w:rsidR="00A153B9">
        <w:rPr>
          <w:rFonts w:cs="David" w:hint="cs"/>
          <w:rtl/>
        </w:rPr>
        <w:t>בתפקידיה הקודמים בבנק ישראל לימור ניהלה את יחידת המטה בחטיבת טכנולוג</w:t>
      </w:r>
      <w:r w:rsidR="00DE2244">
        <w:rPr>
          <w:rFonts w:cs="David" w:hint="cs"/>
          <w:rtl/>
        </w:rPr>
        <w:t>י</w:t>
      </w:r>
      <w:r w:rsidR="00A153B9">
        <w:rPr>
          <w:rFonts w:cs="David" w:hint="cs"/>
          <w:rtl/>
        </w:rPr>
        <w:t>ית המידע ו</w:t>
      </w:r>
      <w:r w:rsidR="003C4767">
        <w:rPr>
          <w:rFonts w:cs="David" w:hint="cs"/>
          <w:rtl/>
        </w:rPr>
        <w:t xml:space="preserve">בין היתר </w:t>
      </w:r>
      <w:r w:rsidR="00A153B9">
        <w:rPr>
          <w:rFonts w:cs="David" w:hint="cs"/>
          <w:rtl/>
        </w:rPr>
        <w:t>ניהלה פרויקט אסטרטגי</w:t>
      </w:r>
      <w:r w:rsidR="003C4767">
        <w:rPr>
          <w:rFonts w:cs="David" w:hint="cs"/>
          <w:rtl/>
        </w:rPr>
        <w:t xml:space="preserve"> חוצה-חטיבות</w:t>
      </w:r>
      <w:r w:rsidR="00DD17BF">
        <w:rPr>
          <w:rFonts w:cs="David" w:hint="cs"/>
          <w:rtl/>
        </w:rPr>
        <w:t xml:space="preserve">. </w:t>
      </w:r>
      <w:r w:rsidR="000058BC">
        <w:rPr>
          <w:rFonts w:cs="David" w:hint="cs"/>
          <w:rtl/>
        </w:rPr>
        <w:t xml:space="preserve">לימור הינה רו"ח במקצועה, בעלת תואר ראשון בחשבונאות וכלכלה מהאוניברסיטה העברית בירושלים ותואר שני במשפטים (במסלול לרו"ח ללא </w:t>
      </w:r>
      <w:proofErr w:type="spellStart"/>
      <w:r w:rsidR="000058BC">
        <w:rPr>
          <w:rFonts w:cs="David" w:hint="cs"/>
          <w:rtl/>
        </w:rPr>
        <w:t>תיזה</w:t>
      </w:r>
      <w:proofErr w:type="spellEnd"/>
      <w:r w:rsidR="000058BC">
        <w:rPr>
          <w:rFonts w:cs="David" w:hint="cs"/>
          <w:rtl/>
        </w:rPr>
        <w:t>) מאוניברסיטת ב</w:t>
      </w:r>
      <w:r w:rsidR="003C4767">
        <w:rPr>
          <w:rFonts w:cs="David" w:hint="cs"/>
          <w:rtl/>
        </w:rPr>
        <w:t>ר</w:t>
      </w:r>
      <w:r w:rsidR="000058BC">
        <w:rPr>
          <w:rFonts w:cs="David" w:hint="cs"/>
          <w:rtl/>
        </w:rPr>
        <w:t xml:space="preserve"> אילן - אותו סיימה בהצטיינות. </w:t>
      </w:r>
    </w:p>
    <w:p w:rsidR="00AD1378" w:rsidRDefault="00A153B9" w:rsidP="00A153B9">
      <w:pPr>
        <w:bidi/>
        <w:spacing w:line="360" w:lineRule="auto"/>
        <w:jc w:val="both"/>
        <w:rPr>
          <w:rFonts w:cs="David"/>
          <w:rtl/>
        </w:rPr>
      </w:pPr>
      <w:r>
        <w:rPr>
          <w:rFonts w:cs="David" w:hint="cs"/>
          <w:rtl/>
        </w:rPr>
        <w:t xml:space="preserve"> </w:t>
      </w:r>
    </w:p>
    <w:p w:rsidR="006A64FB" w:rsidRDefault="006A64FB" w:rsidP="008B7701">
      <w:pPr>
        <w:bidi/>
        <w:spacing w:line="360" w:lineRule="auto"/>
        <w:jc w:val="both"/>
        <w:rPr>
          <w:rFonts w:cs="David"/>
          <w:rtl/>
        </w:rPr>
      </w:pPr>
      <w:r>
        <w:rPr>
          <w:rFonts w:cs="David" w:hint="cs"/>
          <w:rtl/>
        </w:rPr>
        <w:t xml:space="preserve">למחלקת מערכות תשלומים וסליקה בבנק ישראל תפקיד </w:t>
      </w:r>
      <w:r w:rsidRPr="00460819">
        <w:rPr>
          <w:rFonts w:cs="David"/>
          <w:rtl/>
        </w:rPr>
        <w:t xml:space="preserve">מהותי </w:t>
      </w:r>
      <w:r>
        <w:rPr>
          <w:rFonts w:cs="David" w:hint="cs"/>
          <w:rtl/>
        </w:rPr>
        <w:t>בעיצוב</w:t>
      </w:r>
      <w:r w:rsidRPr="00460819">
        <w:rPr>
          <w:rFonts w:cs="David"/>
          <w:rtl/>
        </w:rPr>
        <w:t xml:space="preserve"> מערך התשלומים בשוק הפיננסי ו</w:t>
      </w:r>
      <w:r w:rsidR="00DD17BF">
        <w:rPr>
          <w:rFonts w:cs="David" w:hint="cs"/>
          <w:rtl/>
        </w:rPr>
        <w:t>ב</w:t>
      </w:r>
      <w:r>
        <w:rPr>
          <w:rFonts w:cs="David" w:hint="cs"/>
          <w:rtl/>
        </w:rPr>
        <w:t xml:space="preserve">הטמעת </w:t>
      </w:r>
      <w:r w:rsidR="00A410B2">
        <w:rPr>
          <w:rFonts w:cs="David" w:hint="cs"/>
          <w:rtl/>
        </w:rPr>
        <w:t>ה</w:t>
      </w:r>
      <w:r w:rsidRPr="00460819">
        <w:rPr>
          <w:rFonts w:cs="David"/>
          <w:rtl/>
        </w:rPr>
        <w:t xml:space="preserve">שינויים </w:t>
      </w:r>
      <w:r w:rsidR="003C4767">
        <w:rPr>
          <w:rFonts w:cs="David" w:hint="cs"/>
          <w:rtl/>
        </w:rPr>
        <w:t>המתרחשים</w:t>
      </w:r>
      <w:r w:rsidR="003C4767" w:rsidRPr="00460819">
        <w:rPr>
          <w:rFonts w:cs="David"/>
          <w:rtl/>
        </w:rPr>
        <w:t xml:space="preserve"> </w:t>
      </w:r>
      <w:r w:rsidRPr="00460819">
        <w:rPr>
          <w:rFonts w:cs="David"/>
          <w:rtl/>
        </w:rPr>
        <w:t xml:space="preserve">בתחום התשלומים. אגף </w:t>
      </w:r>
      <w:r>
        <w:rPr>
          <w:rFonts w:cs="David" w:hint="cs"/>
          <w:rtl/>
        </w:rPr>
        <w:t xml:space="preserve">המסלקות במחלקה </w:t>
      </w:r>
      <w:r w:rsidR="0019766E">
        <w:rPr>
          <w:rFonts w:cs="David" w:hint="cs"/>
          <w:rtl/>
        </w:rPr>
        <w:t>מנהל את המערכו</w:t>
      </w:r>
      <w:r w:rsidR="00E66A0A">
        <w:rPr>
          <w:rFonts w:cs="David" w:hint="cs"/>
          <w:rtl/>
        </w:rPr>
        <w:t>ת</w:t>
      </w:r>
      <w:r w:rsidR="0019766E">
        <w:rPr>
          <w:rFonts w:cs="David" w:hint="cs"/>
          <w:rtl/>
        </w:rPr>
        <w:t xml:space="preserve"> תוך </w:t>
      </w:r>
      <w:r w:rsidRPr="00460819">
        <w:rPr>
          <w:rFonts w:cs="David"/>
          <w:rtl/>
        </w:rPr>
        <w:t>שמירה על יציבות</w:t>
      </w:r>
      <w:r w:rsidR="0019766E">
        <w:rPr>
          <w:rFonts w:cs="David" w:hint="cs"/>
          <w:rtl/>
        </w:rPr>
        <w:t>ן</w:t>
      </w:r>
      <w:r w:rsidRPr="00460819">
        <w:rPr>
          <w:rFonts w:cs="David"/>
          <w:rtl/>
        </w:rPr>
        <w:t xml:space="preserve"> ו</w:t>
      </w:r>
      <w:r w:rsidR="00BC64E8">
        <w:rPr>
          <w:rFonts w:cs="David" w:hint="cs"/>
          <w:rtl/>
        </w:rPr>
        <w:t>ה</w:t>
      </w:r>
      <w:r w:rsidRPr="00460819">
        <w:rPr>
          <w:rFonts w:cs="David"/>
          <w:rtl/>
        </w:rPr>
        <w:t xml:space="preserve">בטחת פעילותן התקינה </w:t>
      </w:r>
      <w:r w:rsidR="0019766E">
        <w:rPr>
          <w:rFonts w:cs="David" w:hint="cs"/>
          <w:rtl/>
        </w:rPr>
        <w:t xml:space="preserve">לצד </w:t>
      </w:r>
      <w:r w:rsidRPr="00460819">
        <w:rPr>
          <w:rFonts w:cs="David"/>
          <w:rtl/>
        </w:rPr>
        <w:t xml:space="preserve">קידום חדשנות </w:t>
      </w:r>
      <w:r w:rsidR="0019766E">
        <w:rPr>
          <w:rFonts w:cs="David" w:hint="cs"/>
          <w:rtl/>
        </w:rPr>
        <w:t>אשר, בין היתר, מאפשר חיבור והשתתפות על-ידי גופים חדשים.</w:t>
      </w:r>
      <w:r w:rsidR="00433BC9">
        <w:rPr>
          <w:rFonts w:cs="David" w:hint="cs"/>
          <w:rtl/>
        </w:rPr>
        <w:t xml:space="preserve"> </w:t>
      </w:r>
    </w:p>
    <w:p w:rsidR="00BE7CA1" w:rsidRDefault="00BE7CA1" w:rsidP="00BE7CA1">
      <w:pPr>
        <w:bidi/>
        <w:spacing w:line="360" w:lineRule="auto"/>
        <w:jc w:val="both"/>
        <w:rPr>
          <w:rFonts w:cs="David"/>
          <w:rtl/>
        </w:rPr>
      </w:pPr>
    </w:p>
    <w:p w:rsidR="00BE7CA1" w:rsidRDefault="00BE7CA1" w:rsidP="00BE7CA1">
      <w:pPr>
        <w:bidi/>
        <w:spacing w:line="360" w:lineRule="auto"/>
        <w:jc w:val="both"/>
        <w:rPr>
          <w:rFonts w:cs="David"/>
          <w:rtl/>
        </w:rPr>
      </w:pPr>
      <w:r>
        <w:rPr>
          <w:rFonts w:cs="David" w:hint="cs"/>
          <w:rtl/>
        </w:rPr>
        <w:t>בתפקיד חשוב זה גב' גרובגלס תוביל את ניהולן של שתי מערכות קריטיות אשר מופעלות על-ידי בנק ישראל, מערכת זיכויים והעברות בזמן אמת (מערכת "זה"ב") ומסלקת השיקים. מערכות אלה מהוות בסיס איתן להתנהלותם של חלקים ניכרים של המגזר הפיננסי במשק, הן מבחינה עסקית והן מבחינה טכנית.</w:t>
      </w:r>
    </w:p>
    <w:p w:rsidR="006A64FB" w:rsidRDefault="006A64FB" w:rsidP="00460819">
      <w:pPr>
        <w:bidi/>
        <w:spacing w:line="360" w:lineRule="auto"/>
        <w:jc w:val="both"/>
        <w:rPr>
          <w:rFonts w:cs="David"/>
          <w:rtl/>
        </w:rPr>
      </w:pPr>
    </w:p>
    <w:p w:rsidR="00A410B2" w:rsidRPr="003C4767" w:rsidRDefault="00A94C8F" w:rsidP="000060BE">
      <w:pPr>
        <w:bidi/>
        <w:spacing w:line="360" w:lineRule="auto"/>
        <w:jc w:val="both"/>
        <w:rPr>
          <w:rFonts w:cs="David"/>
          <w:vertAlign w:val="subscript"/>
          <w:rtl/>
        </w:rPr>
      </w:pPr>
      <w:r>
        <w:rPr>
          <w:rFonts w:cs="David" w:hint="cs"/>
          <w:rtl/>
        </w:rPr>
        <w:t>מנהל מחלקת מערכות תשלומים וסליקה</w:t>
      </w:r>
      <w:r w:rsidR="008B27B6">
        <w:rPr>
          <w:rFonts w:cs="David" w:hint="cs"/>
          <w:rtl/>
        </w:rPr>
        <w:t>, מר עודד סלומי</w:t>
      </w:r>
      <w:r>
        <w:rPr>
          <w:rFonts w:cs="David" w:hint="cs"/>
          <w:rtl/>
        </w:rPr>
        <w:t>:</w:t>
      </w:r>
      <w:r w:rsidR="00B100AD" w:rsidRPr="001B36AA">
        <w:rPr>
          <w:rFonts w:cs="David" w:hint="cs"/>
          <w:rtl/>
        </w:rPr>
        <w:t xml:space="preserve"> "</w:t>
      </w:r>
      <w:r w:rsidR="00A410B2">
        <w:rPr>
          <w:rFonts w:cs="David" w:hint="cs"/>
          <w:rtl/>
        </w:rPr>
        <w:t>בנק ישראל ממשיך לה</w:t>
      </w:r>
      <w:r w:rsidR="009A604F">
        <w:rPr>
          <w:rFonts w:cs="David" w:hint="cs"/>
          <w:rtl/>
        </w:rPr>
        <w:t>וביל</w:t>
      </w:r>
      <w:r w:rsidR="00A410B2">
        <w:rPr>
          <w:rFonts w:cs="David" w:hint="cs"/>
          <w:rtl/>
        </w:rPr>
        <w:t xml:space="preserve"> </w:t>
      </w:r>
      <w:r w:rsidR="009A604F">
        <w:rPr>
          <w:rFonts w:cs="David" w:hint="cs"/>
          <w:rtl/>
        </w:rPr>
        <w:t>ב</w:t>
      </w:r>
      <w:r w:rsidR="00A410B2">
        <w:rPr>
          <w:rFonts w:cs="David" w:hint="cs"/>
          <w:rtl/>
        </w:rPr>
        <w:t>סביבה משתנה</w:t>
      </w:r>
      <w:r w:rsidR="002B3B18">
        <w:rPr>
          <w:rFonts w:cs="David" w:hint="cs"/>
          <w:rtl/>
        </w:rPr>
        <w:t xml:space="preserve"> </w:t>
      </w:r>
      <w:r w:rsidR="009A604F">
        <w:rPr>
          <w:rFonts w:cs="David" w:hint="cs"/>
          <w:rtl/>
        </w:rPr>
        <w:t xml:space="preserve">בתחום </w:t>
      </w:r>
      <w:r w:rsidR="00A410B2">
        <w:rPr>
          <w:rFonts w:cs="David" w:hint="cs"/>
          <w:rtl/>
        </w:rPr>
        <w:t>התשלומים</w:t>
      </w:r>
      <w:r w:rsidR="009A604F">
        <w:rPr>
          <w:rFonts w:cs="David" w:hint="cs"/>
          <w:rtl/>
        </w:rPr>
        <w:t>. לצד שמירה על יציבות איתנה במערכות הת</w:t>
      </w:r>
      <w:r w:rsidR="00E66A0A">
        <w:rPr>
          <w:rFonts w:cs="David" w:hint="cs"/>
          <w:rtl/>
        </w:rPr>
        <w:t>ש</w:t>
      </w:r>
      <w:r w:rsidR="009A604F">
        <w:rPr>
          <w:rFonts w:cs="David" w:hint="cs"/>
          <w:rtl/>
        </w:rPr>
        <w:t>לומים, ובפרט אלו המופעלות ע"י בנק ישראל</w:t>
      </w:r>
      <w:r w:rsidR="00B25239">
        <w:rPr>
          <w:rFonts w:cs="David" w:hint="cs"/>
          <w:rtl/>
        </w:rPr>
        <w:t>,</w:t>
      </w:r>
      <w:r w:rsidR="009A604F">
        <w:rPr>
          <w:rFonts w:cs="David" w:hint="cs"/>
          <w:rtl/>
        </w:rPr>
        <w:t xml:space="preserve"> אנו פותחים את ה</w:t>
      </w:r>
      <w:r w:rsidR="00B25239">
        <w:rPr>
          <w:rFonts w:cs="David" w:hint="cs"/>
          <w:rtl/>
        </w:rPr>
        <w:t xml:space="preserve">שוק לשחקנים חדשים. </w:t>
      </w:r>
      <w:r w:rsidR="001E6ABC">
        <w:rPr>
          <w:rFonts w:cs="David" w:hint="cs"/>
          <w:rtl/>
        </w:rPr>
        <w:t xml:space="preserve">בהובלתה של </w:t>
      </w:r>
      <w:r w:rsidR="00A410B2">
        <w:rPr>
          <w:rFonts w:cs="David" w:hint="cs"/>
          <w:rtl/>
        </w:rPr>
        <w:t>לימור גרובגלס</w:t>
      </w:r>
      <w:r w:rsidR="001E6ABC">
        <w:rPr>
          <w:rFonts w:cs="David" w:hint="cs"/>
          <w:rtl/>
        </w:rPr>
        <w:t xml:space="preserve">, </w:t>
      </w:r>
      <w:r w:rsidR="009A0E0B">
        <w:rPr>
          <w:rFonts w:cs="David" w:hint="cs"/>
          <w:rtl/>
        </w:rPr>
        <w:t xml:space="preserve">אגף </w:t>
      </w:r>
      <w:r w:rsidR="00A410B2">
        <w:rPr>
          <w:rFonts w:cs="David" w:hint="cs"/>
          <w:rtl/>
        </w:rPr>
        <w:t xml:space="preserve">המסלקות </w:t>
      </w:r>
      <w:r w:rsidR="009A0E0B">
        <w:rPr>
          <w:rFonts w:cs="David" w:hint="cs"/>
          <w:rtl/>
        </w:rPr>
        <w:t>י</w:t>
      </w:r>
      <w:r w:rsidR="00B25239">
        <w:rPr>
          <w:rFonts w:cs="David" w:hint="cs"/>
          <w:rtl/>
        </w:rPr>
        <w:t xml:space="preserve">משיך להוביל </w:t>
      </w:r>
      <w:r w:rsidR="00B25239" w:rsidRPr="004A0C9B">
        <w:rPr>
          <w:rFonts w:cs="David"/>
          <w:rtl/>
        </w:rPr>
        <w:t>שינוי שוק בכך ש</w:t>
      </w:r>
      <w:r w:rsidR="00B25239" w:rsidRPr="004A0C9B">
        <w:rPr>
          <w:rFonts w:cs="David" w:hint="cs"/>
          <w:rtl/>
        </w:rPr>
        <w:t>י</w:t>
      </w:r>
      <w:r w:rsidR="00B25239" w:rsidRPr="004A0C9B">
        <w:rPr>
          <w:rFonts w:cs="David"/>
          <w:rtl/>
        </w:rPr>
        <w:t>אפשר לגופים חדשים, כולל חוץ-בנקאיים, להצטרף ולהשתתף במערכות ליבה של בנק ישראל ושל המשק. הגופים המצטרפים צפויים להביא הצעות ערך חדשות ושיפור שירותים פיננס</w:t>
      </w:r>
      <w:r w:rsidR="00B25239" w:rsidRPr="004A0C9B">
        <w:rPr>
          <w:rFonts w:cs="David" w:hint="cs"/>
          <w:rtl/>
        </w:rPr>
        <w:t>י</w:t>
      </w:r>
      <w:r w:rsidR="00B25239" w:rsidRPr="004A0C9B">
        <w:rPr>
          <w:rFonts w:cs="David"/>
          <w:rtl/>
        </w:rPr>
        <w:t>ים לציבור בישראל</w:t>
      </w:r>
      <w:r w:rsidR="00B25239" w:rsidRPr="00B25239">
        <w:rPr>
          <w:rFonts w:cs="David"/>
          <w:rtl/>
        </w:rPr>
        <w:t>.</w:t>
      </w:r>
      <w:r w:rsidR="00B25239" w:rsidRPr="00B25239">
        <w:rPr>
          <w:rFonts w:cs="David" w:hint="cs"/>
          <w:rtl/>
        </w:rPr>
        <w:t xml:space="preserve"> </w:t>
      </w:r>
      <w:r w:rsidR="007D2AAC">
        <w:rPr>
          <w:rFonts w:cs="David" w:hint="cs"/>
          <w:rtl/>
        </w:rPr>
        <w:t>הידע</w:t>
      </w:r>
      <w:r w:rsidR="00F16416">
        <w:rPr>
          <w:rFonts w:cs="David" w:hint="cs"/>
          <w:rtl/>
        </w:rPr>
        <w:t xml:space="preserve"> </w:t>
      </w:r>
      <w:proofErr w:type="spellStart"/>
      <w:r w:rsidR="00164B69">
        <w:rPr>
          <w:rFonts w:cs="David" w:hint="cs"/>
          <w:rtl/>
        </w:rPr>
        <w:t>והנסיון</w:t>
      </w:r>
      <w:proofErr w:type="spellEnd"/>
      <w:r w:rsidR="00164B69">
        <w:rPr>
          <w:rFonts w:cs="David" w:hint="cs"/>
          <w:rtl/>
        </w:rPr>
        <w:t xml:space="preserve"> </w:t>
      </w:r>
      <w:r w:rsidR="00F16416">
        <w:rPr>
          <w:rFonts w:cs="David" w:hint="cs"/>
          <w:rtl/>
        </w:rPr>
        <w:t xml:space="preserve">של </w:t>
      </w:r>
      <w:r w:rsidR="00A410B2">
        <w:rPr>
          <w:rFonts w:cs="David" w:hint="cs"/>
          <w:rtl/>
        </w:rPr>
        <w:t xml:space="preserve">לימור </w:t>
      </w:r>
      <w:r w:rsidR="009A0E0B">
        <w:rPr>
          <w:rFonts w:cs="David" w:hint="cs"/>
          <w:rtl/>
        </w:rPr>
        <w:t>בתחו</w:t>
      </w:r>
      <w:r w:rsidR="00A410B2">
        <w:rPr>
          <w:rFonts w:cs="David" w:hint="cs"/>
          <w:rtl/>
        </w:rPr>
        <w:t xml:space="preserve">מים </w:t>
      </w:r>
      <w:r w:rsidR="00C05ADB">
        <w:rPr>
          <w:rFonts w:cs="David" w:hint="cs"/>
          <w:rtl/>
        </w:rPr>
        <w:t xml:space="preserve">משיקים </w:t>
      </w:r>
      <w:r w:rsidR="009A0E0B">
        <w:rPr>
          <w:rFonts w:cs="David" w:hint="cs"/>
          <w:rtl/>
        </w:rPr>
        <w:t>י</w:t>
      </w:r>
      <w:r w:rsidR="0056013A">
        <w:rPr>
          <w:rFonts w:cs="David" w:hint="cs"/>
          <w:rtl/>
        </w:rPr>
        <w:t xml:space="preserve">וסיפו ערך רב לעשייתה של </w:t>
      </w:r>
      <w:r w:rsidR="00164B69">
        <w:rPr>
          <w:rFonts w:cs="David" w:hint="cs"/>
          <w:rtl/>
        </w:rPr>
        <w:t>המחלקה</w:t>
      </w:r>
      <w:r w:rsidR="009A604F">
        <w:rPr>
          <w:rFonts w:cs="David" w:hint="cs"/>
          <w:rtl/>
        </w:rPr>
        <w:t>. ברצוני להודות ל</w:t>
      </w:r>
      <w:r w:rsidR="00C05ADB">
        <w:rPr>
          <w:rFonts w:cs="David" w:hint="cs"/>
          <w:rtl/>
        </w:rPr>
        <w:t xml:space="preserve">גב' </w:t>
      </w:r>
      <w:r w:rsidR="009A604F">
        <w:rPr>
          <w:rFonts w:cs="David" w:hint="cs"/>
          <w:rtl/>
        </w:rPr>
        <w:t xml:space="preserve">רונית </w:t>
      </w:r>
      <w:proofErr w:type="spellStart"/>
      <w:r w:rsidR="009A604F">
        <w:rPr>
          <w:rFonts w:cs="David" w:hint="cs"/>
          <w:rtl/>
        </w:rPr>
        <w:t>ציטיאט</w:t>
      </w:r>
      <w:proofErr w:type="spellEnd"/>
      <w:r w:rsidR="009A604F">
        <w:rPr>
          <w:rFonts w:cs="David" w:hint="cs"/>
          <w:rtl/>
        </w:rPr>
        <w:t xml:space="preserve"> שסיימה את תפקידה כמנהלת האגף </w:t>
      </w:r>
      <w:r w:rsidR="00157FF7">
        <w:rPr>
          <w:rFonts w:cs="David" w:hint="cs"/>
          <w:rtl/>
        </w:rPr>
        <w:t>ל</w:t>
      </w:r>
      <w:r w:rsidR="009A604F">
        <w:rPr>
          <w:rFonts w:cs="David" w:hint="cs"/>
          <w:rtl/>
        </w:rPr>
        <w:t>אחר שנים רבות של עשי</w:t>
      </w:r>
      <w:r w:rsidR="00157FF7">
        <w:rPr>
          <w:rFonts w:cs="David" w:hint="cs"/>
          <w:rtl/>
        </w:rPr>
        <w:t>י</w:t>
      </w:r>
      <w:r w:rsidR="009A604F">
        <w:rPr>
          <w:rFonts w:cs="David" w:hint="cs"/>
          <w:rtl/>
        </w:rPr>
        <w:t>ה בתחום</w:t>
      </w:r>
      <w:r w:rsidR="003141EF">
        <w:rPr>
          <w:rFonts w:cs="David" w:hint="cs"/>
          <w:rtl/>
        </w:rPr>
        <w:t xml:space="preserve">". </w:t>
      </w:r>
      <w:r w:rsidR="004130D9">
        <w:rPr>
          <w:rFonts w:cs="David" w:hint="cs"/>
          <w:rtl/>
        </w:rPr>
        <w:t xml:space="preserve"> </w:t>
      </w:r>
    </w:p>
    <w:sectPr w:rsidR="00A410B2" w:rsidRPr="003C4767" w:rsidSect="005758B8">
      <w:headerReference w:type="even" r:id="rId11"/>
      <w:headerReference w:type="default" r:id="rId12"/>
      <w:head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F8B" w:rsidRDefault="00531F8B" w:rsidP="00424FBE">
      <w:r>
        <w:separator/>
      </w:r>
    </w:p>
  </w:endnote>
  <w:endnote w:type="continuationSeparator" w:id="0">
    <w:p w:rsidR="00531F8B" w:rsidRDefault="00531F8B" w:rsidP="0042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F8B" w:rsidRDefault="00531F8B" w:rsidP="00424FBE">
      <w:r>
        <w:separator/>
      </w:r>
    </w:p>
  </w:footnote>
  <w:footnote w:type="continuationSeparator" w:id="0">
    <w:p w:rsidR="00531F8B" w:rsidRDefault="00531F8B" w:rsidP="0042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E" w:rsidRDefault="00424FB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E" w:rsidRDefault="00424FB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E" w:rsidRDefault="00424FB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0100C"/>
    <w:multiLevelType w:val="hybridMultilevel"/>
    <w:tmpl w:val="9038535C"/>
    <w:lvl w:ilvl="0" w:tplc="AD3EBE5A">
      <w:start w:val="1"/>
      <w:numFmt w:val="bullet"/>
      <w:lvlText w:val=""/>
      <w:lvlJc w:val="left"/>
      <w:pPr>
        <w:tabs>
          <w:tab w:val="num" w:pos="1578"/>
        </w:tabs>
        <w:ind w:left="1578" w:hanging="360"/>
      </w:pPr>
      <w:rPr>
        <w:rFonts w:ascii="Symbol" w:hAnsi="Symbol" w:hint="default"/>
        <w:color w:val="auto"/>
        <w:szCs w:val="24"/>
      </w:rPr>
    </w:lvl>
    <w:lvl w:ilvl="1" w:tplc="04090003" w:tentative="1">
      <w:start w:val="1"/>
      <w:numFmt w:val="bullet"/>
      <w:lvlText w:val="o"/>
      <w:lvlJc w:val="left"/>
      <w:pPr>
        <w:tabs>
          <w:tab w:val="num" w:pos="2298"/>
        </w:tabs>
        <w:ind w:left="2298" w:hanging="360"/>
      </w:pPr>
      <w:rPr>
        <w:rFonts w:ascii="Courier New" w:hAnsi="Courier New" w:cs="Courier New" w:hint="default"/>
      </w:rPr>
    </w:lvl>
    <w:lvl w:ilvl="2" w:tplc="04090005" w:tentative="1">
      <w:start w:val="1"/>
      <w:numFmt w:val="bullet"/>
      <w:lvlText w:val=""/>
      <w:lvlJc w:val="left"/>
      <w:pPr>
        <w:tabs>
          <w:tab w:val="num" w:pos="3018"/>
        </w:tabs>
        <w:ind w:left="3018" w:hanging="360"/>
      </w:pPr>
      <w:rPr>
        <w:rFonts w:ascii="Wingdings" w:hAnsi="Wingdings" w:hint="default"/>
      </w:rPr>
    </w:lvl>
    <w:lvl w:ilvl="3" w:tplc="04090001" w:tentative="1">
      <w:start w:val="1"/>
      <w:numFmt w:val="bullet"/>
      <w:lvlText w:val=""/>
      <w:lvlJc w:val="left"/>
      <w:pPr>
        <w:tabs>
          <w:tab w:val="num" w:pos="3738"/>
        </w:tabs>
        <w:ind w:left="3738" w:hanging="360"/>
      </w:pPr>
      <w:rPr>
        <w:rFonts w:ascii="Symbol" w:hAnsi="Symbol" w:hint="default"/>
      </w:rPr>
    </w:lvl>
    <w:lvl w:ilvl="4" w:tplc="04090003" w:tentative="1">
      <w:start w:val="1"/>
      <w:numFmt w:val="bullet"/>
      <w:lvlText w:val="o"/>
      <w:lvlJc w:val="left"/>
      <w:pPr>
        <w:tabs>
          <w:tab w:val="num" w:pos="4458"/>
        </w:tabs>
        <w:ind w:left="4458" w:hanging="360"/>
      </w:pPr>
      <w:rPr>
        <w:rFonts w:ascii="Courier New" w:hAnsi="Courier New" w:cs="Courier New" w:hint="default"/>
      </w:rPr>
    </w:lvl>
    <w:lvl w:ilvl="5" w:tplc="04090005" w:tentative="1">
      <w:start w:val="1"/>
      <w:numFmt w:val="bullet"/>
      <w:lvlText w:val=""/>
      <w:lvlJc w:val="left"/>
      <w:pPr>
        <w:tabs>
          <w:tab w:val="num" w:pos="5178"/>
        </w:tabs>
        <w:ind w:left="5178" w:hanging="360"/>
      </w:pPr>
      <w:rPr>
        <w:rFonts w:ascii="Wingdings" w:hAnsi="Wingdings" w:hint="default"/>
      </w:rPr>
    </w:lvl>
    <w:lvl w:ilvl="6" w:tplc="04090001" w:tentative="1">
      <w:start w:val="1"/>
      <w:numFmt w:val="bullet"/>
      <w:lvlText w:val=""/>
      <w:lvlJc w:val="left"/>
      <w:pPr>
        <w:tabs>
          <w:tab w:val="num" w:pos="5898"/>
        </w:tabs>
        <w:ind w:left="5898" w:hanging="360"/>
      </w:pPr>
      <w:rPr>
        <w:rFonts w:ascii="Symbol" w:hAnsi="Symbol" w:hint="default"/>
      </w:rPr>
    </w:lvl>
    <w:lvl w:ilvl="7" w:tplc="04090003" w:tentative="1">
      <w:start w:val="1"/>
      <w:numFmt w:val="bullet"/>
      <w:lvlText w:val="o"/>
      <w:lvlJc w:val="left"/>
      <w:pPr>
        <w:tabs>
          <w:tab w:val="num" w:pos="6618"/>
        </w:tabs>
        <w:ind w:left="6618" w:hanging="360"/>
      </w:pPr>
      <w:rPr>
        <w:rFonts w:ascii="Courier New" w:hAnsi="Courier New" w:cs="Courier New" w:hint="default"/>
      </w:rPr>
    </w:lvl>
    <w:lvl w:ilvl="8" w:tplc="04090005" w:tentative="1">
      <w:start w:val="1"/>
      <w:numFmt w:val="bullet"/>
      <w:lvlText w:val=""/>
      <w:lvlJc w:val="left"/>
      <w:pPr>
        <w:tabs>
          <w:tab w:val="num" w:pos="7338"/>
        </w:tabs>
        <w:ind w:left="7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5C"/>
    <w:rsid w:val="000058BC"/>
    <w:rsid w:val="000060BE"/>
    <w:rsid w:val="00013E16"/>
    <w:rsid w:val="000204EF"/>
    <w:rsid w:val="00022520"/>
    <w:rsid w:val="000579B7"/>
    <w:rsid w:val="00075F53"/>
    <w:rsid w:val="00080280"/>
    <w:rsid w:val="000832BB"/>
    <w:rsid w:val="00085AFF"/>
    <w:rsid w:val="000862FB"/>
    <w:rsid w:val="000A3EF8"/>
    <w:rsid w:val="000B4069"/>
    <w:rsid w:val="000B695C"/>
    <w:rsid w:val="000C00E6"/>
    <w:rsid w:val="000F2834"/>
    <w:rsid w:val="0010222E"/>
    <w:rsid w:val="00105C25"/>
    <w:rsid w:val="001234E4"/>
    <w:rsid w:val="00131874"/>
    <w:rsid w:val="00157FF7"/>
    <w:rsid w:val="00164B69"/>
    <w:rsid w:val="001872D2"/>
    <w:rsid w:val="001908C7"/>
    <w:rsid w:val="0019766E"/>
    <w:rsid w:val="001B14FB"/>
    <w:rsid w:val="001C5ECB"/>
    <w:rsid w:val="001E6ABC"/>
    <w:rsid w:val="001F148F"/>
    <w:rsid w:val="00236887"/>
    <w:rsid w:val="00252A90"/>
    <w:rsid w:val="00270DCD"/>
    <w:rsid w:val="00294CD9"/>
    <w:rsid w:val="00297EDA"/>
    <w:rsid w:val="002B3B18"/>
    <w:rsid w:val="002B3CA7"/>
    <w:rsid w:val="002D2392"/>
    <w:rsid w:val="002D64E4"/>
    <w:rsid w:val="002E2D1D"/>
    <w:rsid w:val="002E7412"/>
    <w:rsid w:val="002F1706"/>
    <w:rsid w:val="003141EF"/>
    <w:rsid w:val="00320938"/>
    <w:rsid w:val="003513BD"/>
    <w:rsid w:val="003571F5"/>
    <w:rsid w:val="00362707"/>
    <w:rsid w:val="00371FD8"/>
    <w:rsid w:val="00381BA7"/>
    <w:rsid w:val="00390F47"/>
    <w:rsid w:val="003C0A60"/>
    <w:rsid w:val="003C4767"/>
    <w:rsid w:val="003D720E"/>
    <w:rsid w:val="003F0717"/>
    <w:rsid w:val="00401FCF"/>
    <w:rsid w:val="004130D9"/>
    <w:rsid w:val="004139BA"/>
    <w:rsid w:val="00420CA8"/>
    <w:rsid w:val="00424FBE"/>
    <w:rsid w:val="0043324B"/>
    <w:rsid w:val="00433BC9"/>
    <w:rsid w:val="00460819"/>
    <w:rsid w:val="0047330E"/>
    <w:rsid w:val="004738F2"/>
    <w:rsid w:val="004871E0"/>
    <w:rsid w:val="004A0C9B"/>
    <w:rsid w:val="004A0D6B"/>
    <w:rsid w:val="004A3EE9"/>
    <w:rsid w:val="004D2E0E"/>
    <w:rsid w:val="00531F8B"/>
    <w:rsid w:val="00536BD2"/>
    <w:rsid w:val="0056013A"/>
    <w:rsid w:val="005662FB"/>
    <w:rsid w:val="00567E9A"/>
    <w:rsid w:val="005758B8"/>
    <w:rsid w:val="0058640E"/>
    <w:rsid w:val="005E658E"/>
    <w:rsid w:val="005E6619"/>
    <w:rsid w:val="005F6C29"/>
    <w:rsid w:val="00632624"/>
    <w:rsid w:val="0064385C"/>
    <w:rsid w:val="006656C7"/>
    <w:rsid w:val="0066720A"/>
    <w:rsid w:val="00673864"/>
    <w:rsid w:val="006739A3"/>
    <w:rsid w:val="00675373"/>
    <w:rsid w:val="00685D02"/>
    <w:rsid w:val="006A64FB"/>
    <w:rsid w:val="006C2592"/>
    <w:rsid w:val="006D1F97"/>
    <w:rsid w:val="006E63E3"/>
    <w:rsid w:val="006E66C6"/>
    <w:rsid w:val="006E7DFF"/>
    <w:rsid w:val="00712378"/>
    <w:rsid w:val="00747847"/>
    <w:rsid w:val="007972E8"/>
    <w:rsid w:val="007A0572"/>
    <w:rsid w:val="007A4B5C"/>
    <w:rsid w:val="007D2AAC"/>
    <w:rsid w:val="007F068A"/>
    <w:rsid w:val="0084040E"/>
    <w:rsid w:val="00864F0C"/>
    <w:rsid w:val="00871290"/>
    <w:rsid w:val="008B27B6"/>
    <w:rsid w:val="008B7701"/>
    <w:rsid w:val="008D22C9"/>
    <w:rsid w:val="008D43B3"/>
    <w:rsid w:val="008F23F3"/>
    <w:rsid w:val="0091402D"/>
    <w:rsid w:val="0091413D"/>
    <w:rsid w:val="00981A4D"/>
    <w:rsid w:val="009A0E0B"/>
    <w:rsid w:val="009A2AEA"/>
    <w:rsid w:val="009A604F"/>
    <w:rsid w:val="00A0318E"/>
    <w:rsid w:val="00A03850"/>
    <w:rsid w:val="00A153B9"/>
    <w:rsid w:val="00A234CA"/>
    <w:rsid w:val="00A410B2"/>
    <w:rsid w:val="00A74FF9"/>
    <w:rsid w:val="00A94302"/>
    <w:rsid w:val="00A94C8F"/>
    <w:rsid w:val="00AC75A0"/>
    <w:rsid w:val="00AD1378"/>
    <w:rsid w:val="00B100AD"/>
    <w:rsid w:val="00B115FA"/>
    <w:rsid w:val="00B25239"/>
    <w:rsid w:val="00B3043C"/>
    <w:rsid w:val="00B5403E"/>
    <w:rsid w:val="00B6080C"/>
    <w:rsid w:val="00B86213"/>
    <w:rsid w:val="00B86D90"/>
    <w:rsid w:val="00B87330"/>
    <w:rsid w:val="00BC64E8"/>
    <w:rsid w:val="00BE4BE4"/>
    <w:rsid w:val="00BE7CA1"/>
    <w:rsid w:val="00BF58D7"/>
    <w:rsid w:val="00C05ADB"/>
    <w:rsid w:val="00C16546"/>
    <w:rsid w:val="00C63089"/>
    <w:rsid w:val="00C6556D"/>
    <w:rsid w:val="00C8437B"/>
    <w:rsid w:val="00CD3E30"/>
    <w:rsid w:val="00D056AA"/>
    <w:rsid w:val="00D07BCC"/>
    <w:rsid w:val="00D33D7F"/>
    <w:rsid w:val="00D509AA"/>
    <w:rsid w:val="00D559C0"/>
    <w:rsid w:val="00D711F1"/>
    <w:rsid w:val="00D86EDA"/>
    <w:rsid w:val="00DB6C49"/>
    <w:rsid w:val="00DC7967"/>
    <w:rsid w:val="00DD17BF"/>
    <w:rsid w:val="00DD427E"/>
    <w:rsid w:val="00DE2244"/>
    <w:rsid w:val="00DF18DB"/>
    <w:rsid w:val="00DF38C3"/>
    <w:rsid w:val="00E4047F"/>
    <w:rsid w:val="00E451B9"/>
    <w:rsid w:val="00E4625C"/>
    <w:rsid w:val="00E550AD"/>
    <w:rsid w:val="00E56D76"/>
    <w:rsid w:val="00E61BE2"/>
    <w:rsid w:val="00E66A0A"/>
    <w:rsid w:val="00E8508A"/>
    <w:rsid w:val="00EA369C"/>
    <w:rsid w:val="00EA3E68"/>
    <w:rsid w:val="00EA60E8"/>
    <w:rsid w:val="00EC53F1"/>
    <w:rsid w:val="00EE4972"/>
    <w:rsid w:val="00F158AB"/>
    <w:rsid w:val="00F16416"/>
    <w:rsid w:val="00F20DCC"/>
    <w:rsid w:val="00F25273"/>
    <w:rsid w:val="00F26E9F"/>
    <w:rsid w:val="00F5708C"/>
    <w:rsid w:val="00F72FC9"/>
    <w:rsid w:val="00FB0395"/>
    <w:rsid w:val="00FB743B"/>
    <w:rsid w:val="00FC475F"/>
    <w:rsid w:val="00FD1EDB"/>
    <w:rsid w:val="00FE6F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0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4385C"/>
    <w:pPr>
      <w:spacing w:before="100" w:beforeAutospacing="1" w:after="100" w:afterAutospacing="1"/>
    </w:pPr>
    <w:rPr>
      <w:rFonts w:eastAsiaTheme="minorHAnsi"/>
    </w:rPr>
  </w:style>
  <w:style w:type="paragraph" w:styleId="a3">
    <w:name w:val="Balloon Text"/>
    <w:basedOn w:val="a"/>
    <w:link w:val="a4"/>
    <w:rsid w:val="007A4B5C"/>
    <w:rPr>
      <w:rFonts w:ascii="Tahoma" w:hAnsi="Tahoma" w:cs="Tahoma"/>
      <w:sz w:val="16"/>
      <w:szCs w:val="16"/>
    </w:rPr>
  </w:style>
  <w:style w:type="character" w:customStyle="1" w:styleId="a4">
    <w:name w:val="טקסט בלונים תו"/>
    <w:basedOn w:val="a0"/>
    <w:link w:val="a3"/>
    <w:rsid w:val="007A4B5C"/>
    <w:rPr>
      <w:rFonts w:ascii="Tahoma" w:hAnsi="Tahoma" w:cs="Tahoma"/>
      <w:sz w:val="16"/>
      <w:szCs w:val="16"/>
    </w:rPr>
  </w:style>
  <w:style w:type="character" w:styleId="a5">
    <w:name w:val="annotation reference"/>
    <w:basedOn w:val="a0"/>
    <w:rsid w:val="0047330E"/>
    <w:rPr>
      <w:sz w:val="16"/>
      <w:szCs w:val="16"/>
    </w:rPr>
  </w:style>
  <w:style w:type="paragraph" w:styleId="a6">
    <w:name w:val="annotation text"/>
    <w:basedOn w:val="a"/>
    <w:link w:val="a7"/>
    <w:rsid w:val="0047330E"/>
    <w:rPr>
      <w:sz w:val="20"/>
      <w:szCs w:val="20"/>
    </w:rPr>
  </w:style>
  <w:style w:type="character" w:customStyle="1" w:styleId="a7">
    <w:name w:val="טקסט הערה תו"/>
    <w:basedOn w:val="a0"/>
    <w:link w:val="a6"/>
    <w:rsid w:val="0047330E"/>
  </w:style>
  <w:style w:type="paragraph" w:styleId="a8">
    <w:name w:val="annotation subject"/>
    <w:basedOn w:val="a6"/>
    <w:next w:val="a6"/>
    <w:link w:val="a9"/>
    <w:rsid w:val="0047330E"/>
    <w:rPr>
      <w:b/>
      <w:bCs/>
    </w:rPr>
  </w:style>
  <w:style w:type="character" w:customStyle="1" w:styleId="a9">
    <w:name w:val="נושא הערה תו"/>
    <w:basedOn w:val="a7"/>
    <w:link w:val="a8"/>
    <w:rsid w:val="0047330E"/>
    <w:rPr>
      <w:b/>
      <w:bCs/>
    </w:rPr>
  </w:style>
  <w:style w:type="paragraph" w:styleId="aa">
    <w:name w:val="header"/>
    <w:basedOn w:val="a"/>
    <w:link w:val="ab"/>
    <w:rsid w:val="00424FBE"/>
    <w:pPr>
      <w:tabs>
        <w:tab w:val="center" w:pos="4153"/>
        <w:tab w:val="right" w:pos="8306"/>
      </w:tabs>
    </w:pPr>
  </w:style>
  <w:style w:type="character" w:customStyle="1" w:styleId="ab">
    <w:name w:val="כותרת עליונה תו"/>
    <w:basedOn w:val="a0"/>
    <w:link w:val="aa"/>
    <w:rsid w:val="00424FBE"/>
    <w:rPr>
      <w:sz w:val="24"/>
      <w:szCs w:val="24"/>
    </w:rPr>
  </w:style>
  <w:style w:type="paragraph" w:styleId="ac">
    <w:name w:val="footer"/>
    <w:basedOn w:val="a"/>
    <w:link w:val="ad"/>
    <w:rsid w:val="00424FBE"/>
    <w:pPr>
      <w:tabs>
        <w:tab w:val="center" w:pos="4153"/>
        <w:tab w:val="right" w:pos="8306"/>
      </w:tabs>
    </w:pPr>
  </w:style>
  <w:style w:type="character" w:customStyle="1" w:styleId="ad">
    <w:name w:val="כותרת תחתונה תו"/>
    <w:basedOn w:val="a0"/>
    <w:link w:val="ac"/>
    <w:rsid w:val="00424F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33045">
      <w:bodyDiv w:val="1"/>
      <w:marLeft w:val="0"/>
      <w:marRight w:val="0"/>
      <w:marTop w:val="0"/>
      <w:marBottom w:val="0"/>
      <w:divBdr>
        <w:top w:val="none" w:sz="0" w:space="0" w:color="auto"/>
        <w:left w:val="none" w:sz="0" w:space="0" w:color="auto"/>
        <w:bottom w:val="none" w:sz="0" w:space="0" w:color="auto"/>
        <w:right w:val="none" w:sz="0" w:space="0" w:color="auto"/>
      </w:divBdr>
    </w:div>
    <w:div w:id="731387857">
      <w:bodyDiv w:val="1"/>
      <w:marLeft w:val="0"/>
      <w:marRight w:val="0"/>
      <w:marTop w:val="0"/>
      <w:marBottom w:val="0"/>
      <w:divBdr>
        <w:top w:val="none" w:sz="0" w:space="0" w:color="auto"/>
        <w:left w:val="none" w:sz="0" w:space="0" w:color="auto"/>
        <w:bottom w:val="none" w:sz="0" w:space="0" w:color="auto"/>
        <w:right w:val="none" w:sz="0" w:space="0" w:color="auto"/>
      </w:divBdr>
    </w:div>
    <w:div w:id="1390609769">
      <w:bodyDiv w:val="1"/>
      <w:marLeft w:val="0"/>
      <w:marRight w:val="0"/>
      <w:marTop w:val="0"/>
      <w:marBottom w:val="0"/>
      <w:divBdr>
        <w:top w:val="none" w:sz="0" w:space="0" w:color="auto"/>
        <w:left w:val="none" w:sz="0" w:space="0" w:color="auto"/>
        <w:bottom w:val="none" w:sz="0" w:space="0" w:color="auto"/>
        <w:right w:val="none" w:sz="0" w:space="0" w:color="auto"/>
      </w:divBdr>
    </w:div>
    <w:div w:id="17713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06162-02D6-4784-8564-C43B92736BE0}">
  <ds:schemaRefs>
    <ds:schemaRef ds:uri="http://schemas.microsoft.com/sharepoint/v3/contenttype/forms"/>
  </ds:schemaRefs>
</ds:datastoreItem>
</file>

<file path=customXml/itemProps2.xml><?xml version="1.0" encoding="utf-8"?>
<ds:datastoreItem xmlns:ds="http://schemas.openxmlformats.org/officeDocument/2006/customXml" ds:itemID="{3E3498DA-9F1E-40AC-B0C8-676032E6371C}">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1647FA28-18B1-4E5F-B12B-DEE02B61E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1856</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2023-01-10T10:34:00Z</dcterms:created>
  <dcterms:modified xsi:type="dcterms:W3CDTF">2023-01-10T10:34:00Z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