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6A3239" w:rsidTr="002E5159">
        <w:trPr>
          <w:jc w:val="center"/>
        </w:trPr>
        <w:tc>
          <w:tcPr>
            <w:tcW w:w="2840" w:type="dxa"/>
            <w:vAlign w:val="center"/>
          </w:tcPr>
          <w:p w:rsidR="00D921A2" w:rsidRPr="006A3239" w:rsidRDefault="00D921A2" w:rsidP="00BB73A3">
            <w:pPr>
              <w:spacing w:before="240" w:line="360" w:lineRule="auto"/>
              <w:jc w:val="center"/>
              <w:rPr>
                <w:rFonts w:ascii="David" w:hAnsi="David"/>
                <w:b/>
                <w:bCs/>
              </w:rPr>
            </w:pPr>
            <w:r w:rsidRPr="006A3239">
              <w:rPr>
                <w:rFonts w:ascii="David" w:hAnsi="David"/>
                <w:b/>
                <w:bCs/>
                <w:rtl/>
              </w:rPr>
              <w:t>בנק ישראל</w:t>
            </w:r>
          </w:p>
          <w:p w:rsidR="00D921A2" w:rsidRPr="006A3239" w:rsidRDefault="00D921A2" w:rsidP="00BB73A3">
            <w:pPr>
              <w:spacing w:before="240" w:line="360" w:lineRule="auto"/>
              <w:ind w:right="-101"/>
              <w:jc w:val="center"/>
              <w:rPr>
                <w:rFonts w:ascii="David" w:hAnsi="David"/>
              </w:rPr>
            </w:pPr>
            <w:r w:rsidRPr="006A3239">
              <w:rPr>
                <w:rFonts w:ascii="David" w:hAnsi="David"/>
                <w:rtl/>
              </w:rPr>
              <w:t>דוברות והסברה כלכלית</w:t>
            </w:r>
          </w:p>
        </w:tc>
        <w:tc>
          <w:tcPr>
            <w:tcW w:w="2596" w:type="dxa"/>
          </w:tcPr>
          <w:p w:rsidR="00D921A2" w:rsidRPr="006A3239" w:rsidRDefault="00AE5FAE" w:rsidP="009709E0">
            <w:pPr>
              <w:spacing w:before="240"/>
              <w:jc w:val="both"/>
              <w:rPr>
                <w:rFonts w:ascii="David" w:hAnsi="David"/>
              </w:rPr>
            </w:pPr>
            <w:r w:rsidRPr="006A3239">
              <w:rPr>
                <w:rFonts w:ascii="David" w:hAnsi="David"/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vAlign w:val="center"/>
          </w:tcPr>
          <w:p w:rsidR="00D921A2" w:rsidRPr="006A3239" w:rsidRDefault="00D921A2" w:rsidP="00BB73A3">
            <w:pPr>
              <w:spacing w:before="240" w:line="480" w:lineRule="auto"/>
              <w:jc w:val="right"/>
              <w:rPr>
                <w:rFonts w:ascii="David" w:hAnsi="David"/>
                <w:rtl/>
              </w:rPr>
            </w:pPr>
            <w:r w:rsidRPr="006A3239">
              <w:rPr>
                <w:rFonts w:ascii="David" w:hAnsi="David"/>
                <w:rtl/>
              </w:rPr>
              <w:t>‏ירושלים</w:t>
            </w:r>
            <w:r w:rsidR="002F0DC3" w:rsidRPr="006A3239">
              <w:rPr>
                <w:rFonts w:ascii="David" w:hAnsi="David"/>
                <w:rtl/>
              </w:rPr>
              <w:t xml:space="preserve">, </w:t>
            </w:r>
            <w:r w:rsidR="006C1E0C" w:rsidRPr="006A3239">
              <w:rPr>
                <w:rFonts w:ascii="David" w:hAnsi="David"/>
                <w:rtl/>
              </w:rPr>
              <w:t>כ</w:t>
            </w:r>
            <w:r w:rsidR="00D96916" w:rsidRPr="006A3239">
              <w:rPr>
                <w:rFonts w:ascii="David" w:hAnsi="David"/>
                <w:rtl/>
              </w:rPr>
              <w:t>"</w:t>
            </w:r>
            <w:r w:rsidR="00EA3D5E" w:rsidRPr="006A3239">
              <w:rPr>
                <w:rFonts w:ascii="David" w:hAnsi="David"/>
                <w:rtl/>
              </w:rPr>
              <w:t>ו</w:t>
            </w:r>
            <w:r w:rsidR="00797E9F" w:rsidRPr="006A3239">
              <w:rPr>
                <w:rFonts w:ascii="David" w:hAnsi="David"/>
                <w:rtl/>
              </w:rPr>
              <w:t xml:space="preserve"> </w:t>
            </w:r>
            <w:r w:rsidR="006C1E0C" w:rsidRPr="006A3239">
              <w:rPr>
                <w:rFonts w:ascii="David" w:hAnsi="David"/>
                <w:rtl/>
              </w:rPr>
              <w:t>ב</w:t>
            </w:r>
            <w:r w:rsidR="0092750F" w:rsidRPr="006A3239">
              <w:rPr>
                <w:rFonts w:ascii="David" w:hAnsi="David"/>
                <w:rtl/>
              </w:rPr>
              <w:t>כסלו</w:t>
            </w:r>
            <w:r w:rsidR="00D43807" w:rsidRPr="006A3239">
              <w:rPr>
                <w:rFonts w:ascii="David" w:hAnsi="David"/>
                <w:rtl/>
              </w:rPr>
              <w:t xml:space="preserve"> </w:t>
            </w:r>
            <w:r w:rsidR="006A3239" w:rsidRPr="006A3239">
              <w:rPr>
                <w:rFonts w:ascii="David" w:hAnsi="David"/>
                <w:rtl/>
              </w:rPr>
              <w:t>ת</w:t>
            </w:r>
            <w:r w:rsidRPr="006A3239">
              <w:rPr>
                <w:rFonts w:ascii="David" w:hAnsi="David"/>
                <w:rtl/>
              </w:rPr>
              <w:t>ש"</w:t>
            </w:r>
            <w:r w:rsidR="00A65F0D" w:rsidRPr="006A3239">
              <w:rPr>
                <w:rFonts w:ascii="David" w:hAnsi="David"/>
                <w:rtl/>
              </w:rPr>
              <w:t>ף</w:t>
            </w:r>
          </w:p>
          <w:p w:rsidR="00D921A2" w:rsidRPr="006A3239" w:rsidRDefault="00EA3D5E" w:rsidP="00BB73A3">
            <w:pPr>
              <w:spacing w:before="240" w:line="480" w:lineRule="auto"/>
              <w:jc w:val="right"/>
              <w:rPr>
                <w:rFonts w:ascii="David" w:hAnsi="David"/>
              </w:rPr>
            </w:pPr>
            <w:r w:rsidRPr="006A3239">
              <w:rPr>
                <w:rFonts w:ascii="David" w:hAnsi="David"/>
                <w:rtl/>
              </w:rPr>
              <w:t>24</w:t>
            </w:r>
            <w:r w:rsidR="008411FF" w:rsidRPr="006A3239">
              <w:rPr>
                <w:rFonts w:ascii="David" w:hAnsi="David"/>
                <w:rtl/>
              </w:rPr>
              <w:t xml:space="preserve"> </w:t>
            </w:r>
            <w:r w:rsidR="00CE2D8C" w:rsidRPr="006A3239">
              <w:rPr>
                <w:rFonts w:ascii="David" w:hAnsi="David"/>
                <w:rtl/>
              </w:rPr>
              <w:t>ב</w:t>
            </w:r>
            <w:r w:rsidR="008B3AFE" w:rsidRPr="006A3239">
              <w:rPr>
                <w:rFonts w:ascii="David" w:hAnsi="David"/>
                <w:rtl/>
              </w:rPr>
              <w:t>דצמ</w:t>
            </w:r>
            <w:r w:rsidR="00F1101F" w:rsidRPr="006A3239">
              <w:rPr>
                <w:rFonts w:ascii="David" w:hAnsi="David"/>
                <w:rtl/>
              </w:rPr>
              <w:t>בר</w:t>
            </w:r>
            <w:r w:rsidR="00444713" w:rsidRPr="006A3239">
              <w:rPr>
                <w:rFonts w:ascii="David" w:hAnsi="David"/>
                <w:rtl/>
              </w:rPr>
              <w:t xml:space="preserve"> </w:t>
            </w:r>
            <w:r w:rsidR="00CE2D8C" w:rsidRPr="006A3239">
              <w:rPr>
                <w:rFonts w:ascii="David" w:hAnsi="David"/>
                <w:rtl/>
              </w:rPr>
              <w:t>2019</w:t>
            </w:r>
            <w:r w:rsidR="00444713" w:rsidRPr="006A3239">
              <w:rPr>
                <w:rFonts w:ascii="David" w:hAnsi="David"/>
                <w:rtl/>
              </w:rPr>
              <w:t xml:space="preserve"> </w:t>
            </w:r>
          </w:p>
        </w:tc>
      </w:tr>
      <w:tr w:rsidR="005827E7" w:rsidRPr="006A3239" w:rsidTr="002E5159">
        <w:trPr>
          <w:jc w:val="center"/>
        </w:trPr>
        <w:tc>
          <w:tcPr>
            <w:tcW w:w="2840" w:type="dxa"/>
            <w:vAlign w:val="center"/>
          </w:tcPr>
          <w:p w:rsidR="005827E7" w:rsidRPr="006A3239" w:rsidRDefault="005827E7" w:rsidP="009709E0">
            <w:pPr>
              <w:spacing w:before="240" w:line="360" w:lineRule="auto"/>
              <w:jc w:val="both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2596" w:type="dxa"/>
          </w:tcPr>
          <w:p w:rsidR="005827E7" w:rsidRPr="006A3239" w:rsidRDefault="005827E7" w:rsidP="009709E0">
            <w:pPr>
              <w:spacing w:before="240"/>
              <w:jc w:val="both"/>
              <w:rPr>
                <w:rFonts w:ascii="David" w:hAnsi="David"/>
                <w:noProof/>
                <w:rtl/>
                <w:lang w:eastAsia="en-US"/>
              </w:rPr>
            </w:pPr>
          </w:p>
        </w:tc>
        <w:tc>
          <w:tcPr>
            <w:tcW w:w="3084" w:type="dxa"/>
            <w:vAlign w:val="center"/>
          </w:tcPr>
          <w:p w:rsidR="005827E7" w:rsidRPr="006A3239" w:rsidRDefault="005827E7" w:rsidP="0092750F">
            <w:pPr>
              <w:spacing w:before="240" w:line="480" w:lineRule="auto"/>
              <w:jc w:val="both"/>
              <w:rPr>
                <w:rFonts w:ascii="David" w:hAnsi="David"/>
                <w:rtl/>
              </w:rPr>
            </w:pPr>
          </w:p>
        </w:tc>
      </w:tr>
    </w:tbl>
    <w:p w:rsidR="00D921A2" w:rsidRPr="006A3239" w:rsidRDefault="00D921A2" w:rsidP="009709E0">
      <w:pPr>
        <w:spacing w:before="240" w:line="360" w:lineRule="auto"/>
        <w:ind w:right="-101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>הודעה לעיתונות:</w:t>
      </w:r>
    </w:p>
    <w:p w:rsidR="00E724A2" w:rsidRPr="006A3239" w:rsidRDefault="0078645B" w:rsidP="006A3239">
      <w:pPr>
        <w:pStyle w:val="af2"/>
        <w:spacing w:before="240" w:after="240"/>
        <w:rPr>
          <w:rFonts w:ascii="David" w:hAnsi="David"/>
          <w:b/>
          <w:bCs/>
          <w:rtl/>
        </w:rPr>
      </w:pPr>
      <w:r w:rsidRPr="006A3239">
        <w:rPr>
          <w:rFonts w:ascii="David" w:hAnsi="David"/>
          <w:b/>
          <w:bCs/>
          <w:rtl/>
        </w:rPr>
        <w:t xml:space="preserve">התפתחויות </w:t>
      </w:r>
      <w:r w:rsidR="00E724A2" w:rsidRPr="006A3239">
        <w:rPr>
          <w:rFonts w:ascii="David" w:hAnsi="David"/>
          <w:b/>
          <w:bCs/>
          <w:rtl/>
        </w:rPr>
        <w:t>בתיק הנכסים</w:t>
      </w:r>
      <w:r w:rsidR="00883782" w:rsidRPr="006A3239">
        <w:rPr>
          <w:rFonts w:ascii="David" w:hAnsi="David"/>
          <w:b/>
          <w:bCs/>
          <w:rtl/>
        </w:rPr>
        <w:t xml:space="preserve"> הפיננסיים</w:t>
      </w:r>
      <w:r w:rsidR="00B35B70" w:rsidRPr="006A3239">
        <w:rPr>
          <w:rFonts w:ascii="David" w:hAnsi="David"/>
          <w:b/>
          <w:bCs/>
          <w:rtl/>
        </w:rPr>
        <w:t xml:space="preserve"> של הציבור</w:t>
      </w:r>
      <w:r w:rsidR="003B437B" w:rsidRPr="006A3239">
        <w:rPr>
          <w:rFonts w:ascii="David" w:hAnsi="David"/>
          <w:b/>
          <w:bCs/>
          <w:rtl/>
        </w:rPr>
        <w:t xml:space="preserve"> ברביע </w:t>
      </w:r>
      <w:r w:rsidR="00CE2D8C" w:rsidRPr="006A3239">
        <w:rPr>
          <w:rFonts w:ascii="David" w:hAnsi="David"/>
          <w:b/>
          <w:bCs/>
          <w:rtl/>
        </w:rPr>
        <w:t>ה</w:t>
      </w:r>
      <w:r w:rsidR="00F61214" w:rsidRPr="006A3239">
        <w:rPr>
          <w:rFonts w:ascii="David" w:hAnsi="David"/>
          <w:b/>
          <w:bCs/>
          <w:rtl/>
        </w:rPr>
        <w:t>שליש</w:t>
      </w:r>
      <w:r w:rsidR="00F1101F" w:rsidRPr="006A3239">
        <w:rPr>
          <w:rFonts w:ascii="David" w:hAnsi="David"/>
          <w:b/>
          <w:bCs/>
          <w:rtl/>
        </w:rPr>
        <w:t>י</w:t>
      </w:r>
      <w:r w:rsidR="009530C6" w:rsidRPr="006A3239">
        <w:rPr>
          <w:rFonts w:ascii="David" w:hAnsi="David"/>
          <w:b/>
          <w:bCs/>
          <w:rtl/>
        </w:rPr>
        <w:t xml:space="preserve"> </w:t>
      </w:r>
      <w:r w:rsidR="009F3982" w:rsidRPr="006A3239">
        <w:rPr>
          <w:rFonts w:ascii="David" w:hAnsi="David"/>
          <w:b/>
          <w:bCs/>
          <w:rtl/>
        </w:rPr>
        <w:t xml:space="preserve">של </w:t>
      </w:r>
      <w:r w:rsidR="009530C6" w:rsidRPr="006A3239">
        <w:rPr>
          <w:rFonts w:ascii="David" w:hAnsi="David"/>
          <w:b/>
          <w:bCs/>
          <w:rtl/>
        </w:rPr>
        <w:t xml:space="preserve">שנת </w:t>
      </w:r>
      <w:r w:rsidR="00767D86" w:rsidRPr="006A3239">
        <w:rPr>
          <w:rFonts w:ascii="David" w:hAnsi="David"/>
          <w:b/>
          <w:bCs/>
          <w:rtl/>
        </w:rPr>
        <w:t>201</w:t>
      </w:r>
      <w:r w:rsidR="006C1E0C" w:rsidRPr="006A3239">
        <w:rPr>
          <w:rFonts w:ascii="David" w:hAnsi="David"/>
          <w:b/>
          <w:bCs/>
          <w:rtl/>
        </w:rPr>
        <w:t>9</w:t>
      </w:r>
    </w:p>
    <w:p w:rsidR="00091F3F" w:rsidRPr="006A3239" w:rsidRDefault="00F502DF" w:rsidP="00D719DE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David" w:hAnsi="David"/>
          <w:b/>
          <w:bCs/>
        </w:rPr>
      </w:pPr>
      <w:r w:rsidRPr="006A3239">
        <w:rPr>
          <w:rFonts w:ascii="David" w:hAnsi="David"/>
          <w:b/>
          <w:bCs/>
          <w:rtl/>
        </w:rPr>
        <w:t xml:space="preserve">ברביע </w:t>
      </w:r>
      <w:r w:rsidR="00767D86" w:rsidRPr="006A3239">
        <w:rPr>
          <w:rFonts w:ascii="David" w:hAnsi="David"/>
          <w:b/>
          <w:bCs/>
          <w:rtl/>
        </w:rPr>
        <w:t>ה</w:t>
      </w:r>
      <w:r w:rsidR="00D719DE" w:rsidRPr="006A3239">
        <w:rPr>
          <w:rFonts w:ascii="David" w:hAnsi="David"/>
          <w:b/>
          <w:bCs/>
          <w:rtl/>
        </w:rPr>
        <w:t xml:space="preserve">שלישי </w:t>
      </w:r>
      <w:r w:rsidRPr="006A3239">
        <w:rPr>
          <w:rFonts w:ascii="David" w:hAnsi="David"/>
          <w:b/>
          <w:bCs/>
          <w:rtl/>
        </w:rPr>
        <w:t>של שנת 201</w:t>
      </w:r>
      <w:r w:rsidR="006C1E0C" w:rsidRPr="006A3239">
        <w:rPr>
          <w:rFonts w:ascii="David" w:hAnsi="David"/>
          <w:b/>
          <w:bCs/>
          <w:rtl/>
        </w:rPr>
        <w:t>9</w:t>
      </w:r>
      <w:r w:rsidRPr="006A3239">
        <w:rPr>
          <w:rFonts w:ascii="David" w:hAnsi="David"/>
          <w:b/>
          <w:bCs/>
          <w:rtl/>
        </w:rPr>
        <w:t xml:space="preserve"> </w:t>
      </w:r>
      <w:r w:rsidR="006C1E0C" w:rsidRPr="006A3239">
        <w:rPr>
          <w:rFonts w:ascii="David" w:hAnsi="David"/>
          <w:b/>
          <w:bCs/>
          <w:rtl/>
        </w:rPr>
        <w:t>עלת</w:t>
      </w:r>
      <w:r w:rsidR="003F7C50" w:rsidRPr="006A3239">
        <w:rPr>
          <w:rFonts w:ascii="David" w:hAnsi="David"/>
          <w:b/>
          <w:bCs/>
          <w:rtl/>
        </w:rPr>
        <w:t>ה</w:t>
      </w:r>
      <w:r w:rsidRPr="006A3239">
        <w:rPr>
          <w:rFonts w:ascii="David" w:hAnsi="David"/>
          <w:b/>
          <w:bCs/>
          <w:rtl/>
        </w:rPr>
        <w:t xml:space="preserve"> </w:t>
      </w:r>
      <w:r w:rsidR="003F7C50" w:rsidRPr="006A3239">
        <w:rPr>
          <w:rFonts w:ascii="David" w:hAnsi="David"/>
          <w:b/>
          <w:bCs/>
          <w:rtl/>
        </w:rPr>
        <w:t>יתרת</w:t>
      </w:r>
      <w:r w:rsidR="00EC18EA" w:rsidRPr="006A3239">
        <w:rPr>
          <w:rFonts w:ascii="David" w:hAnsi="David"/>
          <w:b/>
          <w:bCs/>
          <w:rtl/>
        </w:rPr>
        <w:t xml:space="preserve"> תיק הנכסים</w:t>
      </w:r>
      <w:r w:rsidR="00235FBA" w:rsidRPr="006A3239">
        <w:rPr>
          <w:rFonts w:ascii="David" w:hAnsi="David"/>
          <w:b/>
          <w:bCs/>
          <w:rtl/>
        </w:rPr>
        <w:t xml:space="preserve"> הפיננסיים של הציבור</w:t>
      </w:r>
      <w:r w:rsidR="00EC18EA" w:rsidRPr="006A3239">
        <w:rPr>
          <w:rFonts w:ascii="David" w:hAnsi="David"/>
          <w:b/>
          <w:bCs/>
          <w:rtl/>
        </w:rPr>
        <w:t xml:space="preserve"> בכ-</w:t>
      </w:r>
      <w:r w:rsidR="00D719DE" w:rsidRPr="006A3239">
        <w:rPr>
          <w:rFonts w:ascii="David" w:hAnsi="David"/>
          <w:b/>
          <w:bCs/>
          <w:rtl/>
        </w:rPr>
        <w:t>5</w:t>
      </w:r>
      <w:r w:rsidR="004F31D6" w:rsidRPr="006A3239">
        <w:rPr>
          <w:rFonts w:ascii="David" w:hAnsi="David"/>
          <w:b/>
          <w:bCs/>
          <w:rtl/>
        </w:rPr>
        <w:t>6</w:t>
      </w:r>
      <w:r w:rsidR="00EC18EA" w:rsidRPr="006A3239">
        <w:rPr>
          <w:rFonts w:ascii="David" w:hAnsi="David"/>
          <w:b/>
          <w:bCs/>
          <w:rtl/>
        </w:rPr>
        <w:t xml:space="preserve"> מיליארדי ש"ח (</w:t>
      </w:r>
      <w:r w:rsidR="00E32E8A" w:rsidRPr="006A3239">
        <w:rPr>
          <w:rFonts w:ascii="David" w:hAnsi="David"/>
          <w:b/>
          <w:bCs/>
        </w:rPr>
        <w:t>%</w:t>
      </w:r>
      <w:r w:rsidR="00D719DE" w:rsidRPr="006A3239">
        <w:rPr>
          <w:rFonts w:ascii="David" w:hAnsi="David"/>
          <w:b/>
          <w:bCs/>
          <w:rtl/>
        </w:rPr>
        <w:t>1</w:t>
      </w:r>
      <w:r w:rsidR="006D6B90" w:rsidRPr="006A3239">
        <w:rPr>
          <w:rFonts w:ascii="David" w:hAnsi="David"/>
          <w:b/>
          <w:bCs/>
          <w:rtl/>
        </w:rPr>
        <w:t>.</w:t>
      </w:r>
      <w:r w:rsidR="00D719DE" w:rsidRPr="006A3239">
        <w:rPr>
          <w:rFonts w:ascii="David" w:hAnsi="David"/>
          <w:b/>
          <w:bCs/>
          <w:rtl/>
        </w:rPr>
        <w:t>4</w:t>
      </w:r>
      <w:r w:rsidR="006D6B90" w:rsidRPr="006A3239">
        <w:rPr>
          <w:rFonts w:ascii="David" w:hAnsi="David"/>
          <w:b/>
          <w:bCs/>
          <w:rtl/>
        </w:rPr>
        <w:t>) ועמד</w:t>
      </w:r>
      <w:r w:rsidR="003F7C50" w:rsidRPr="006A3239">
        <w:rPr>
          <w:rFonts w:ascii="David" w:hAnsi="David"/>
          <w:b/>
          <w:bCs/>
          <w:rtl/>
        </w:rPr>
        <w:t>ה</w:t>
      </w:r>
      <w:r w:rsidR="006D6B90" w:rsidRPr="006A3239">
        <w:rPr>
          <w:rFonts w:ascii="David" w:hAnsi="David"/>
          <w:b/>
          <w:bCs/>
          <w:rtl/>
        </w:rPr>
        <w:t xml:space="preserve"> בסופו על כ-3.</w:t>
      </w:r>
      <w:r w:rsidR="004F31D6" w:rsidRPr="006A3239">
        <w:rPr>
          <w:rFonts w:ascii="David" w:hAnsi="David"/>
          <w:b/>
          <w:bCs/>
          <w:rtl/>
        </w:rPr>
        <w:t>9</w:t>
      </w:r>
      <w:r w:rsidR="00CC17EC" w:rsidRPr="006A3239">
        <w:rPr>
          <w:rFonts w:ascii="David" w:hAnsi="David"/>
          <w:b/>
          <w:bCs/>
          <w:rtl/>
        </w:rPr>
        <w:t>7</w:t>
      </w:r>
      <w:r w:rsidR="00DD612E" w:rsidRPr="006A3239">
        <w:rPr>
          <w:rFonts w:ascii="David" w:hAnsi="David"/>
          <w:b/>
          <w:bCs/>
          <w:rtl/>
        </w:rPr>
        <w:t xml:space="preserve"> טריליוני </w:t>
      </w:r>
      <w:r w:rsidR="00EC18EA" w:rsidRPr="006A3239">
        <w:rPr>
          <w:rFonts w:ascii="David" w:hAnsi="David"/>
          <w:b/>
          <w:bCs/>
          <w:rtl/>
        </w:rPr>
        <w:t>ש"ח.</w:t>
      </w:r>
    </w:p>
    <w:p w:rsidR="00C31AD4" w:rsidRPr="006A3239" w:rsidRDefault="00C31AD4" w:rsidP="00D719DE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David" w:hAnsi="David"/>
          <w:b/>
          <w:bCs/>
        </w:rPr>
      </w:pPr>
      <w:r w:rsidRPr="006A3239">
        <w:rPr>
          <w:rFonts w:ascii="David" w:hAnsi="David"/>
          <w:b/>
          <w:bCs/>
          <w:rtl/>
        </w:rPr>
        <w:t xml:space="preserve">בלטו העליות ביתרות החזקת הציבור </w:t>
      </w:r>
      <w:r w:rsidR="00D719DE" w:rsidRPr="006A3239">
        <w:rPr>
          <w:rFonts w:ascii="David" w:hAnsi="David"/>
          <w:b/>
          <w:bCs/>
          <w:rtl/>
        </w:rPr>
        <w:t>באג"ח ממשלתיות ובמניות בארץ</w:t>
      </w:r>
      <w:r w:rsidR="004F31D6" w:rsidRPr="006A3239">
        <w:rPr>
          <w:rFonts w:ascii="David" w:hAnsi="David"/>
          <w:b/>
          <w:bCs/>
          <w:rtl/>
        </w:rPr>
        <w:t xml:space="preserve"> לעומת יריד</w:t>
      </w:r>
      <w:r w:rsidR="00D719DE" w:rsidRPr="006A3239">
        <w:rPr>
          <w:rFonts w:ascii="David" w:hAnsi="David"/>
          <w:b/>
          <w:bCs/>
          <w:rtl/>
        </w:rPr>
        <w:t>ה מסוימת</w:t>
      </w:r>
      <w:r w:rsidR="004F31D6" w:rsidRPr="006A3239">
        <w:rPr>
          <w:rFonts w:ascii="David" w:hAnsi="David"/>
          <w:b/>
          <w:bCs/>
          <w:rtl/>
        </w:rPr>
        <w:t xml:space="preserve"> בה</w:t>
      </w:r>
      <w:r w:rsidR="008479E2" w:rsidRPr="006A3239">
        <w:rPr>
          <w:rFonts w:ascii="David" w:hAnsi="David"/>
          <w:b/>
          <w:bCs/>
          <w:rtl/>
        </w:rPr>
        <w:t>חזק</w:t>
      </w:r>
      <w:r w:rsidR="004F31D6" w:rsidRPr="006A3239">
        <w:rPr>
          <w:rFonts w:ascii="David" w:hAnsi="David"/>
          <w:b/>
          <w:bCs/>
          <w:rtl/>
        </w:rPr>
        <w:t xml:space="preserve">ת הציבור </w:t>
      </w:r>
      <w:r w:rsidR="00D719DE" w:rsidRPr="006A3239">
        <w:rPr>
          <w:rFonts w:ascii="David" w:hAnsi="David"/>
          <w:b/>
          <w:bCs/>
          <w:rtl/>
        </w:rPr>
        <w:t>בפיקדונות</w:t>
      </w:r>
      <w:r w:rsidR="004F31D6" w:rsidRPr="006A3239">
        <w:rPr>
          <w:rFonts w:ascii="David" w:hAnsi="David"/>
          <w:b/>
          <w:bCs/>
          <w:rtl/>
        </w:rPr>
        <w:t>.</w:t>
      </w:r>
    </w:p>
    <w:p w:rsidR="0034683B" w:rsidRPr="006A3239" w:rsidRDefault="00FF1E74" w:rsidP="00384B1C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David" w:hAnsi="David"/>
          <w:b/>
          <w:bCs/>
        </w:rPr>
      </w:pPr>
      <w:r w:rsidRPr="006A3239">
        <w:rPr>
          <w:rFonts w:ascii="David" w:hAnsi="David"/>
          <w:b/>
          <w:bCs/>
          <w:rtl/>
        </w:rPr>
        <w:t xml:space="preserve">יתרת התיק המנוהל בידי המשקיעים המוסדיים עלתה ברביע </w:t>
      </w:r>
      <w:r w:rsidR="00384B1C" w:rsidRPr="006A3239">
        <w:rPr>
          <w:rFonts w:ascii="David" w:hAnsi="David"/>
          <w:b/>
          <w:bCs/>
          <w:rtl/>
        </w:rPr>
        <w:t>השלישי</w:t>
      </w:r>
      <w:r w:rsidRPr="006A3239">
        <w:rPr>
          <w:rFonts w:ascii="David" w:hAnsi="David"/>
          <w:b/>
          <w:bCs/>
          <w:rtl/>
        </w:rPr>
        <w:t xml:space="preserve"> של שנת 2019 </w:t>
      </w:r>
      <w:r w:rsidR="0034683B" w:rsidRPr="006A3239">
        <w:rPr>
          <w:rFonts w:ascii="David" w:hAnsi="David"/>
          <w:b/>
          <w:bCs/>
          <w:rtl/>
        </w:rPr>
        <w:t>בכ-</w:t>
      </w:r>
      <w:r w:rsidR="00384B1C" w:rsidRPr="006A3239">
        <w:rPr>
          <w:rFonts w:ascii="David" w:hAnsi="David"/>
          <w:b/>
          <w:bCs/>
          <w:rtl/>
        </w:rPr>
        <w:t>56</w:t>
      </w:r>
      <w:r w:rsidR="0034683B" w:rsidRPr="006A3239">
        <w:rPr>
          <w:rFonts w:ascii="David" w:hAnsi="David"/>
          <w:b/>
          <w:bCs/>
          <w:rtl/>
        </w:rPr>
        <w:t xml:space="preserve"> מיליארדי ש"ח (3.</w:t>
      </w:r>
      <w:r w:rsidR="00384B1C" w:rsidRPr="006A3239">
        <w:rPr>
          <w:rFonts w:ascii="David" w:hAnsi="David"/>
          <w:b/>
          <w:bCs/>
          <w:rtl/>
        </w:rPr>
        <w:t>1</w:t>
      </w:r>
      <w:r w:rsidR="0034683B" w:rsidRPr="006A3239">
        <w:rPr>
          <w:rFonts w:ascii="David" w:hAnsi="David"/>
          <w:b/>
          <w:bCs/>
          <w:rtl/>
        </w:rPr>
        <w:t>%) לרמה של כ-</w:t>
      </w:r>
      <w:r w:rsidR="00384B1C" w:rsidRPr="006A3239">
        <w:rPr>
          <w:rFonts w:ascii="David" w:hAnsi="David"/>
          <w:b/>
          <w:bCs/>
          <w:rtl/>
        </w:rPr>
        <w:t>1.84</w:t>
      </w:r>
      <w:r w:rsidR="0034683B" w:rsidRPr="006A3239">
        <w:rPr>
          <w:rFonts w:ascii="David" w:hAnsi="David"/>
          <w:b/>
          <w:bCs/>
          <w:rtl/>
        </w:rPr>
        <w:t xml:space="preserve"> טריליונים.</w:t>
      </w:r>
    </w:p>
    <w:p w:rsidR="00CB18EF" w:rsidRPr="006A3239" w:rsidRDefault="000D26F6" w:rsidP="004513DF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David" w:hAnsi="David"/>
          <w:b/>
          <w:bCs/>
        </w:rPr>
      </w:pPr>
      <w:r w:rsidRPr="006A3239">
        <w:rPr>
          <w:rFonts w:ascii="David" w:hAnsi="David"/>
          <w:b/>
          <w:bCs/>
          <w:rtl/>
        </w:rPr>
        <w:t>שיעור</w:t>
      </w:r>
      <w:r w:rsidR="00CB18EF" w:rsidRPr="006A3239">
        <w:rPr>
          <w:rFonts w:ascii="David" w:hAnsi="David"/>
          <w:b/>
          <w:bCs/>
          <w:rtl/>
        </w:rPr>
        <w:t xml:space="preserve"> החשיפה של ה</w:t>
      </w:r>
      <w:r w:rsidR="00060438" w:rsidRPr="006A3239">
        <w:rPr>
          <w:rFonts w:ascii="David" w:hAnsi="David"/>
          <w:b/>
          <w:bCs/>
          <w:rtl/>
        </w:rPr>
        <w:t>גופים ה</w:t>
      </w:r>
      <w:r w:rsidR="00CB18EF" w:rsidRPr="006A3239">
        <w:rPr>
          <w:rFonts w:ascii="David" w:hAnsi="David"/>
          <w:b/>
          <w:bCs/>
          <w:rtl/>
        </w:rPr>
        <w:t xml:space="preserve">מוסדיים לנכסים זרים </w:t>
      </w:r>
      <w:r w:rsidR="00384B1C" w:rsidRPr="006A3239">
        <w:rPr>
          <w:rFonts w:ascii="David" w:hAnsi="David"/>
          <w:b/>
          <w:bCs/>
          <w:rtl/>
        </w:rPr>
        <w:t>נותר ללא שינוי, לעומת ירידה</w:t>
      </w:r>
      <w:r w:rsidR="00060438" w:rsidRPr="006A3239">
        <w:rPr>
          <w:rFonts w:ascii="David" w:hAnsi="David"/>
          <w:b/>
          <w:bCs/>
          <w:rtl/>
        </w:rPr>
        <w:t xml:space="preserve"> </w:t>
      </w:r>
      <w:r w:rsidR="00384B1C" w:rsidRPr="006A3239">
        <w:rPr>
          <w:rFonts w:ascii="David" w:hAnsi="David"/>
          <w:b/>
          <w:bCs/>
          <w:rtl/>
        </w:rPr>
        <w:t>של כ-0.4 נקודות אחוז ב</w:t>
      </w:r>
      <w:r w:rsidR="00060438" w:rsidRPr="006A3239">
        <w:rPr>
          <w:rFonts w:ascii="David" w:hAnsi="David"/>
          <w:b/>
          <w:bCs/>
          <w:rtl/>
        </w:rPr>
        <w:t xml:space="preserve">שיעור החשיפה </w:t>
      </w:r>
      <w:r w:rsidR="00384B1C" w:rsidRPr="006A3239">
        <w:rPr>
          <w:rFonts w:ascii="David" w:hAnsi="David"/>
          <w:b/>
          <w:bCs/>
          <w:rtl/>
        </w:rPr>
        <w:t>למט"ח.</w:t>
      </w:r>
    </w:p>
    <w:p w:rsidR="00A35E6E" w:rsidRPr="006A3239" w:rsidRDefault="00D96916" w:rsidP="00DB5577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David" w:hAnsi="David"/>
          <w:b/>
          <w:bCs/>
        </w:rPr>
      </w:pPr>
      <w:r w:rsidRPr="006A3239">
        <w:rPr>
          <w:rFonts w:ascii="David" w:hAnsi="David"/>
          <w:b/>
          <w:bCs/>
          <w:rtl/>
        </w:rPr>
        <w:t>היקף התיק המנוהל באמצעות קרנות נאמנות</w:t>
      </w:r>
      <w:r w:rsidR="000226B0" w:rsidRPr="006A3239">
        <w:rPr>
          <w:rFonts w:ascii="David" w:hAnsi="David"/>
          <w:b/>
          <w:bCs/>
          <w:rtl/>
        </w:rPr>
        <w:t xml:space="preserve"> </w:t>
      </w:r>
      <w:r w:rsidRPr="006A3239">
        <w:rPr>
          <w:rFonts w:ascii="David" w:hAnsi="David"/>
          <w:b/>
          <w:bCs/>
          <w:rtl/>
        </w:rPr>
        <w:t xml:space="preserve">בארץ </w:t>
      </w:r>
      <w:r w:rsidR="00C31AD4" w:rsidRPr="006A3239">
        <w:rPr>
          <w:rFonts w:ascii="David" w:hAnsi="David"/>
          <w:b/>
          <w:bCs/>
          <w:rtl/>
        </w:rPr>
        <w:t>עלה</w:t>
      </w:r>
      <w:r w:rsidRPr="006A3239">
        <w:rPr>
          <w:rFonts w:ascii="David" w:hAnsi="David"/>
          <w:b/>
          <w:bCs/>
          <w:rtl/>
        </w:rPr>
        <w:t xml:space="preserve"> ברביע ה</w:t>
      </w:r>
      <w:r w:rsidR="008479E2" w:rsidRPr="006A3239">
        <w:rPr>
          <w:rFonts w:ascii="David" w:hAnsi="David"/>
          <w:b/>
          <w:bCs/>
          <w:rtl/>
        </w:rPr>
        <w:t>ש</w:t>
      </w:r>
      <w:r w:rsidR="00E25535" w:rsidRPr="006A3239">
        <w:rPr>
          <w:rFonts w:ascii="David" w:hAnsi="David"/>
          <w:b/>
          <w:bCs/>
          <w:rtl/>
        </w:rPr>
        <w:t>ל</w:t>
      </w:r>
      <w:r w:rsidR="008479E2" w:rsidRPr="006A3239">
        <w:rPr>
          <w:rFonts w:ascii="David" w:hAnsi="David"/>
          <w:b/>
          <w:bCs/>
          <w:rtl/>
        </w:rPr>
        <w:t>י</w:t>
      </w:r>
      <w:r w:rsidR="00E25535" w:rsidRPr="006A3239">
        <w:rPr>
          <w:rFonts w:ascii="David" w:hAnsi="David"/>
          <w:b/>
          <w:bCs/>
          <w:rtl/>
        </w:rPr>
        <w:t>שי</w:t>
      </w:r>
      <w:r w:rsidRPr="006A3239">
        <w:rPr>
          <w:rFonts w:ascii="David" w:hAnsi="David"/>
          <w:b/>
          <w:bCs/>
          <w:rtl/>
        </w:rPr>
        <w:t xml:space="preserve"> של השנה בכ-</w:t>
      </w:r>
      <w:r w:rsidR="00056FB0" w:rsidRPr="006A3239">
        <w:rPr>
          <w:rFonts w:ascii="David" w:hAnsi="David"/>
          <w:b/>
          <w:bCs/>
          <w:rtl/>
        </w:rPr>
        <w:t>8</w:t>
      </w:r>
      <w:r w:rsidR="00D522B4" w:rsidRPr="006A3239">
        <w:rPr>
          <w:rFonts w:ascii="David" w:hAnsi="David"/>
          <w:b/>
          <w:bCs/>
          <w:rtl/>
        </w:rPr>
        <w:t>.</w:t>
      </w:r>
      <w:r w:rsidR="00056FB0" w:rsidRPr="006A3239">
        <w:rPr>
          <w:rFonts w:ascii="David" w:hAnsi="David"/>
          <w:b/>
          <w:bCs/>
          <w:rtl/>
        </w:rPr>
        <w:t>7</w:t>
      </w:r>
      <w:r w:rsidR="00D522B4" w:rsidRPr="006A3239">
        <w:rPr>
          <w:rFonts w:ascii="David" w:hAnsi="David"/>
          <w:b/>
          <w:bCs/>
          <w:rtl/>
        </w:rPr>
        <w:t xml:space="preserve"> </w:t>
      </w:r>
      <w:r w:rsidRPr="006A3239">
        <w:rPr>
          <w:rFonts w:ascii="David" w:hAnsi="David"/>
          <w:b/>
          <w:bCs/>
          <w:rtl/>
        </w:rPr>
        <w:t>מיליארדי ש"ח.</w:t>
      </w:r>
    </w:p>
    <w:p w:rsidR="00DB5577" w:rsidRPr="006A3239" w:rsidRDefault="00DB5577" w:rsidP="00DB5577">
      <w:pPr>
        <w:pStyle w:val="af"/>
        <w:spacing w:before="240" w:line="360" w:lineRule="auto"/>
        <w:jc w:val="both"/>
        <w:rPr>
          <w:rFonts w:ascii="David" w:hAnsi="David"/>
          <w:b/>
          <w:bCs/>
          <w:rtl/>
        </w:rPr>
      </w:pPr>
    </w:p>
    <w:p w:rsidR="008D130A" w:rsidRPr="006A3239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rFonts w:ascii="David" w:hAnsi="David"/>
          <w:b/>
          <w:bCs/>
          <w:rtl/>
        </w:rPr>
      </w:pPr>
      <w:r w:rsidRPr="006A3239">
        <w:rPr>
          <w:rStyle w:val="10"/>
          <w:rFonts w:ascii="David" w:hAnsi="David"/>
          <w:rtl/>
        </w:rPr>
        <w:t>סך תיק הנכסים</w:t>
      </w:r>
      <w:r w:rsidR="008A5A5C" w:rsidRPr="006A3239">
        <w:rPr>
          <w:rStyle w:val="10"/>
          <w:rFonts w:ascii="David" w:hAnsi="David"/>
          <w:rtl/>
        </w:rPr>
        <w:t xml:space="preserve"> הפיננסים של הציבור</w:t>
      </w:r>
    </w:p>
    <w:p w:rsidR="00A35E6E" w:rsidRPr="006A3239" w:rsidRDefault="0027468F" w:rsidP="00182E73">
      <w:pPr>
        <w:spacing w:line="360" w:lineRule="auto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>מהחטיבה למידע ולסטטיסטיקה</w:t>
      </w:r>
      <w:r w:rsidR="000755F0" w:rsidRPr="006A3239">
        <w:rPr>
          <w:rFonts w:ascii="David" w:hAnsi="David"/>
          <w:rtl/>
        </w:rPr>
        <w:t xml:space="preserve"> בבנק ישראל</w:t>
      </w:r>
      <w:r w:rsidRPr="006A3239">
        <w:rPr>
          <w:rFonts w:ascii="David" w:hAnsi="David"/>
          <w:rtl/>
        </w:rPr>
        <w:t xml:space="preserve"> נמסר</w:t>
      </w:r>
      <w:r w:rsidR="003E5DA9" w:rsidRPr="006A3239">
        <w:rPr>
          <w:rFonts w:ascii="David" w:hAnsi="David"/>
          <w:rtl/>
        </w:rPr>
        <w:t>,</w:t>
      </w:r>
      <w:r w:rsidRPr="006A3239">
        <w:rPr>
          <w:rFonts w:ascii="David" w:hAnsi="David"/>
          <w:rtl/>
        </w:rPr>
        <w:t xml:space="preserve"> כי </w:t>
      </w:r>
      <w:r w:rsidR="008F4C5E" w:rsidRPr="006A3239">
        <w:rPr>
          <w:rFonts w:ascii="David" w:hAnsi="David"/>
          <w:b/>
          <w:bCs/>
          <w:rtl/>
        </w:rPr>
        <w:t xml:space="preserve">ברביע </w:t>
      </w:r>
      <w:r w:rsidR="001C18C5" w:rsidRPr="006A3239">
        <w:rPr>
          <w:rFonts w:ascii="David" w:hAnsi="David"/>
          <w:b/>
          <w:bCs/>
          <w:rtl/>
        </w:rPr>
        <w:t>ה</w:t>
      </w:r>
      <w:r w:rsidR="004F31D6" w:rsidRPr="006A3239">
        <w:rPr>
          <w:rFonts w:ascii="David" w:hAnsi="David"/>
          <w:b/>
          <w:bCs/>
          <w:rtl/>
        </w:rPr>
        <w:t>ש</w:t>
      </w:r>
      <w:r w:rsidR="00BD752E" w:rsidRPr="006A3239">
        <w:rPr>
          <w:rFonts w:ascii="David" w:hAnsi="David"/>
          <w:b/>
          <w:bCs/>
          <w:rtl/>
        </w:rPr>
        <w:t>ליש</w:t>
      </w:r>
      <w:r w:rsidR="004F31D6" w:rsidRPr="006A3239">
        <w:rPr>
          <w:rFonts w:ascii="David" w:hAnsi="David"/>
          <w:b/>
          <w:bCs/>
          <w:rtl/>
        </w:rPr>
        <w:t>י</w:t>
      </w:r>
      <w:r w:rsidR="008F4C5E" w:rsidRPr="006A3239">
        <w:rPr>
          <w:rFonts w:ascii="David" w:hAnsi="David"/>
          <w:b/>
          <w:bCs/>
          <w:rtl/>
        </w:rPr>
        <w:t xml:space="preserve"> של שנת</w:t>
      </w:r>
      <w:r w:rsidR="001E2E5B" w:rsidRPr="006A3239">
        <w:rPr>
          <w:rFonts w:ascii="David" w:hAnsi="David"/>
          <w:b/>
          <w:bCs/>
          <w:rtl/>
        </w:rPr>
        <w:t xml:space="preserve"> </w:t>
      </w:r>
      <w:r w:rsidR="001C18C5" w:rsidRPr="006A3239">
        <w:rPr>
          <w:rFonts w:ascii="David" w:hAnsi="David"/>
          <w:b/>
          <w:bCs/>
          <w:rtl/>
        </w:rPr>
        <w:t>201</w:t>
      </w:r>
      <w:r w:rsidR="00480908" w:rsidRPr="006A3239">
        <w:rPr>
          <w:rFonts w:ascii="David" w:hAnsi="David"/>
          <w:b/>
          <w:bCs/>
          <w:rtl/>
        </w:rPr>
        <w:t>9</w:t>
      </w:r>
      <w:r w:rsidR="0049743C" w:rsidRPr="006A3239">
        <w:rPr>
          <w:rFonts w:ascii="David" w:hAnsi="David"/>
          <w:b/>
          <w:bCs/>
          <w:color w:val="FF0000"/>
          <w:rtl/>
        </w:rPr>
        <w:t xml:space="preserve"> </w:t>
      </w:r>
      <w:r w:rsidR="00480908" w:rsidRPr="006A3239">
        <w:rPr>
          <w:rFonts w:ascii="David" w:hAnsi="David"/>
          <w:rtl/>
        </w:rPr>
        <w:t>עלתה</w:t>
      </w:r>
      <w:r w:rsidR="003C6456" w:rsidRPr="006A3239">
        <w:rPr>
          <w:rFonts w:ascii="David" w:hAnsi="David"/>
          <w:b/>
          <w:bCs/>
          <w:rtl/>
        </w:rPr>
        <w:t xml:space="preserve"> </w:t>
      </w:r>
      <w:r w:rsidR="003F7C50" w:rsidRPr="006A3239">
        <w:rPr>
          <w:rFonts w:ascii="David" w:hAnsi="David"/>
          <w:rtl/>
        </w:rPr>
        <w:t>יתרת</w:t>
      </w:r>
      <w:r w:rsidR="0049743C" w:rsidRPr="006A3239">
        <w:rPr>
          <w:rFonts w:ascii="David" w:hAnsi="David"/>
          <w:rtl/>
        </w:rPr>
        <w:t xml:space="preserve"> תיק הנכסים</w:t>
      </w:r>
      <w:r w:rsidR="00235FBA" w:rsidRPr="006A3239">
        <w:rPr>
          <w:rFonts w:ascii="David" w:hAnsi="David"/>
          <w:rtl/>
        </w:rPr>
        <w:t xml:space="preserve"> הפיננסיים של הציבור</w:t>
      </w:r>
      <w:r w:rsidR="0049743C" w:rsidRPr="006A3239">
        <w:rPr>
          <w:rFonts w:ascii="David" w:hAnsi="David"/>
          <w:rtl/>
        </w:rPr>
        <w:t xml:space="preserve"> </w:t>
      </w:r>
      <w:r w:rsidR="00463177" w:rsidRPr="006A3239">
        <w:rPr>
          <w:rFonts w:ascii="David" w:hAnsi="David"/>
          <w:rtl/>
        </w:rPr>
        <w:t>בכ-</w:t>
      </w:r>
      <w:r w:rsidR="00BD752E" w:rsidRPr="006A3239">
        <w:rPr>
          <w:rFonts w:ascii="David" w:hAnsi="David"/>
          <w:rtl/>
        </w:rPr>
        <w:t>5</w:t>
      </w:r>
      <w:r w:rsidR="004F31D6" w:rsidRPr="006A3239">
        <w:rPr>
          <w:rFonts w:ascii="David" w:hAnsi="David"/>
          <w:rtl/>
        </w:rPr>
        <w:t>6</w:t>
      </w:r>
      <w:r w:rsidR="00463177" w:rsidRPr="006A3239">
        <w:rPr>
          <w:rFonts w:ascii="David" w:hAnsi="David"/>
          <w:rtl/>
        </w:rPr>
        <w:t xml:space="preserve"> </w:t>
      </w:r>
      <w:r w:rsidR="00C95059" w:rsidRPr="006A3239">
        <w:rPr>
          <w:rFonts w:ascii="David" w:hAnsi="David"/>
          <w:rtl/>
        </w:rPr>
        <w:t xml:space="preserve">מיליארדי </w:t>
      </w:r>
      <w:r w:rsidR="00125A88" w:rsidRPr="006A3239">
        <w:rPr>
          <w:rFonts w:ascii="David" w:hAnsi="David"/>
          <w:rtl/>
        </w:rPr>
        <w:t>ש"ח</w:t>
      </w:r>
      <w:r w:rsidR="00F502DF" w:rsidRPr="006A3239">
        <w:rPr>
          <w:rFonts w:ascii="David" w:hAnsi="David"/>
          <w:rtl/>
        </w:rPr>
        <w:t xml:space="preserve"> </w:t>
      </w:r>
      <w:r w:rsidR="00DD612E" w:rsidRPr="006A3239">
        <w:rPr>
          <w:rFonts w:ascii="David" w:hAnsi="David"/>
          <w:rtl/>
        </w:rPr>
        <w:t>(</w:t>
      </w:r>
      <w:r w:rsidR="00BD752E" w:rsidRPr="006A3239">
        <w:rPr>
          <w:rFonts w:ascii="David" w:hAnsi="David"/>
          <w:rtl/>
        </w:rPr>
        <w:t>1</w:t>
      </w:r>
      <w:r w:rsidR="0063699B" w:rsidRPr="006A3239">
        <w:rPr>
          <w:rFonts w:ascii="David" w:hAnsi="David"/>
          <w:rtl/>
        </w:rPr>
        <w:t>.</w:t>
      </w:r>
      <w:r w:rsidR="00BD752E" w:rsidRPr="006A3239">
        <w:rPr>
          <w:rFonts w:ascii="David" w:hAnsi="David"/>
          <w:rtl/>
        </w:rPr>
        <w:t>4</w:t>
      </w:r>
      <w:r w:rsidR="0063699B" w:rsidRPr="006A3239">
        <w:rPr>
          <w:rFonts w:ascii="David" w:hAnsi="David"/>
          <w:rtl/>
        </w:rPr>
        <w:t>%</w:t>
      </w:r>
      <w:r w:rsidR="00DD612E" w:rsidRPr="006A3239">
        <w:rPr>
          <w:rFonts w:ascii="David" w:hAnsi="David"/>
          <w:rtl/>
        </w:rPr>
        <w:t>)</w:t>
      </w:r>
      <w:r w:rsidR="001C18C5" w:rsidRPr="006A3239">
        <w:rPr>
          <w:rFonts w:ascii="David" w:hAnsi="David"/>
          <w:rtl/>
        </w:rPr>
        <w:t>, לרמה של</w:t>
      </w:r>
      <w:r w:rsidR="0049743C" w:rsidRPr="006A3239">
        <w:rPr>
          <w:rFonts w:ascii="David" w:hAnsi="David"/>
          <w:rtl/>
        </w:rPr>
        <w:t xml:space="preserve"> כ-</w:t>
      </w:r>
      <w:r w:rsidR="0063699B" w:rsidRPr="006A3239">
        <w:rPr>
          <w:rFonts w:ascii="David" w:hAnsi="David"/>
          <w:rtl/>
        </w:rPr>
        <w:t>3.</w:t>
      </w:r>
      <w:r w:rsidR="004F31D6" w:rsidRPr="006A3239">
        <w:rPr>
          <w:rFonts w:ascii="David" w:hAnsi="David"/>
          <w:rtl/>
        </w:rPr>
        <w:t>9</w:t>
      </w:r>
      <w:r w:rsidR="00BD752E" w:rsidRPr="006A3239">
        <w:rPr>
          <w:rFonts w:ascii="David" w:hAnsi="David"/>
          <w:rtl/>
        </w:rPr>
        <w:t>7</w:t>
      </w:r>
      <w:r w:rsidR="0049743C" w:rsidRPr="006A3239">
        <w:rPr>
          <w:rFonts w:ascii="David" w:hAnsi="David"/>
          <w:rtl/>
        </w:rPr>
        <w:t xml:space="preserve"> טריליוני </w:t>
      </w:r>
      <w:r w:rsidR="00FD22C6" w:rsidRPr="006A3239">
        <w:rPr>
          <w:rFonts w:ascii="David" w:hAnsi="David"/>
          <w:rtl/>
        </w:rPr>
        <w:t>ש"ח</w:t>
      </w:r>
      <w:r w:rsidR="00313272" w:rsidRPr="006A3239">
        <w:rPr>
          <w:rFonts w:ascii="David" w:hAnsi="David"/>
          <w:rtl/>
        </w:rPr>
        <w:t xml:space="preserve"> </w:t>
      </w:r>
      <w:r w:rsidR="008147A5" w:rsidRPr="006A3239">
        <w:rPr>
          <w:rFonts w:ascii="David" w:hAnsi="David"/>
          <w:rtl/>
        </w:rPr>
        <w:t>(תרשים 1).</w:t>
      </w:r>
      <w:r w:rsidR="00975AF9" w:rsidRPr="006A3239">
        <w:rPr>
          <w:rFonts w:ascii="David" w:hAnsi="David"/>
          <w:rtl/>
        </w:rPr>
        <w:t xml:space="preserve"> </w:t>
      </w:r>
      <w:r w:rsidR="00C90138" w:rsidRPr="006A3239">
        <w:rPr>
          <w:rFonts w:ascii="David" w:hAnsi="David"/>
          <w:rtl/>
        </w:rPr>
        <w:t xml:space="preserve">משקל תיק הנכסים הפיננסיים של הציבור ביחס לתוצר </w:t>
      </w:r>
      <w:r w:rsidR="00BD752E" w:rsidRPr="006A3239">
        <w:rPr>
          <w:rFonts w:ascii="David" w:hAnsi="David"/>
          <w:rtl/>
        </w:rPr>
        <w:t>ירד</w:t>
      </w:r>
      <w:r w:rsidR="00BE7B9A" w:rsidRPr="006A3239">
        <w:rPr>
          <w:rFonts w:ascii="David" w:hAnsi="David"/>
          <w:rtl/>
        </w:rPr>
        <w:t xml:space="preserve"> </w:t>
      </w:r>
      <w:r w:rsidR="000D49A8" w:rsidRPr="006A3239">
        <w:rPr>
          <w:rFonts w:ascii="David" w:hAnsi="David"/>
          <w:rtl/>
        </w:rPr>
        <w:t>בכ-</w:t>
      </w:r>
      <w:r w:rsidR="00BD752E" w:rsidRPr="006A3239">
        <w:rPr>
          <w:rFonts w:ascii="David" w:hAnsi="David"/>
          <w:rtl/>
        </w:rPr>
        <w:t>0</w:t>
      </w:r>
      <w:r w:rsidR="004F31D6" w:rsidRPr="006A3239">
        <w:rPr>
          <w:rFonts w:ascii="David" w:hAnsi="David"/>
          <w:rtl/>
        </w:rPr>
        <w:t>.</w:t>
      </w:r>
      <w:r w:rsidR="00BD752E" w:rsidRPr="006A3239">
        <w:rPr>
          <w:rFonts w:ascii="David" w:hAnsi="David"/>
          <w:rtl/>
        </w:rPr>
        <w:t>3</w:t>
      </w:r>
      <w:r w:rsidR="000D49A8" w:rsidRPr="006A3239">
        <w:rPr>
          <w:rFonts w:ascii="David" w:hAnsi="David"/>
          <w:rtl/>
        </w:rPr>
        <w:t xml:space="preserve"> נקודות אחוז ועמד בסוף הרביע</w:t>
      </w:r>
      <w:r w:rsidR="00975AF9" w:rsidRPr="006A3239">
        <w:rPr>
          <w:rFonts w:ascii="David" w:hAnsi="David"/>
          <w:rtl/>
        </w:rPr>
        <w:t xml:space="preserve"> על</w:t>
      </w:r>
      <w:r w:rsidR="00C90138" w:rsidRPr="006A3239">
        <w:rPr>
          <w:rFonts w:ascii="David" w:hAnsi="David"/>
          <w:rtl/>
        </w:rPr>
        <w:t xml:space="preserve"> </w:t>
      </w:r>
      <w:r w:rsidR="00830F9A" w:rsidRPr="006A3239">
        <w:rPr>
          <w:rFonts w:ascii="David" w:hAnsi="David"/>
          <w:rtl/>
        </w:rPr>
        <w:t>2</w:t>
      </w:r>
      <w:r w:rsidR="00480908" w:rsidRPr="006A3239">
        <w:rPr>
          <w:rFonts w:ascii="David" w:hAnsi="David"/>
          <w:rtl/>
        </w:rPr>
        <w:t>8</w:t>
      </w:r>
      <w:r w:rsidR="004F31D6" w:rsidRPr="006A3239">
        <w:rPr>
          <w:rFonts w:ascii="David" w:hAnsi="David"/>
          <w:rtl/>
        </w:rPr>
        <w:t>5</w:t>
      </w:r>
      <w:r w:rsidR="00CE2D8C" w:rsidRPr="006A3239">
        <w:rPr>
          <w:rFonts w:ascii="David" w:hAnsi="David"/>
          <w:rtl/>
        </w:rPr>
        <w:t>.</w:t>
      </w:r>
      <w:r w:rsidR="00BD752E" w:rsidRPr="006A3239">
        <w:rPr>
          <w:rFonts w:ascii="David" w:hAnsi="David"/>
          <w:rtl/>
        </w:rPr>
        <w:t>5</w:t>
      </w:r>
      <w:r w:rsidR="00D522B4" w:rsidRPr="006A3239">
        <w:rPr>
          <w:rFonts w:ascii="David" w:hAnsi="David"/>
          <w:rtl/>
        </w:rPr>
        <w:t xml:space="preserve">%. </w:t>
      </w:r>
      <w:r w:rsidR="00BD752E" w:rsidRPr="006A3239">
        <w:rPr>
          <w:rFonts w:ascii="David" w:hAnsi="David"/>
          <w:rtl/>
        </w:rPr>
        <w:t>ירידה</w:t>
      </w:r>
      <w:r w:rsidR="000026DB" w:rsidRPr="006A3239">
        <w:rPr>
          <w:rFonts w:ascii="David" w:hAnsi="David"/>
          <w:rtl/>
        </w:rPr>
        <w:t xml:space="preserve"> זו נבעה מקצב עלייה גבוה יותר של </w:t>
      </w:r>
      <w:r w:rsidR="00BD752E" w:rsidRPr="006A3239">
        <w:rPr>
          <w:rFonts w:ascii="David" w:hAnsi="David"/>
          <w:rtl/>
        </w:rPr>
        <w:t xml:space="preserve">התמ"ג (1.6% במחירים שוטפים) </w:t>
      </w:r>
      <w:r w:rsidR="00182E73" w:rsidRPr="006A3239">
        <w:rPr>
          <w:rFonts w:ascii="David" w:hAnsi="David"/>
          <w:rtl/>
        </w:rPr>
        <w:t>ביחס</w:t>
      </w:r>
      <w:r w:rsidR="00BD752E" w:rsidRPr="006A3239">
        <w:rPr>
          <w:rFonts w:ascii="David" w:hAnsi="David"/>
          <w:rtl/>
        </w:rPr>
        <w:t xml:space="preserve"> </w:t>
      </w:r>
      <w:r w:rsidR="00182E73" w:rsidRPr="006A3239">
        <w:rPr>
          <w:rFonts w:ascii="David" w:hAnsi="David"/>
          <w:rtl/>
        </w:rPr>
        <w:t>ל</w:t>
      </w:r>
      <w:r w:rsidR="00BD752E" w:rsidRPr="006A3239">
        <w:rPr>
          <w:rFonts w:ascii="David" w:hAnsi="David"/>
          <w:rtl/>
        </w:rPr>
        <w:t xml:space="preserve">קצב עליית </w:t>
      </w:r>
      <w:r w:rsidR="000026DB" w:rsidRPr="006A3239">
        <w:rPr>
          <w:rFonts w:ascii="David" w:hAnsi="David"/>
          <w:rtl/>
        </w:rPr>
        <w:t>תיק הנכסים.</w:t>
      </w:r>
    </w:p>
    <w:p w:rsidR="00A679F1" w:rsidRDefault="00A679F1" w:rsidP="00DB5577">
      <w:pPr>
        <w:spacing w:before="240" w:line="360" w:lineRule="auto"/>
        <w:ind w:left="360"/>
        <w:jc w:val="both"/>
        <w:rPr>
          <w:rFonts w:ascii="David" w:hAnsi="David"/>
        </w:rPr>
      </w:pPr>
    </w:p>
    <w:p w:rsidR="00D10907" w:rsidRPr="006A3239" w:rsidRDefault="00BD752E" w:rsidP="00DB5577">
      <w:pPr>
        <w:spacing w:before="240" w:line="360" w:lineRule="auto"/>
        <w:ind w:left="360"/>
        <w:jc w:val="both"/>
        <w:rPr>
          <w:rFonts w:ascii="David" w:hAnsi="David"/>
          <w:rtl/>
        </w:rPr>
      </w:pPr>
      <w:bookmarkStart w:id="0" w:name="_GoBack"/>
      <w:bookmarkEnd w:id="0"/>
      <w:r w:rsidRPr="006A3239">
        <w:rPr>
          <w:rFonts w:ascii="David" w:hAnsi="David"/>
          <w:noProof/>
          <w:lang w:eastAsia="en-US"/>
        </w:rPr>
        <w:drawing>
          <wp:inline distT="0" distB="0" distL="0" distR="0" wp14:anchorId="7DC42AE4" wp14:editId="04BDC542">
            <wp:extent cx="6045408" cy="2419088"/>
            <wp:effectExtent l="0" t="0" r="0" b="635"/>
            <wp:docPr id="5" name="תמונה 2" descr="תרשים 1: יתרת תיק הנכסים הפיננסיים שבידי הציבור 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1967" cy="242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CC" w:rsidRPr="006A3239" w:rsidRDefault="00A27ECC" w:rsidP="00A27ECC">
      <w:pPr>
        <w:pStyle w:val="af"/>
        <w:numPr>
          <w:ilvl w:val="0"/>
          <w:numId w:val="18"/>
        </w:numPr>
        <w:spacing w:before="240" w:line="360" w:lineRule="auto"/>
        <w:jc w:val="both"/>
        <w:rPr>
          <w:rFonts w:ascii="David" w:hAnsi="David"/>
          <w:b/>
          <w:bCs/>
        </w:rPr>
      </w:pPr>
      <w:r w:rsidRPr="006A3239">
        <w:rPr>
          <w:rStyle w:val="10"/>
          <w:rFonts w:ascii="David" w:hAnsi="David"/>
          <w:rtl/>
        </w:rPr>
        <w:lastRenderedPageBreak/>
        <w:t>ניתוח השינויים בכלל התיק</w:t>
      </w:r>
    </w:p>
    <w:p w:rsidR="00A27ECC" w:rsidRPr="006A3239" w:rsidRDefault="00A27ECC" w:rsidP="00EA3D5E">
      <w:pPr>
        <w:pStyle w:val="af"/>
        <w:spacing w:before="240" w:line="360" w:lineRule="auto"/>
        <w:ind w:left="360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>במהלך הרביע ה</w:t>
      </w:r>
      <w:r w:rsidR="00912287" w:rsidRPr="006A3239">
        <w:rPr>
          <w:rFonts w:ascii="David" w:hAnsi="David"/>
          <w:rtl/>
        </w:rPr>
        <w:t>שלישי</w:t>
      </w:r>
      <w:r w:rsidRPr="006A3239">
        <w:rPr>
          <w:rFonts w:ascii="David" w:hAnsi="David"/>
          <w:rtl/>
        </w:rPr>
        <w:t xml:space="preserve"> עלו היתרות של החזקת הציבור </w:t>
      </w:r>
      <w:r w:rsidR="00912287" w:rsidRPr="006A3239">
        <w:rPr>
          <w:rFonts w:ascii="David" w:hAnsi="David"/>
          <w:rtl/>
        </w:rPr>
        <w:t>ברכיב אג"ח ממשלתיות ומק"ם</w:t>
      </w:r>
      <w:r w:rsidRPr="006A3239">
        <w:rPr>
          <w:rFonts w:ascii="David" w:hAnsi="David"/>
          <w:rtl/>
        </w:rPr>
        <w:t xml:space="preserve">, </w:t>
      </w:r>
      <w:r w:rsidR="00912287" w:rsidRPr="006A3239">
        <w:rPr>
          <w:rFonts w:ascii="David" w:hAnsi="David"/>
          <w:rtl/>
        </w:rPr>
        <w:t>במניות בארץ</w:t>
      </w:r>
      <w:r w:rsidRPr="006A3239">
        <w:rPr>
          <w:rFonts w:ascii="David" w:hAnsi="David"/>
          <w:rtl/>
        </w:rPr>
        <w:t xml:space="preserve"> ובאג"ח החברות. זאת, לעומת </w:t>
      </w:r>
      <w:r w:rsidR="00912287" w:rsidRPr="006A3239">
        <w:rPr>
          <w:rFonts w:ascii="David" w:hAnsi="David"/>
          <w:rtl/>
        </w:rPr>
        <w:t xml:space="preserve">ירידה </w:t>
      </w:r>
      <w:r w:rsidRPr="006A3239">
        <w:rPr>
          <w:rFonts w:ascii="David" w:hAnsi="David"/>
          <w:rtl/>
        </w:rPr>
        <w:t xml:space="preserve">ביתרת </w:t>
      </w:r>
      <w:r w:rsidR="00912287" w:rsidRPr="006A3239">
        <w:rPr>
          <w:rFonts w:ascii="David" w:hAnsi="David"/>
          <w:rtl/>
        </w:rPr>
        <w:t>רכיב המזומן והפיקדונות</w:t>
      </w:r>
      <w:r w:rsidRPr="006A3239">
        <w:rPr>
          <w:rFonts w:ascii="David" w:hAnsi="David"/>
          <w:rtl/>
        </w:rPr>
        <w:t xml:space="preserve"> (</w:t>
      </w:r>
      <w:r w:rsidR="00912287" w:rsidRPr="006A3239">
        <w:rPr>
          <w:rFonts w:ascii="David" w:hAnsi="David"/>
          <w:rtl/>
        </w:rPr>
        <w:t>0</w:t>
      </w:r>
      <w:r w:rsidRPr="006A3239">
        <w:rPr>
          <w:rFonts w:ascii="David" w:hAnsi="David"/>
          <w:rtl/>
        </w:rPr>
        <w:t>.</w:t>
      </w:r>
      <w:r w:rsidR="00912287" w:rsidRPr="006A3239">
        <w:rPr>
          <w:rFonts w:ascii="David" w:hAnsi="David"/>
          <w:rtl/>
        </w:rPr>
        <w:t>7</w:t>
      </w:r>
      <w:r w:rsidRPr="006A3239">
        <w:rPr>
          <w:rFonts w:ascii="David" w:hAnsi="David"/>
          <w:rtl/>
        </w:rPr>
        <w:t>%</w:t>
      </w:r>
      <w:r w:rsidRPr="006A3239">
        <w:rPr>
          <w:rFonts w:ascii="David" w:hAnsi="David"/>
        </w:rPr>
        <w:t>-</w:t>
      </w:r>
      <w:r w:rsidRPr="006A3239">
        <w:rPr>
          <w:rFonts w:ascii="David" w:hAnsi="David"/>
          <w:rtl/>
        </w:rPr>
        <w:t>).</w:t>
      </w:r>
    </w:p>
    <w:p w:rsidR="009233DD" w:rsidRPr="006A3239" w:rsidRDefault="00912287" w:rsidP="009233DD">
      <w:pPr>
        <w:spacing w:before="240" w:line="360" w:lineRule="auto"/>
        <w:ind w:left="360"/>
        <w:jc w:val="center"/>
        <w:rPr>
          <w:rFonts w:ascii="David" w:hAnsi="David"/>
        </w:rPr>
      </w:pPr>
      <w:r w:rsidRPr="006A3239">
        <w:rPr>
          <w:rFonts w:ascii="David" w:hAnsi="David"/>
          <w:noProof/>
          <w:lang w:eastAsia="en-US"/>
        </w:rPr>
        <w:drawing>
          <wp:inline distT="0" distB="0" distL="0" distR="0" wp14:anchorId="4DCF9A29" wp14:editId="787335CA">
            <wp:extent cx="5840692" cy="2337728"/>
            <wp:effectExtent l="0" t="0" r="8255" b="5715"/>
            <wp:docPr id="7" name="תמונה 1" descr="תרשים 2: יתרות מכשירים בתיק הנכסים לסוף ספטמבר 2019 (במיליארדי ש&quot;ח)&#10;" title="תרשים 2: יתרות מכשירים בתיק הנכסים לסוף ספטמבר 2019 (במיליארדי ש&quot;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5277" cy="234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87" w:rsidRPr="006A3239" w:rsidRDefault="00912287" w:rsidP="002022CD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="David" w:hAnsi="David"/>
        </w:rPr>
      </w:pPr>
      <w:r w:rsidRPr="006A3239">
        <w:rPr>
          <w:rFonts w:ascii="David" w:hAnsi="David"/>
          <w:rtl/>
        </w:rPr>
        <w:t xml:space="preserve">יתרת </w:t>
      </w:r>
      <w:r w:rsidRPr="006A3239">
        <w:rPr>
          <w:rFonts w:ascii="David" w:hAnsi="David"/>
          <w:b/>
          <w:bCs/>
          <w:rtl/>
        </w:rPr>
        <w:t>האג"ח הממשלתיות</w:t>
      </w:r>
      <w:r w:rsidRPr="006A3239">
        <w:rPr>
          <w:rFonts w:ascii="David" w:hAnsi="David"/>
          <w:rtl/>
        </w:rPr>
        <w:t xml:space="preserve"> (סחירות ולא-סחירות) </w:t>
      </w:r>
      <w:r w:rsidRPr="006A3239">
        <w:rPr>
          <w:rFonts w:ascii="David" w:hAnsi="David"/>
          <w:b/>
          <w:bCs/>
          <w:rtl/>
        </w:rPr>
        <w:t>והמק"ם</w:t>
      </w:r>
      <w:r w:rsidRPr="006A3239">
        <w:rPr>
          <w:rFonts w:ascii="David" w:hAnsi="David"/>
          <w:rtl/>
        </w:rPr>
        <w:t xml:space="preserve"> עלתה בכ-37 מיליארדי ש"ח (4.1%). </w:t>
      </w:r>
    </w:p>
    <w:p w:rsidR="006E0D76" w:rsidRPr="006A3239" w:rsidRDefault="00F510AA" w:rsidP="00800444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="David" w:hAnsi="David"/>
        </w:rPr>
      </w:pPr>
      <w:r w:rsidRPr="006A3239">
        <w:rPr>
          <w:rFonts w:ascii="David" w:hAnsi="David"/>
          <w:rtl/>
        </w:rPr>
        <w:t>יתרת ההחזקות</w:t>
      </w:r>
      <w:r w:rsidR="006E0D76" w:rsidRPr="006A3239">
        <w:rPr>
          <w:rFonts w:ascii="David" w:hAnsi="David"/>
          <w:rtl/>
        </w:rPr>
        <w:t xml:space="preserve"> </w:t>
      </w:r>
      <w:r w:rsidRPr="006A3239">
        <w:rPr>
          <w:rFonts w:ascii="David" w:hAnsi="David"/>
          <w:b/>
          <w:bCs/>
          <w:rtl/>
        </w:rPr>
        <w:t>ב</w:t>
      </w:r>
      <w:r w:rsidR="006E0D76" w:rsidRPr="006A3239">
        <w:rPr>
          <w:rFonts w:ascii="David" w:hAnsi="David"/>
          <w:b/>
          <w:bCs/>
          <w:rtl/>
        </w:rPr>
        <w:t>מניות בארץ</w:t>
      </w:r>
      <w:r w:rsidR="006E0D76" w:rsidRPr="006A3239">
        <w:rPr>
          <w:rFonts w:ascii="David" w:hAnsi="David"/>
          <w:rtl/>
        </w:rPr>
        <w:t xml:space="preserve"> על</w:t>
      </w:r>
      <w:r w:rsidR="00AB6EE0" w:rsidRPr="006A3239">
        <w:rPr>
          <w:rFonts w:ascii="David" w:hAnsi="David"/>
          <w:rtl/>
        </w:rPr>
        <w:t>ת</w:t>
      </w:r>
      <w:r w:rsidR="006E0D76" w:rsidRPr="006A3239">
        <w:rPr>
          <w:rFonts w:ascii="David" w:hAnsi="David"/>
          <w:rtl/>
        </w:rPr>
        <w:t>ה בכ-</w:t>
      </w:r>
      <w:r w:rsidR="00912287" w:rsidRPr="006A3239">
        <w:rPr>
          <w:rFonts w:ascii="David" w:hAnsi="David"/>
          <w:rtl/>
        </w:rPr>
        <w:t>15</w:t>
      </w:r>
      <w:r w:rsidR="006E0D76" w:rsidRPr="006A3239">
        <w:rPr>
          <w:rFonts w:ascii="David" w:hAnsi="David"/>
          <w:rtl/>
        </w:rPr>
        <w:t xml:space="preserve"> </w:t>
      </w:r>
      <w:r w:rsidR="00CE2D8C" w:rsidRPr="006A3239">
        <w:rPr>
          <w:rFonts w:ascii="David" w:hAnsi="David"/>
          <w:rtl/>
        </w:rPr>
        <w:t>מיליארדי ש"ח</w:t>
      </w:r>
      <w:r w:rsidR="006E0D76" w:rsidRPr="006A3239">
        <w:rPr>
          <w:rFonts w:ascii="David" w:hAnsi="David"/>
          <w:rtl/>
        </w:rPr>
        <w:t xml:space="preserve"> (</w:t>
      </w:r>
      <w:r w:rsidR="00912287" w:rsidRPr="006A3239">
        <w:rPr>
          <w:rFonts w:ascii="David" w:hAnsi="David"/>
          <w:rtl/>
        </w:rPr>
        <w:t>2</w:t>
      </w:r>
      <w:r w:rsidR="00D10907" w:rsidRPr="006A3239">
        <w:rPr>
          <w:rFonts w:ascii="David" w:hAnsi="David"/>
          <w:rtl/>
        </w:rPr>
        <w:t>.</w:t>
      </w:r>
      <w:r w:rsidR="00912287" w:rsidRPr="006A3239">
        <w:rPr>
          <w:rFonts w:ascii="David" w:hAnsi="David"/>
          <w:rtl/>
        </w:rPr>
        <w:t>6</w:t>
      </w:r>
      <w:r w:rsidR="006E0D76" w:rsidRPr="006A3239">
        <w:rPr>
          <w:rFonts w:ascii="David" w:hAnsi="David"/>
          <w:rtl/>
        </w:rPr>
        <w:t>%)</w:t>
      </w:r>
      <w:r w:rsidR="00CE2D8C" w:rsidRPr="006A3239">
        <w:rPr>
          <w:rFonts w:ascii="David" w:hAnsi="David"/>
          <w:rtl/>
        </w:rPr>
        <w:t>,</w:t>
      </w:r>
      <w:r w:rsidR="00011ADC" w:rsidRPr="006A3239">
        <w:rPr>
          <w:rFonts w:ascii="David" w:hAnsi="David"/>
          <w:rtl/>
        </w:rPr>
        <w:t xml:space="preserve"> זאת כתוצאה מעליית מחירים ומהשקעות נטו, </w:t>
      </w:r>
      <w:r w:rsidR="00DB5A8B" w:rsidRPr="006A3239">
        <w:rPr>
          <w:rFonts w:ascii="David" w:hAnsi="David"/>
          <w:rtl/>
        </w:rPr>
        <w:t xml:space="preserve">בהמשך למגמה שאפיינה את </w:t>
      </w:r>
      <w:r w:rsidR="0078773D" w:rsidRPr="006A3239">
        <w:rPr>
          <w:rFonts w:ascii="David" w:hAnsi="David"/>
          <w:rtl/>
        </w:rPr>
        <w:t>המחצית</w:t>
      </w:r>
      <w:r w:rsidR="00DB5A8B" w:rsidRPr="006A3239">
        <w:rPr>
          <w:rFonts w:ascii="David" w:hAnsi="David"/>
          <w:rtl/>
        </w:rPr>
        <w:t xml:space="preserve"> </w:t>
      </w:r>
      <w:r w:rsidR="00800444" w:rsidRPr="006A3239">
        <w:rPr>
          <w:rFonts w:ascii="David" w:hAnsi="David"/>
          <w:rtl/>
        </w:rPr>
        <w:t>הראשונה</w:t>
      </w:r>
      <w:r w:rsidR="00DB5A8B" w:rsidRPr="006A3239">
        <w:rPr>
          <w:rFonts w:ascii="David" w:hAnsi="David"/>
          <w:rtl/>
        </w:rPr>
        <w:t xml:space="preserve"> של השנה.</w:t>
      </w:r>
    </w:p>
    <w:p w:rsidR="002B3369" w:rsidRPr="006A3239" w:rsidRDefault="002F6207" w:rsidP="00912287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="David" w:hAnsi="David"/>
        </w:rPr>
      </w:pPr>
      <w:r w:rsidRPr="006A3239">
        <w:rPr>
          <w:rFonts w:ascii="David" w:hAnsi="David"/>
          <w:b/>
          <w:bCs/>
          <w:rtl/>
        </w:rPr>
        <w:t xml:space="preserve">יתרת האג"ח החברות הסחירות בארץ </w:t>
      </w:r>
      <w:r w:rsidR="00A03104" w:rsidRPr="006A3239">
        <w:rPr>
          <w:rFonts w:ascii="David" w:hAnsi="David"/>
          <w:rtl/>
        </w:rPr>
        <w:t>עלתה</w:t>
      </w:r>
      <w:r w:rsidRPr="006A3239">
        <w:rPr>
          <w:rFonts w:ascii="David" w:hAnsi="David"/>
          <w:rtl/>
        </w:rPr>
        <w:t xml:space="preserve"> ב</w:t>
      </w:r>
      <w:r w:rsidR="00A511FC" w:rsidRPr="006A3239">
        <w:rPr>
          <w:rFonts w:ascii="David" w:hAnsi="David"/>
          <w:rtl/>
        </w:rPr>
        <w:t>כ</w:t>
      </w:r>
      <w:r w:rsidRPr="006A3239">
        <w:rPr>
          <w:rFonts w:ascii="David" w:hAnsi="David"/>
          <w:rtl/>
        </w:rPr>
        <w:t>-</w:t>
      </w:r>
      <w:r w:rsidR="00912287" w:rsidRPr="006A3239">
        <w:rPr>
          <w:rFonts w:ascii="David" w:hAnsi="David"/>
          <w:rtl/>
        </w:rPr>
        <w:t>4</w:t>
      </w:r>
      <w:r w:rsidRPr="006A3239">
        <w:rPr>
          <w:rFonts w:ascii="David" w:hAnsi="David"/>
          <w:rtl/>
        </w:rPr>
        <w:t xml:space="preserve"> מיליארדי ש"ח (</w:t>
      </w:r>
      <w:r w:rsidR="00912287" w:rsidRPr="006A3239">
        <w:rPr>
          <w:rFonts w:ascii="David" w:hAnsi="David"/>
          <w:rtl/>
        </w:rPr>
        <w:t>1</w:t>
      </w:r>
      <w:r w:rsidRPr="006A3239">
        <w:rPr>
          <w:rFonts w:ascii="David" w:hAnsi="David"/>
          <w:rtl/>
        </w:rPr>
        <w:t>%) ועמדה בסוף הרביע על כ-3</w:t>
      </w:r>
      <w:r w:rsidR="00DB5A8B" w:rsidRPr="006A3239">
        <w:rPr>
          <w:rFonts w:ascii="David" w:hAnsi="David"/>
          <w:rtl/>
        </w:rPr>
        <w:t>5</w:t>
      </w:r>
      <w:r w:rsidR="00912287" w:rsidRPr="006A3239">
        <w:rPr>
          <w:rFonts w:ascii="David" w:hAnsi="David"/>
          <w:rtl/>
        </w:rPr>
        <w:t>7</w:t>
      </w:r>
      <w:r w:rsidR="00E1512C" w:rsidRPr="006A3239">
        <w:rPr>
          <w:rFonts w:ascii="David" w:hAnsi="David"/>
          <w:rtl/>
        </w:rPr>
        <w:t xml:space="preserve"> מיליארדים, </w:t>
      </w:r>
      <w:r w:rsidRPr="006A3239">
        <w:rPr>
          <w:rFonts w:ascii="David" w:hAnsi="David"/>
          <w:rtl/>
        </w:rPr>
        <w:t>זאת כתוצאה מ</w:t>
      </w:r>
      <w:r w:rsidR="00E1512C" w:rsidRPr="006A3239">
        <w:rPr>
          <w:rFonts w:ascii="David" w:hAnsi="David"/>
          <w:rtl/>
        </w:rPr>
        <w:t>עלי</w:t>
      </w:r>
      <w:r w:rsidR="00D11430" w:rsidRPr="006A3239">
        <w:rPr>
          <w:rFonts w:ascii="David" w:hAnsi="David"/>
          <w:rtl/>
        </w:rPr>
        <w:t xml:space="preserve">ות </w:t>
      </w:r>
      <w:r w:rsidR="00E1512C" w:rsidRPr="006A3239">
        <w:rPr>
          <w:rFonts w:ascii="David" w:hAnsi="David"/>
          <w:rtl/>
        </w:rPr>
        <w:t xml:space="preserve">מחירים </w:t>
      </w:r>
      <w:r w:rsidR="00011ADC" w:rsidRPr="006A3239">
        <w:rPr>
          <w:rFonts w:ascii="David" w:hAnsi="David"/>
          <w:rtl/>
        </w:rPr>
        <w:t>במקביל</w:t>
      </w:r>
      <w:r w:rsidR="00E1512C" w:rsidRPr="006A3239">
        <w:rPr>
          <w:rFonts w:ascii="David" w:hAnsi="David"/>
          <w:rtl/>
        </w:rPr>
        <w:t xml:space="preserve"> </w:t>
      </w:r>
      <w:r w:rsidR="00011ADC" w:rsidRPr="006A3239">
        <w:rPr>
          <w:rFonts w:ascii="David" w:hAnsi="David"/>
          <w:rtl/>
        </w:rPr>
        <w:t>להשקעות נטו.</w:t>
      </w:r>
    </w:p>
    <w:p w:rsidR="000430C8" w:rsidRPr="006A3239" w:rsidRDefault="00E1512C" w:rsidP="009233DD">
      <w:pPr>
        <w:spacing w:before="240" w:line="360" w:lineRule="auto"/>
        <w:ind w:left="401"/>
        <w:jc w:val="center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 </w:t>
      </w:r>
      <w:r w:rsidR="004D1B76" w:rsidRPr="006A3239">
        <w:rPr>
          <w:rFonts w:ascii="David" w:hAnsi="David"/>
          <w:noProof/>
          <w:lang w:eastAsia="en-US"/>
        </w:rPr>
        <w:drawing>
          <wp:inline distT="0" distB="0" distL="0" distR="0" wp14:anchorId="4EBCD67D" wp14:editId="103485B3">
            <wp:extent cx="5438084" cy="2824520"/>
            <wp:effectExtent l="0" t="0" r="0" b="0"/>
            <wp:docPr id="3" name="תמונה 2" descr="תרשים 3: יתרות המכשירים הפיננסים בתיק, 2013 עד 2019  (במיליארדי ש&quot;ח) &#10;&#10;" title="תרשים 3: יתרות המכשירים הפיננסים בתיק, 2013 עד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9904" cy="284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73" w:rsidRPr="006A3239" w:rsidRDefault="009F64A1" w:rsidP="00D91E39">
      <w:pPr>
        <w:spacing w:before="240" w:line="360" w:lineRule="auto"/>
        <w:ind w:left="360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>יתרת ההשקעות בחו"ל</w:t>
      </w:r>
      <w:r w:rsidR="00247F73" w:rsidRPr="006A3239">
        <w:rPr>
          <w:rFonts w:ascii="David" w:hAnsi="David"/>
          <w:rtl/>
        </w:rPr>
        <w:t xml:space="preserve"> </w:t>
      </w:r>
      <w:r w:rsidR="00D91E39" w:rsidRPr="006A3239">
        <w:rPr>
          <w:rFonts w:ascii="David" w:hAnsi="David"/>
          <w:rtl/>
        </w:rPr>
        <w:t>נותרה כמעט ללא שינוי</w:t>
      </w:r>
      <w:r w:rsidR="00FD6210" w:rsidRPr="006A3239">
        <w:rPr>
          <w:rFonts w:ascii="David" w:hAnsi="David"/>
          <w:rtl/>
        </w:rPr>
        <w:t xml:space="preserve"> </w:t>
      </w:r>
      <w:r w:rsidR="00F510AA" w:rsidRPr="006A3239">
        <w:rPr>
          <w:rFonts w:ascii="David" w:hAnsi="David"/>
          <w:rtl/>
        </w:rPr>
        <w:t xml:space="preserve">במהלך הרביע </w:t>
      </w:r>
      <w:r w:rsidR="00247F73" w:rsidRPr="006A3239">
        <w:rPr>
          <w:rFonts w:ascii="David" w:hAnsi="David"/>
          <w:rtl/>
        </w:rPr>
        <w:t>ועמד</w:t>
      </w:r>
      <w:r w:rsidRPr="006A3239">
        <w:rPr>
          <w:rFonts w:ascii="David" w:hAnsi="David"/>
          <w:rtl/>
        </w:rPr>
        <w:t>ה</w:t>
      </w:r>
      <w:r w:rsidR="00247F73" w:rsidRPr="006A3239">
        <w:rPr>
          <w:rFonts w:ascii="David" w:hAnsi="David"/>
          <w:rtl/>
        </w:rPr>
        <w:t xml:space="preserve"> </w:t>
      </w:r>
      <w:r w:rsidR="00F510AA" w:rsidRPr="006A3239">
        <w:rPr>
          <w:rFonts w:ascii="David" w:hAnsi="David"/>
          <w:rtl/>
        </w:rPr>
        <w:t>בסופו</w:t>
      </w:r>
      <w:r w:rsidR="00247F73" w:rsidRPr="006A3239">
        <w:rPr>
          <w:rFonts w:ascii="David" w:hAnsi="David"/>
          <w:rtl/>
        </w:rPr>
        <w:t xml:space="preserve"> על כ-5</w:t>
      </w:r>
      <w:r w:rsidR="00D91E39" w:rsidRPr="006A3239">
        <w:rPr>
          <w:rFonts w:ascii="David" w:hAnsi="David"/>
          <w:rtl/>
        </w:rPr>
        <w:t>41</w:t>
      </w:r>
      <w:r w:rsidR="00247F73" w:rsidRPr="006A3239">
        <w:rPr>
          <w:rFonts w:ascii="David" w:hAnsi="David"/>
          <w:rtl/>
        </w:rPr>
        <w:t xml:space="preserve"> מיליארדי ש"ח - המהווים </w:t>
      </w:r>
      <w:r w:rsidR="00FD6210" w:rsidRPr="006A3239">
        <w:rPr>
          <w:rFonts w:ascii="David" w:hAnsi="David"/>
          <w:rtl/>
        </w:rPr>
        <w:t>1</w:t>
      </w:r>
      <w:r w:rsidR="00AB6EE0" w:rsidRPr="006A3239">
        <w:rPr>
          <w:rFonts w:ascii="David" w:hAnsi="David"/>
          <w:rtl/>
        </w:rPr>
        <w:t>4</w:t>
      </w:r>
      <w:r w:rsidR="00247F73" w:rsidRPr="006A3239">
        <w:rPr>
          <w:rFonts w:ascii="David" w:hAnsi="David"/>
          <w:rtl/>
        </w:rPr>
        <w:t>% מסך תיק הנכסים:</w:t>
      </w:r>
    </w:p>
    <w:p w:rsidR="0067043A" w:rsidRDefault="00247F73" w:rsidP="00800444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יתרת </w:t>
      </w:r>
      <w:r w:rsidRPr="006A3239">
        <w:rPr>
          <w:rFonts w:ascii="David" w:hAnsi="David"/>
          <w:b/>
          <w:bCs/>
          <w:rtl/>
        </w:rPr>
        <w:t>המניות בחו"ל</w:t>
      </w:r>
      <w:r w:rsidRPr="006A3239">
        <w:rPr>
          <w:rFonts w:ascii="David" w:hAnsi="David"/>
          <w:rtl/>
        </w:rPr>
        <w:t xml:space="preserve"> </w:t>
      </w:r>
      <w:r w:rsidR="00B236F2" w:rsidRPr="006A3239">
        <w:rPr>
          <w:rFonts w:ascii="David" w:hAnsi="David"/>
          <w:rtl/>
        </w:rPr>
        <w:t>עלת</w:t>
      </w:r>
      <w:r w:rsidR="00C82318" w:rsidRPr="006A3239">
        <w:rPr>
          <w:rFonts w:ascii="David" w:hAnsi="David"/>
          <w:rtl/>
        </w:rPr>
        <w:t>ה</w:t>
      </w:r>
      <w:r w:rsidRPr="006A3239">
        <w:rPr>
          <w:rFonts w:ascii="David" w:hAnsi="David"/>
          <w:rtl/>
        </w:rPr>
        <w:t xml:space="preserve"> בכ-</w:t>
      </w:r>
      <w:r w:rsidR="00B236F2" w:rsidRPr="006A3239">
        <w:rPr>
          <w:rFonts w:ascii="David" w:hAnsi="David"/>
          <w:rtl/>
        </w:rPr>
        <w:t>1.4</w:t>
      </w:r>
      <w:r w:rsidRPr="006A3239">
        <w:rPr>
          <w:rFonts w:ascii="David" w:hAnsi="David"/>
          <w:rtl/>
        </w:rPr>
        <w:t xml:space="preserve"> מיליארדי ש"ח </w:t>
      </w:r>
      <w:r w:rsidR="005A5897" w:rsidRPr="006A3239">
        <w:rPr>
          <w:rFonts w:ascii="David" w:hAnsi="David"/>
          <w:rtl/>
        </w:rPr>
        <w:t>(0.</w:t>
      </w:r>
      <w:r w:rsidR="00B236F2" w:rsidRPr="006A3239">
        <w:rPr>
          <w:rFonts w:ascii="David" w:hAnsi="David"/>
          <w:rtl/>
        </w:rPr>
        <w:t>4</w:t>
      </w:r>
      <w:r w:rsidR="005A5897" w:rsidRPr="006A3239">
        <w:rPr>
          <w:rFonts w:ascii="David" w:hAnsi="David"/>
          <w:rtl/>
        </w:rPr>
        <w:t xml:space="preserve">%) </w:t>
      </w:r>
      <w:r w:rsidRPr="006A3239">
        <w:rPr>
          <w:rFonts w:ascii="David" w:hAnsi="David"/>
          <w:rtl/>
        </w:rPr>
        <w:t>ועמדה בסוף הרביע על כ-</w:t>
      </w:r>
      <w:r w:rsidR="00C82318" w:rsidRPr="006A3239">
        <w:rPr>
          <w:rFonts w:ascii="David" w:hAnsi="David"/>
          <w:rtl/>
        </w:rPr>
        <w:t>3</w:t>
      </w:r>
      <w:r w:rsidR="00C23E04" w:rsidRPr="006A3239">
        <w:rPr>
          <w:rFonts w:ascii="David" w:hAnsi="David"/>
          <w:rtl/>
        </w:rPr>
        <w:t>5</w:t>
      </w:r>
      <w:r w:rsidR="00B236F2" w:rsidRPr="006A3239">
        <w:rPr>
          <w:rFonts w:ascii="David" w:hAnsi="David"/>
          <w:rtl/>
        </w:rPr>
        <w:t>2</w:t>
      </w:r>
      <w:r w:rsidRPr="006A3239">
        <w:rPr>
          <w:rFonts w:ascii="David" w:hAnsi="David"/>
          <w:rtl/>
        </w:rPr>
        <w:t xml:space="preserve"> מיליארדי ש"ח. </w:t>
      </w:r>
      <w:r w:rsidR="00800444" w:rsidRPr="006A3239">
        <w:rPr>
          <w:rFonts w:ascii="David" w:hAnsi="David"/>
          <w:rtl/>
        </w:rPr>
        <w:t>עיקר העלייה</w:t>
      </w:r>
      <w:r w:rsidRPr="006A3239">
        <w:rPr>
          <w:rFonts w:ascii="David" w:hAnsi="David"/>
          <w:rtl/>
        </w:rPr>
        <w:t xml:space="preserve"> </w:t>
      </w:r>
      <w:r w:rsidR="00C82318" w:rsidRPr="006A3239">
        <w:rPr>
          <w:rFonts w:ascii="David" w:hAnsi="David"/>
          <w:rtl/>
        </w:rPr>
        <w:t>נבעה</w:t>
      </w:r>
      <w:r w:rsidR="007C4C86" w:rsidRPr="006A3239">
        <w:rPr>
          <w:rFonts w:ascii="David" w:hAnsi="David"/>
          <w:rtl/>
        </w:rPr>
        <w:t xml:space="preserve"> </w:t>
      </w:r>
      <w:r w:rsidR="00800444" w:rsidRPr="006A3239">
        <w:rPr>
          <w:rFonts w:ascii="David" w:hAnsi="David"/>
          <w:rtl/>
        </w:rPr>
        <w:t xml:space="preserve">מהשקעות נטו בחו"ל שקוזוו חלקית ע"י </w:t>
      </w:r>
      <w:r w:rsidR="007C4C86" w:rsidRPr="006A3239">
        <w:rPr>
          <w:rFonts w:ascii="David" w:hAnsi="David"/>
          <w:rtl/>
        </w:rPr>
        <w:t>ייסוף השקל מול הדולר (</w:t>
      </w:r>
      <w:r w:rsidR="00800444" w:rsidRPr="006A3239">
        <w:rPr>
          <w:rFonts w:ascii="David" w:hAnsi="David"/>
          <w:rtl/>
        </w:rPr>
        <w:t>2.4</w:t>
      </w:r>
      <w:r w:rsidR="007C4C86" w:rsidRPr="006A3239">
        <w:rPr>
          <w:rFonts w:ascii="David" w:hAnsi="David"/>
          <w:rtl/>
        </w:rPr>
        <w:t xml:space="preserve">%) שהוריד את השווי השקלי של ההחזקות במניות בחו"ל. </w:t>
      </w:r>
    </w:p>
    <w:p w:rsidR="0067043A" w:rsidRPr="0067043A" w:rsidRDefault="0067043A" w:rsidP="0067043A">
      <w:pPr>
        <w:rPr>
          <w:rtl/>
        </w:rPr>
      </w:pPr>
    </w:p>
    <w:p w:rsidR="0067043A" w:rsidRPr="0067043A" w:rsidRDefault="0067043A" w:rsidP="0067043A">
      <w:pPr>
        <w:rPr>
          <w:rtl/>
        </w:rPr>
      </w:pPr>
    </w:p>
    <w:p w:rsidR="0067043A" w:rsidRDefault="0067043A" w:rsidP="0067043A">
      <w:pPr>
        <w:rPr>
          <w:rtl/>
        </w:rPr>
      </w:pPr>
    </w:p>
    <w:p w:rsidR="00247F73" w:rsidRPr="0067043A" w:rsidRDefault="0067043A" w:rsidP="0067043A">
      <w:pPr>
        <w:tabs>
          <w:tab w:val="left" w:pos="2456"/>
        </w:tabs>
        <w:rPr>
          <w:rtl/>
        </w:rPr>
      </w:pPr>
      <w:r>
        <w:rPr>
          <w:rtl/>
        </w:rPr>
        <w:tab/>
      </w:r>
    </w:p>
    <w:p w:rsidR="00B236F2" w:rsidRPr="006A3239" w:rsidRDefault="00247F73" w:rsidP="00800444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יתרת </w:t>
      </w:r>
      <w:r w:rsidRPr="006A3239">
        <w:rPr>
          <w:rFonts w:ascii="David" w:hAnsi="David"/>
          <w:b/>
          <w:bCs/>
          <w:rtl/>
        </w:rPr>
        <w:t>האג"ח הסחירות (חברות וממשלתיות)</w:t>
      </w:r>
      <w:r w:rsidRPr="006A3239">
        <w:rPr>
          <w:rFonts w:ascii="David" w:hAnsi="David"/>
          <w:rtl/>
        </w:rPr>
        <w:t xml:space="preserve"> </w:t>
      </w:r>
      <w:r w:rsidRPr="006A3239">
        <w:rPr>
          <w:rFonts w:ascii="David" w:hAnsi="David"/>
          <w:b/>
          <w:bCs/>
          <w:rtl/>
        </w:rPr>
        <w:t>בחו"ל</w:t>
      </w:r>
      <w:r w:rsidRPr="006A3239">
        <w:rPr>
          <w:rFonts w:ascii="David" w:hAnsi="David"/>
          <w:rtl/>
        </w:rPr>
        <w:t xml:space="preserve"> </w:t>
      </w:r>
      <w:r w:rsidR="005A5897" w:rsidRPr="006A3239">
        <w:rPr>
          <w:rFonts w:ascii="David" w:hAnsi="David"/>
          <w:rtl/>
        </w:rPr>
        <w:t>ירד</w:t>
      </w:r>
      <w:r w:rsidR="00A36DFB" w:rsidRPr="006A3239">
        <w:rPr>
          <w:rFonts w:ascii="David" w:hAnsi="David"/>
          <w:rtl/>
        </w:rPr>
        <w:t>ה</w:t>
      </w:r>
      <w:r w:rsidRPr="006A3239">
        <w:rPr>
          <w:rFonts w:ascii="David" w:hAnsi="David"/>
          <w:rtl/>
        </w:rPr>
        <w:t xml:space="preserve"> </w:t>
      </w:r>
      <w:r w:rsidR="005A5897" w:rsidRPr="006A3239">
        <w:rPr>
          <w:rFonts w:ascii="David" w:hAnsi="David"/>
          <w:rtl/>
        </w:rPr>
        <w:t>בכ-</w:t>
      </w:r>
      <w:r w:rsidR="00B236F2" w:rsidRPr="006A3239">
        <w:rPr>
          <w:rFonts w:ascii="David" w:hAnsi="David"/>
          <w:rtl/>
        </w:rPr>
        <w:t>1.2</w:t>
      </w:r>
      <w:r w:rsidR="005A5897" w:rsidRPr="006A3239">
        <w:rPr>
          <w:rFonts w:ascii="David" w:hAnsi="David"/>
          <w:rtl/>
        </w:rPr>
        <w:t xml:space="preserve"> מיליארדי ש"ח (</w:t>
      </w:r>
      <w:r w:rsidR="00B236F2" w:rsidRPr="006A3239">
        <w:rPr>
          <w:rFonts w:ascii="David" w:hAnsi="David"/>
          <w:rtl/>
        </w:rPr>
        <w:t>0</w:t>
      </w:r>
      <w:r w:rsidR="005A5897" w:rsidRPr="006A3239">
        <w:rPr>
          <w:rFonts w:ascii="David" w:hAnsi="David"/>
          <w:rtl/>
        </w:rPr>
        <w:t>.6%</w:t>
      </w:r>
      <w:r w:rsidR="005A5897" w:rsidRPr="006A3239">
        <w:rPr>
          <w:rFonts w:ascii="David" w:hAnsi="David"/>
        </w:rPr>
        <w:t>-</w:t>
      </w:r>
      <w:r w:rsidR="005A5897" w:rsidRPr="006A3239">
        <w:rPr>
          <w:rFonts w:ascii="David" w:hAnsi="David"/>
          <w:rtl/>
        </w:rPr>
        <w:t>)</w:t>
      </w:r>
      <w:r w:rsidR="0024440A" w:rsidRPr="006A3239">
        <w:rPr>
          <w:rFonts w:ascii="David" w:hAnsi="David"/>
          <w:rtl/>
        </w:rPr>
        <w:t xml:space="preserve"> </w:t>
      </w:r>
      <w:r w:rsidRPr="006A3239">
        <w:rPr>
          <w:rFonts w:ascii="David" w:hAnsi="David"/>
          <w:rtl/>
        </w:rPr>
        <w:t>ועמדה בסוף הרביע על כ-</w:t>
      </w:r>
      <w:r w:rsidR="008A763C" w:rsidRPr="006A3239">
        <w:rPr>
          <w:rFonts w:ascii="David" w:hAnsi="David"/>
          <w:rtl/>
        </w:rPr>
        <w:t>1</w:t>
      </w:r>
      <w:r w:rsidR="0092430A" w:rsidRPr="006A3239">
        <w:rPr>
          <w:rFonts w:ascii="David" w:hAnsi="David"/>
          <w:rtl/>
        </w:rPr>
        <w:t>8</w:t>
      </w:r>
      <w:r w:rsidR="00B236F2" w:rsidRPr="006A3239">
        <w:rPr>
          <w:rFonts w:ascii="David" w:hAnsi="David"/>
          <w:rtl/>
        </w:rPr>
        <w:t>8</w:t>
      </w:r>
      <w:r w:rsidR="00A36DFB" w:rsidRPr="006A3239">
        <w:rPr>
          <w:rFonts w:ascii="David" w:hAnsi="David"/>
          <w:rtl/>
        </w:rPr>
        <w:t xml:space="preserve"> </w:t>
      </w:r>
      <w:r w:rsidRPr="006A3239">
        <w:rPr>
          <w:rFonts w:ascii="David" w:hAnsi="David"/>
          <w:rtl/>
        </w:rPr>
        <w:t xml:space="preserve">מיליארדי ש"ח. </w:t>
      </w:r>
      <w:r w:rsidR="007C4C86" w:rsidRPr="006A3239">
        <w:rPr>
          <w:rFonts w:ascii="David" w:hAnsi="David"/>
          <w:rtl/>
        </w:rPr>
        <w:t>ירידה</w:t>
      </w:r>
      <w:r w:rsidRPr="006A3239">
        <w:rPr>
          <w:rFonts w:ascii="David" w:hAnsi="David"/>
          <w:rtl/>
        </w:rPr>
        <w:t xml:space="preserve"> </w:t>
      </w:r>
      <w:r w:rsidR="008A763C" w:rsidRPr="006A3239">
        <w:rPr>
          <w:rFonts w:ascii="David" w:hAnsi="David"/>
          <w:rtl/>
        </w:rPr>
        <w:t xml:space="preserve">זו </w:t>
      </w:r>
      <w:r w:rsidRPr="006A3239">
        <w:rPr>
          <w:rFonts w:ascii="David" w:hAnsi="David"/>
          <w:rtl/>
        </w:rPr>
        <w:t xml:space="preserve">נבעה בעיקר </w:t>
      </w:r>
      <w:r w:rsidR="007C4C86" w:rsidRPr="006A3239">
        <w:rPr>
          <w:rFonts w:ascii="David" w:hAnsi="David"/>
          <w:rtl/>
        </w:rPr>
        <w:t xml:space="preserve">מייסוף השקל מול הדולר. ירידה זו קוזזה חלקית </w:t>
      </w:r>
      <w:r w:rsidR="00800444" w:rsidRPr="006A3239">
        <w:rPr>
          <w:rFonts w:ascii="David" w:hAnsi="David"/>
          <w:rtl/>
        </w:rPr>
        <w:t>ע"י עליות המחירים בבורסות בחו"ל ומהשקעות נטו.</w:t>
      </w:r>
    </w:p>
    <w:p w:rsidR="007C2B07" w:rsidRPr="006A3239" w:rsidRDefault="00F510AA" w:rsidP="00914BA9">
      <w:pPr>
        <w:spacing w:before="240" w:after="240" w:line="360" w:lineRule="auto"/>
        <w:ind w:left="360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>כתוצאה מההתפתחויות במהלך הרביע,</w:t>
      </w:r>
      <w:r w:rsidR="00C46ABC" w:rsidRPr="006A3239">
        <w:rPr>
          <w:rFonts w:ascii="David" w:hAnsi="David"/>
          <w:rtl/>
        </w:rPr>
        <w:t xml:space="preserve"> חלה </w:t>
      </w:r>
      <w:r w:rsidR="005F38CB" w:rsidRPr="006A3239">
        <w:rPr>
          <w:rFonts w:ascii="David" w:hAnsi="David"/>
          <w:rtl/>
        </w:rPr>
        <w:t>ירידה</w:t>
      </w:r>
      <w:r w:rsidR="00C46ABC" w:rsidRPr="006A3239">
        <w:rPr>
          <w:rFonts w:ascii="David" w:hAnsi="David"/>
          <w:rtl/>
        </w:rPr>
        <w:t xml:space="preserve"> </w:t>
      </w:r>
      <w:r w:rsidR="006B440B" w:rsidRPr="006A3239">
        <w:rPr>
          <w:rFonts w:ascii="David" w:hAnsi="David"/>
          <w:rtl/>
        </w:rPr>
        <w:t>של כ</w:t>
      </w:r>
      <w:r w:rsidR="00D21053" w:rsidRPr="006A3239">
        <w:rPr>
          <w:rFonts w:ascii="David" w:hAnsi="David"/>
          <w:rtl/>
        </w:rPr>
        <w:t>-0.</w:t>
      </w:r>
      <w:r w:rsidR="005F38CB" w:rsidRPr="006A3239">
        <w:rPr>
          <w:rFonts w:ascii="David" w:hAnsi="David"/>
          <w:rtl/>
        </w:rPr>
        <w:t>5</w:t>
      </w:r>
      <w:r w:rsidR="00D21053" w:rsidRPr="006A3239">
        <w:rPr>
          <w:rFonts w:ascii="David" w:hAnsi="David"/>
          <w:rtl/>
        </w:rPr>
        <w:t xml:space="preserve"> </w:t>
      </w:r>
      <w:r w:rsidR="001006AD" w:rsidRPr="006A3239">
        <w:rPr>
          <w:rFonts w:ascii="David" w:hAnsi="David"/>
          <w:rtl/>
        </w:rPr>
        <w:t>נקודת</w:t>
      </w:r>
      <w:r w:rsidR="006B440B" w:rsidRPr="006A3239">
        <w:rPr>
          <w:rFonts w:ascii="David" w:hAnsi="David"/>
          <w:rtl/>
        </w:rPr>
        <w:t xml:space="preserve"> אחוז </w:t>
      </w:r>
      <w:r w:rsidR="00C46ABC" w:rsidRPr="006A3239">
        <w:rPr>
          <w:rFonts w:ascii="David" w:hAnsi="David"/>
          <w:rtl/>
        </w:rPr>
        <w:t xml:space="preserve">בשיעור הנכסים </w:t>
      </w:r>
      <w:r w:rsidR="005F38CB" w:rsidRPr="006A3239">
        <w:rPr>
          <w:rFonts w:ascii="David" w:hAnsi="David"/>
          <w:rtl/>
        </w:rPr>
        <w:t>במט"ח</w:t>
      </w:r>
      <w:r w:rsidR="00C46ABC" w:rsidRPr="006A3239">
        <w:rPr>
          <w:rFonts w:ascii="David" w:hAnsi="David"/>
          <w:rtl/>
        </w:rPr>
        <w:t xml:space="preserve"> ו</w:t>
      </w:r>
      <w:r w:rsidR="006D276A" w:rsidRPr="006A3239">
        <w:rPr>
          <w:rFonts w:ascii="David" w:hAnsi="David"/>
          <w:rtl/>
        </w:rPr>
        <w:t xml:space="preserve">-0.2 נקודת אחוז </w:t>
      </w:r>
      <w:r w:rsidR="005F38CB" w:rsidRPr="006A3239">
        <w:rPr>
          <w:rFonts w:ascii="David" w:hAnsi="David"/>
          <w:rtl/>
        </w:rPr>
        <w:t xml:space="preserve">בשיעור </w:t>
      </w:r>
      <w:r w:rsidR="0046283A" w:rsidRPr="006A3239">
        <w:rPr>
          <w:rFonts w:ascii="David" w:hAnsi="David"/>
          <w:rtl/>
        </w:rPr>
        <w:t xml:space="preserve">הנכסים הזרים. </w:t>
      </w:r>
      <w:r w:rsidR="005F38CB" w:rsidRPr="006A3239">
        <w:rPr>
          <w:rFonts w:ascii="David" w:hAnsi="David"/>
          <w:rtl/>
        </w:rPr>
        <w:t xml:space="preserve">שיעור הנכסים </w:t>
      </w:r>
      <w:r w:rsidR="001006AD" w:rsidRPr="006A3239">
        <w:rPr>
          <w:rFonts w:ascii="David" w:hAnsi="David"/>
          <w:rtl/>
        </w:rPr>
        <w:t>בסיכון</w:t>
      </w:r>
      <w:r w:rsidR="000A525E" w:rsidRPr="006A3239">
        <w:rPr>
          <w:rStyle w:val="a5"/>
          <w:rFonts w:ascii="David" w:hAnsi="David"/>
          <w:rtl/>
        </w:rPr>
        <w:footnoteReference w:id="2"/>
      </w:r>
      <w:r w:rsidRPr="006A3239">
        <w:rPr>
          <w:rFonts w:ascii="David" w:hAnsi="David"/>
          <w:rtl/>
        </w:rPr>
        <w:t xml:space="preserve"> </w:t>
      </w:r>
      <w:r w:rsidR="005F38CB" w:rsidRPr="006A3239">
        <w:rPr>
          <w:rFonts w:ascii="David" w:hAnsi="David"/>
          <w:rtl/>
        </w:rPr>
        <w:t>עלה בכ-0.</w:t>
      </w:r>
      <w:r w:rsidR="00914BA9" w:rsidRPr="006A3239">
        <w:rPr>
          <w:rFonts w:ascii="David" w:hAnsi="David"/>
          <w:rtl/>
        </w:rPr>
        <w:t>1</w:t>
      </w:r>
      <w:r w:rsidR="005F38CB" w:rsidRPr="006A3239">
        <w:rPr>
          <w:rFonts w:ascii="David" w:hAnsi="David"/>
          <w:rtl/>
        </w:rPr>
        <w:t xml:space="preserve"> נקודת אחוז ועמד בסוף הרביע</w:t>
      </w:r>
      <w:r w:rsidRPr="006A3239">
        <w:rPr>
          <w:rFonts w:ascii="David" w:hAnsi="David"/>
          <w:rtl/>
        </w:rPr>
        <w:t xml:space="preserve"> על </w:t>
      </w:r>
      <w:r w:rsidR="00D21053" w:rsidRPr="006A3239">
        <w:rPr>
          <w:rFonts w:ascii="David" w:hAnsi="David"/>
          <w:rtl/>
        </w:rPr>
        <w:t>4</w:t>
      </w:r>
      <w:r w:rsidR="00167C6D" w:rsidRPr="006A3239">
        <w:rPr>
          <w:rFonts w:ascii="David" w:hAnsi="David"/>
          <w:rtl/>
        </w:rPr>
        <w:t>3</w:t>
      </w:r>
      <w:r w:rsidR="00D21053" w:rsidRPr="006A3239">
        <w:rPr>
          <w:rFonts w:ascii="David" w:hAnsi="David"/>
          <w:rtl/>
        </w:rPr>
        <w:t>.</w:t>
      </w:r>
      <w:r w:rsidR="00914BA9" w:rsidRPr="006A3239">
        <w:rPr>
          <w:rFonts w:ascii="David" w:hAnsi="David"/>
          <w:rtl/>
        </w:rPr>
        <w:t>7.</w:t>
      </w:r>
    </w:p>
    <w:p w:rsidR="00283B13" w:rsidRPr="006A3239" w:rsidRDefault="00283B13" w:rsidP="009709E0">
      <w:pPr>
        <w:pStyle w:val="1"/>
        <w:numPr>
          <w:ilvl w:val="0"/>
          <w:numId w:val="18"/>
        </w:numPr>
        <w:spacing w:before="240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התיק המנוהל </w:t>
      </w:r>
      <w:r w:rsidR="00C46ABC" w:rsidRPr="006A3239">
        <w:rPr>
          <w:rFonts w:ascii="David" w:hAnsi="David"/>
          <w:rtl/>
        </w:rPr>
        <w:t>בידי</w:t>
      </w:r>
      <w:r w:rsidRPr="006A3239">
        <w:rPr>
          <w:rFonts w:ascii="David" w:hAnsi="David"/>
          <w:rtl/>
        </w:rPr>
        <w:t xml:space="preserve"> המשקיעים המוסדיים</w:t>
      </w:r>
      <w:r w:rsidR="0053162E" w:rsidRPr="006A3239">
        <w:rPr>
          <w:rStyle w:val="a5"/>
          <w:rFonts w:ascii="David" w:hAnsi="David"/>
          <w:rtl/>
        </w:rPr>
        <w:footnoteReference w:id="3"/>
      </w:r>
    </w:p>
    <w:p w:rsidR="000620EE" w:rsidRPr="006A3239" w:rsidRDefault="00EA3D5E" w:rsidP="00971A77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David" w:hAnsi="David"/>
          <w:b/>
          <w:bCs/>
          <w:rtl/>
        </w:rPr>
      </w:pPr>
      <w:r w:rsidRPr="006A3239">
        <w:rPr>
          <w:rFonts w:ascii="David" w:hAnsi="David"/>
          <w:noProof/>
          <w:rtl/>
          <w:lang w:eastAsia="en-US"/>
        </w:rPr>
        <w:drawing>
          <wp:anchor distT="0" distB="0" distL="114300" distR="114300" simplePos="0" relativeHeight="251696128" behindDoc="0" locked="0" layoutInCell="1" allowOverlap="1" wp14:anchorId="4A49F61E">
            <wp:simplePos x="0" y="0"/>
            <wp:positionH relativeFrom="margin">
              <wp:align>center</wp:align>
            </wp:positionH>
            <wp:positionV relativeFrom="margin">
              <wp:posOffset>3827824</wp:posOffset>
            </wp:positionV>
            <wp:extent cx="6120000" cy="2448000"/>
            <wp:effectExtent l="0" t="0" r="0" b="0"/>
            <wp:wrapSquare wrapText="bothSides"/>
            <wp:docPr id="10" name="תמונה 10" descr="תרשים 4: יתרת סך התיק המנוהל בידי המשקיעים המוסדיים &#10;" title="תרשים 4: יתרת סך התיק המנוהל בידי המשקיעים המוסדי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44" w:rsidRPr="006A3239">
        <w:rPr>
          <w:rFonts w:ascii="David" w:hAnsi="David"/>
          <w:b/>
          <w:bCs/>
          <w:rtl/>
        </w:rPr>
        <w:t xml:space="preserve">יתרת התיק המנוהל בידי המשקיעים המוסדיים </w:t>
      </w:r>
      <w:r w:rsidR="00800444" w:rsidRPr="006A3239">
        <w:rPr>
          <w:rFonts w:ascii="David" w:hAnsi="David"/>
          <w:rtl/>
        </w:rPr>
        <w:t xml:space="preserve">עלתה ברביע השלישי של שנת 2019 בכ-56 מיליארדי </w:t>
      </w:r>
      <w:r w:rsidR="003D326B" w:rsidRPr="006A3239">
        <w:rPr>
          <w:rFonts w:ascii="David" w:hAnsi="David"/>
          <w:rtl/>
        </w:rPr>
        <w:t>ש"ח</w:t>
      </w:r>
      <w:r w:rsidR="00800444" w:rsidRPr="006A3239">
        <w:rPr>
          <w:rFonts w:ascii="David" w:hAnsi="David"/>
          <w:rtl/>
        </w:rPr>
        <w:t xml:space="preserve"> (3.1%) לרמה של כ-1.84 טריליונים </w:t>
      </w:r>
      <w:r w:rsidR="007C2B07" w:rsidRPr="006A3239">
        <w:rPr>
          <w:rFonts w:ascii="David" w:hAnsi="David"/>
          <w:rtl/>
        </w:rPr>
        <w:t>(</w:t>
      </w:r>
      <w:r w:rsidR="00800444" w:rsidRPr="006A3239">
        <w:rPr>
          <w:rFonts w:ascii="David" w:hAnsi="David"/>
          <w:rtl/>
        </w:rPr>
        <w:t>46.3</w:t>
      </w:r>
      <w:r w:rsidR="007C2B07" w:rsidRPr="006A3239">
        <w:rPr>
          <w:rFonts w:ascii="David" w:hAnsi="David"/>
          <w:rtl/>
        </w:rPr>
        <w:t>% מסך תיק הנכסים הפיננסים של הציבור)</w:t>
      </w:r>
      <w:r w:rsidR="00377914" w:rsidRPr="006A3239">
        <w:rPr>
          <w:rFonts w:ascii="David" w:hAnsi="David"/>
          <w:rtl/>
        </w:rPr>
        <w:t>.</w:t>
      </w:r>
      <w:r w:rsidRPr="006A3239">
        <w:rPr>
          <w:rFonts w:ascii="David" w:hAnsi="David"/>
          <w:rtl/>
        </w:rPr>
        <w:t xml:space="preserve"> סה"כ עלייה של</w:t>
      </w:r>
      <w:r w:rsidR="00971A77" w:rsidRPr="006A3239">
        <w:rPr>
          <w:rFonts w:ascii="David" w:hAnsi="David"/>
          <w:rtl/>
        </w:rPr>
        <w:t xml:space="preserve"> כ-</w:t>
      </w:r>
      <w:r w:rsidRPr="006A3239">
        <w:rPr>
          <w:rFonts w:ascii="David" w:hAnsi="David"/>
          <w:rtl/>
        </w:rPr>
        <w:t>155 מיליארדי ש"ח (9.3%)</w:t>
      </w:r>
      <w:r w:rsidR="00971A77" w:rsidRPr="006A3239">
        <w:rPr>
          <w:rFonts w:ascii="David" w:hAnsi="David"/>
          <w:rtl/>
        </w:rPr>
        <w:t xml:space="preserve"> בארבעת</w:t>
      </w:r>
      <w:r w:rsidRPr="006A3239">
        <w:rPr>
          <w:rFonts w:ascii="David" w:hAnsi="David"/>
          <w:rtl/>
        </w:rPr>
        <w:t xml:space="preserve"> </w:t>
      </w:r>
      <w:r w:rsidR="00971A77" w:rsidRPr="006A3239">
        <w:rPr>
          <w:rFonts w:ascii="David" w:hAnsi="David"/>
          <w:rtl/>
        </w:rPr>
        <w:t>ה</w:t>
      </w:r>
      <w:r w:rsidRPr="006A3239">
        <w:rPr>
          <w:rFonts w:ascii="David" w:hAnsi="David"/>
          <w:rtl/>
        </w:rPr>
        <w:t>רביעים האחרונים.</w:t>
      </w:r>
      <w:r w:rsidR="00377914" w:rsidRPr="006A3239">
        <w:rPr>
          <w:rFonts w:ascii="David" w:hAnsi="David"/>
          <w:rtl/>
        </w:rPr>
        <w:t xml:space="preserve"> </w:t>
      </w:r>
      <w:r w:rsidR="00A52359" w:rsidRPr="006A3239">
        <w:rPr>
          <w:rFonts w:ascii="David" w:hAnsi="David"/>
          <w:rtl/>
        </w:rPr>
        <w:t xml:space="preserve">עיקר </w:t>
      </w:r>
      <w:r w:rsidR="006E153A" w:rsidRPr="006A3239">
        <w:rPr>
          <w:rFonts w:ascii="David" w:hAnsi="David"/>
          <w:rtl/>
        </w:rPr>
        <w:t>העלייה</w:t>
      </w:r>
      <w:r w:rsidR="007C2B07" w:rsidRPr="006A3239">
        <w:rPr>
          <w:rFonts w:ascii="David" w:hAnsi="David"/>
          <w:rtl/>
        </w:rPr>
        <w:t xml:space="preserve"> ביתרת התיק</w:t>
      </w:r>
      <w:r w:rsidRPr="006A3239">
        <w:rPr>
          <w:rFonts w:ascii="David" w:hAnsi="David"/>
          <w:rtl/>
        </w:rPr>
        <w:t>, במהלך הרביע,</w:t>
      </w:r>
      <w:r w:rsidR="007C2B07" w:rsidRPr="006A3239">
        <w:rPr>
          <w:rFonts w:ascii="David" w:hAnsi="David"/>
          <w:rtl/>
        </w:rPr>
        <w:t xml:space="preserve"> נבעה </w:t>
      </w:r>
      <w:r w:rsidR="00A45F09" w:rsidRPr="006A3239">
        <w:rPr>
          <w:rFonts w:ascii="David" w:hAnsi="David"/>
          <w:rtl/>
        </w:rPr>
        <w:t>מעלייה ביתרת האג"ח הממשלתיות הסחירות והלא סחירות (34 מיליארדי ש"ח, 4.9%) וביתרת המניות הסחירות בישראל (8 מיליארדי ש"ח, 5.3%).</w:t>
      </w:r>
    </w:p>
    <w:p w:rsidR="004A1707" w:rsidRPr="006A3239" w:rsidRDefault="004A1707" w:rsidP="004A1707">
      <w:pPr>
        <w:pStyle w:val="af"/>
        <w:spacing w:before="240" w:line="360" w:lineRule="auto"/>
        <w:jc w:val="both"/>
        <w:rPr>
          <w:rFonts w:ascii="David" w:hAnsi="David"/>
        </w:rPr>
      </w:pPr>
    </w:p>
    <w:p w:rsidR="004A1707" w:rsidRPr="006A3239" w:rsidRDefault="007C2B07" w:rsidP="004A1707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David" w:hAnsi="David"/>
          <w:rtl/>
        </w:rPr>
      </w:pPr>
      <w:r w:rsidRPr="006A3239">
        <w:rPr>
          <w:rFonts w:ascii="David" w:hAnsi="David"/>
          <w:b/>
          <w:bCs/>
          <w:rtl/>
        </w:rPr>
        <w:t>חשיפת התיק המנוהל בידי המשקיעים המוסדיים</w:t>
      </w:r>
      <w:r w:rsidRPr="006A3239">
        <w:rPr>
          <w:rStyle w:val="a5"/>
          <w:rFonts w:ascii="David" w:hAnsi="David"/>
          <w:b/>
          <w:bCs/>
          <w:rtl/>
        </w:rPr>
        <w:footnoteReference w:id="4"/>
      </w:r>
      <w:r w:rsidRPr="006A3239">
        <w:rPr>
          <w:rFonts w:ascii="David" w:hAnsi="David"/>
          <w:b/>
          <w:bCs/>
          <w:rtl/>
        </w:rPr>
        <w:t xml:space="preserve"> לנכסים זרים ולמט"ח</w:t>
      </w:r>
      <w:r w:rsidR="004A1707" w:rsidRPr="006A3239">
        <w:rPr>
          <w:rFonts w:ascii="David" w:hAnsi="David"/>
          <w:b/>
          <w:bCs/>
          <w:rtl/>
        </w:rPr>
        <w:t>:</w:t>
      </w:r>
    </w:p>
    <w:p w:rsidR="007C2B07" w:rsidRPr="006A3239" w:rsidRDefault="007C2B07" w:rsidP="004A1707">
      <w:pPr>
        <w:spacing w:before="240" w:line="360" w:lineRule="auto"/>
        <w:ind w:left="720"/>
        <w:jc w:val="both"/>
        <w:rPr>
          <w:rFonts w:ascii="David" w:hAnsi="David"/>
        </w:rPr>
      </w:pPr>
      <w:r w:rsidRPr="006A3239">
        <w:rPr>
          <w:rFonts w:ascii="David" w:hAnsi="David"/>
          <w:rtl/>
        </w:rPr>
        <w:t xml:space="preserve">ברביע </w:t>
      </w:r>
      <w:r w:rsidR="00A45F09" w:rsidRPr="006A3239">
        <w:rPr>
          <w:rFonts w:ascii="David" w:hAnsi="David"/>
          <w:rtl/>
        </w:rPr>
        <w:t>השלישי</w:t>
      </w:r>
      <w:r w:rsidRPr="006A3239">
        <w:rPr>
          <w:rFonts w:ascii="David" w:hAnsi="David"/>
          <w:rtl/>
        </w:rPr>
        <w:t xml:space="preserve"> של שנת </w:t>
      </w:r>
      <w:r w:rsidR="003637B1" w:rsidRPr="006A3239">
        <w:rPr>
          <w:rFonts w:ascii="David" w:hAnsi="David"/>
          <w:rtl/>
        </w:rPr>
        <w:t>2019</w:t>
      </w:r>
      <w:r w:rsidR="003D28E4" w:rsidRPr="006A3239">
        <w:rPr>
          <w:rFonts w:ascii="David" w:hAnsi="David"/>
          <w:rtl/>
        </w:rPr>
        <w:t xml:space="preserve"> </w:t>
      </w:r>
      <w:r w:rsidR="0034683B" w:rsidRPr="006A3239">
        <w:rPr>
          <w:rFonts w:ascii="David" w:hAnsi="David"/>
          <w:b/>
          <w:bCs/>
          <w:rtl/>
        </w:rPr>
        <w:t>שיעור החשיפה של המשקיעים המוסדיים לנכסים זרים</w:t>
      </w:r>
      <w:r w:rsidR="0034683B" w:rsidRPr="006A3239">
        <w:rPr>
          <w:rFonts w:ascii="David" w:hAnsi="David"/>
          <w:rtl/>
        </w:rPr>
        <w:t xml:space="preserve"> </w:t>
      </w:r>
      <w:r w:rsidR="00A45F09" w:rsidRPr="006A3239">
        <w:rPr>
          <w:rFonts w:ascii="David" w:hAnsi="David"/>
          <w:rtl/>
        </w:rPr>
        <w:t xml:space="preserve">נותר ללא שינוי על </w:t>
      </w:r>
      <w:r w:rsidRPr="006A3239">
        <w:rPr>
          <w:rFonts w:ascii="David" w:hAnsi="David"/>
          <w:rtl/>
        </w:rPr>
        <w:t>רמה של כ-</w:t>
      </w:r>
      <w:r w:rsidR="001B7370" w:rsidRPr="006A3239">
        <w:rPr>
          <w:rFonts w:ascii="David" w:hAnsi="David"/>
          <w:rtl/>
        </w:rPr>
        <w:t>28</w:t>
      </w:r>
      <w:r w:rsidRPr="006A3239">
        <w:rPr>
          <w:rFonts w:ascii="David" w:hAnsi="David"/>
          <w:rtl/>
        </w:rPr>
        <w:t>.</w:t>
      </w:r>
      <w:r w:rsidR="00E26F80" w:rsidRPr="006A3239">
        <w:rPr>
          <w:rFonts w:ascii="David" w:hAnsi="David"/>
          <w:rtl/>
        </w:rPr>
        <w:t>2</w:t>
      </w:r>
      <w:r w:rsidRPr="006A3239">
        <w:rPr>
          <w:rFonts w:ascii="David" w:hAnsi="David"/>
          <w:rtl/>
        </w:rPr>
        <w:t>% מהתיק</w:t>
      </w:r>
      <w:r w:rsidR="003D28E4" w:rsidRPr="006A3239">
        <w:rPr>
          <w:rFonts w:ascii="David" w:hAnsi="David"/>
          <w:rtl/>
        </w:rPr>
        <w:t xml:space="preserve">, </w:t>
      </w:r>
      <w:r w:rsidR="001F2235" w:rsidRPr="006A3239">
        <w:rPr>
          <w:rFonts w:ascii="David" w:hAnsi="David"/>
          <w:rtl/>
        </w:rPr>
        <w:t xml:space="preserve">זאת </w:t>
      </w:r>
      <w:r w:rsidR="00A45F09" w:rsidRPr="006A3239">
        <w:rPr>
          <w:rFonts w:ascii="David" w:hAnsi="David"/>
          <w:rtl/>
        </w:rPr>
        <w:t>כתוצאה מעלייה זהה של יתרת החשיפה לנכסים זרים במונחים שקליים והעלייה בסך נכסי ההשקעה.</w:t>
      </w:r>
    </w:p>
    <w:p w:rsidR="00347124" w:rsidRPr="006A3239" w:rsidRDefault="007C2B07" w:rsidP="00EA3D5E">
      <w:pPr>
        <w:spacing w:before="240" w:line="360" w:lineRule="auto"/>
        <w:ind w:left="720"/>
        <w:jc w:val="both"/>
        <w:outlineLvl w:val="0"/>
        <w:rPr>
          <w:rFonts w:ascii="David" w:hAnsi="David"/>
          <w:b/>
          <w:bCs/>
          <w:rtl/>
        </w:rPr>
      </w:pPr>
      <w:r w:rsidRPr="006A3239">
        <w:rPr>
          <w:rFonts w:ascii="David" w:hAnsi="David"/>
          <w:rtl/>
        </w:rPr>
        <w:t xml:space="preserve">ברביע </w:t>
      </w:r>
      <w:r w:rsidR="00A45F09" w:rsidRPr="006A3239">
        <w:rPr>
          <w:rFonts w:ascii="David" w:hAnsi="David"/>
          <w:rtl/>
        </w:rPr>
        <w:t>השלישי</w:t>
      </w:r>
      <w:r w:rsidRPr="006A3239">
        <w:rPr>
          <w:rFonts w:ascii="David" w:hAnsi="David"/>
          <w:rtl/>
        </w:rPr>
        <w:t xml:space="preserve"> של השנה </w:t>
      </w:r>
      <w:r w:rsidR="005536D5" w:rsidRPr="006A3239">
        <w:rPr>
          <w:rFonts w:ascii="David" w:hAnsi="David"/>
          <w:rtl/>
        </w:rPr>
        <w:t>ירד</w:t>
      </w:r>
      <w:r w:rsidRPr="006A3239">
        <w:rPr>
          <w:rFonts w:ascii="David" w:hAnsi="David"/>
          <w:rtl/>
        </w:rPr>
        <w:t xml:space="preserve"> </w:t>
      </w:r>
      <w:r w:rsidRPr="006A3239">
        <w:rPr>
          <w:rFonts w:ascii="David" w:hAnsi="David"/>
          <w:b/>
          <w:bCs/>
          <w:rtl/>
        </w:rPr>
        <w:t>שיעור החשיפה למט"ח (כולל נגזרי ש"ח/מט"ח)</w:t>
      </w:r>
      <w:r w:rsidRPr="006A3239">
        <w:rPr>
          <w:rFonts w:ascii="David" w:hAnsi="David"/>
          <w:rtl/>
        </w:rPr>
        <w:t xml:space="preserve"> ב</w:t>
      </w:r>
      <w:r w:rsidR="00EE7382" w:rsidRPr="006A3239">
        <w:rPr>
          <w:rFonts w:ascii="David" w:hAnsi="David"/>
          <w:rtl/>
        </w:rPr>
        <w:t>כ-0.</w:t>
      </w:r>
      <w:r w:rsidR="00A45F09" w:rsidRPr="006A3239">
        <w:rPr>
          <w:rFonts w:ascii="David" w:hAnsi="David"/>
          <w:rtl/>
        </w:rPr>
        <w:t>3</w:t>
      </w:r>
      <w:r w:rsidR="00EE7382" w:rsidRPr="006A3239">
        <w:rPr>
          <w:rFonts w:ascii="David" w:hAnsi="David"/>
          <w:rtl/>
        </w:rPr>
        <w:t xml:space="preserve"> </w:t>
      </w:r>
      <w:r w:rsidRPr="006A3239">
        <w:rPr>
          <w:rFonts w:ascii="David" w:hAnsi="David"/>
          <w:rtl/>
        </w:rPr>
        <w:t>נקודת אחוז לרמה של כ-</w:t>
      </w:r>
      <w:r w:rsidR="005536D5" w:rsidRPr="006A3239">
        <w:rPr>
          <w:rFonts w:ascii="David" w:hAnsi="David"/>
          <w:rtl/>
        </w:rPr>
        <w:t>16.</w:t>
      </w:r>
      <w:r w:rsidR="00A45F09" w:rsidRPr="006A3239">
        <w:rPr>
          <w:rFonts w:ascii="David" w:hAnsi="David"/>
          <w:rtl/>
        </w:rPr>
        <w:t>5</w:t>
      </w:r>
      <w:r w:rsidR="003D28E4" w:rsidRPr="006A3239">
        <w:rPr>
          <w:rFonts w:ascii="David" w:hAnsi="David"/>
          <w:rtl/>
        </w:rPr>
        <w:t xml:space="preserve">%. </w:t>
      </w:r>
      <w:r w:rsidR="00060438" w:rsidRPr="006A3239">
        <w:rPr>
          <w:rFonts w:ascii="David" w:hAnsi="David"/>
          <w:rtl/>
        </w:rPr>
        <w:t xml:space="preserve">הגופים המוסדיים </w:t>
      </w:r>
      <w:r w:rsidR="00A45F09" w:rsidRPr="006A3239">
        <w:rPr>
          <w:rFonts w:ascii="David" w:hAnsi="David"/>
          <w:rtl/>
        </w:rPr>
        <w:t xml:space="preserve">רכשו נטו נכסים במט"ח בסך של כ-1.1 מיליארדי דולרים: השקעות של כ-3.5 מיליארדי דולרים בנכסים הנקובים והצמודים למט"ח שקוזזו במקצת ע"י מכירת מט"ח נטו באמצעות מכשירים פיננסיים נגזרים בהיקף של כ- 2.4 מיליארד </w:t>
      </w:r>
      <w:r w:rsidR="005827E7" w:rsidRPr="006A3239">
        <w:rPr>
          <w:rFonts w:ascii="David" w:hAnsi="David"/>
          <w:rtl/>
        </w:rPr>
        <w:t>דולרים</w:t>
      </w:r>
      <w:r w:rsidR="00EA3D5E" w:rsidRPr="006A3239">
        <w:rPr>
          <w:rFonts w:ascii="David" w:hAnsi="David"/>
          <w:rtl/>
        </w:rPr>
        <w:t>.</w:t>
      </w: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347124" w:rsidRPr="006A3239" w:rsidTr="00103EC2">
        <w:trPr>
          <w:trHeight w:val="3971"/>
        </w:trPr>
        <w:tc>
          <w:tcPr>
            <w:tcW w:w="5341" w:type="dxa"/>
          </w:tcPr>
          <w:p w:rsidR="00347124" w:rsidRPr="006A3239" w:rsidRDefault="00186B53" w:rsidP="00347124">
            <w:pPr>
              <w:spacing w:before="240" w:line="360" w:lineRule="auto"/>
              <w:jc w:val="both"/>
              <w:rPr>
                <w:rFonts w:ascii="David" w:hAnsi="David"/>
                <w:b/>
                <w:bCs/>
                <w:rtl/>
              </w:rPr>
            </w:pPr>
            <w:r w:rsidRPr="006A3239">
              <w:rPr>
                <w:rFonts w:ascii="David" w:hAnsi="David"/>
                <w:b/>
                <w:bCs/>
                <w:noProof/>
                <w:rtl/>
                <w:lang w:eastAsia="en-US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670FB737">
                  <wp:simplePos x="3905250" y="638175"/>
                  <wp:positionH relativeFrom="column">
                    <wp:align>center</wp:align>
                  </wp:positionH>
                  <wp:positionV relativeFrom="paragraph">
                    <wp:posOffset>4445</wp:posOffset>
                  </wp:positionV>
                  <wp:extent cx="2880000" cy="2314800"/>
                  <wp:effectExtent l="0" t="0" r="0" b="9525"/>
                  <wp:wrapSquare wrapText="bothSides"/>
                  <wp:docPr id="6" name="תמונה 6" descr="תרשים 5: אומדן תנועות נטו בנכסי מט&quot;ח של המשקיעים המוסדיים מול שינוי בנגזרים ש&quot;ח/מט&quot;ח, מיליארדי דולרים / (הפעולות בנכסי מט&quot;ח שבוצעו במהלך התקופה)&#10;&#10;" title="תרשים 5: אומדן תנועות נטו בנכסי מט&quot;ח של המשקיעים המוסדיים מול שינוי בנגזרים ש&quot;ח/מט&quot;ח, מיליארדי דולרים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1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347124" w:rsidRPr="006A3239" w:rsidRDefault="00186B53" w:rsidP="0033163E">
            <w:pPr>
              <w:spacing w:before="240" w:line="360" w:lineRule="auto"/>
              <w:jc w:val="both"/>
              <w:rPr>
                <w:rFonts w:ascii="David" w:hAnsi="David"/>
                <w:b/>
                <w:bCs/>
                <w:rtl/>
              </w:rPr>
            </w:pPr>
            <w:r w:rsidRPr="006A3239">
              <w:rPr>
                <w:rFonts w:ascii="David" w:hAnsi="David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94080" behindDoc="0" locked="0" layoutInCell="1" allowOverlap="1" wp14:anchorId="39A7B427">
                  <wp:simplePos x="523875" y="638175"/>
                  <wp:positionH relativeFrom="column">
                    <wp:align>center</wp:align>
                  </wp:positionH>
                  <wp:positionV relativeFrom="paragraph">
                    <wp:posOffset>4445</wp:posOffset>
                  </wp:positionV>
                  <wp:extent cx="2880000" cy="2314800"/>
                  <wp:effectExtent l="0" t="0" r="0" b="9525"/>
                  <wp:wrapSquare wrapText="bothSides"/>
                  <wp:docPr id="1" name="תמונה 1" descr="תרשים 6: שיעור החשיפה של המשקיעים המוסדיים לנכסים זרים ולייסוף השקל מול הדולר מסך כל נכסי השקעתם&#10;" title="תרשים 6: שיעור החשיפה של המשקיעים המוסדיים לנכסים זרים ולייסוף השקל מול הדולר מסך כל נכסי השקעתם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1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1C15" w:rsidRPr="006A3239" w:rsidRDefault="009B2E23" w:rsidP="009709E0">
      <w:pPr>
        <w:pStyle w:val="1"/>
        <w:numPr>
          <w:ilvl w:val="0"/>
          <w:numId w:val="18"/>
        </w:numPr>
        <w:spacing w:before="240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התיק המנוהל באמצעות </w:t>
      </w:r>
      <w:r w:rsidR="0094399B" w:rsidRPr="006A3239">
        <w:rPr>
          <w:rFonts w:ascii="David" w:hAnsi="David"/>
          <w:rtl/>
        </w:rPr>
        <w:t xml:space="preserve">קרנות </w:t>
      </w:r>
      <w:r w:rsidR="0027681B" w:rsidRPr="006A3239">
        <w:rPr>
          <w:rFonts w:ascii="David" w:hAnsi="David"/>
          <w:rtl/>
        </w:rPr>
        <w:t>ה</w:t>
      </w:r>
      <w:r w:rsidR="0094399B" w:rsidRPr="006A3239">
        <w:rPr>
          <w:rFonts w:ascii="David" w:hAnsi="David"/>
          <w:rtl/>
        </w:rPr>
        <w:t>נאמנות</w:t>
      </w:r>
    </w:p>
    <w:p w:rsidR="007831EE" w:rsidRPr="006A3239" w:rsidRDefault="007831EE" w:rsidP="002037F1">
      <w:pPr>
        <w:spacing w:before="240" w:line="360" w:lineRule="auto"/>
        <w:ind w:left="390"/>
        <w:jc w:val="both"/>
        <w:rPr>
          <w:rFonts w:ascii="David" w:hAnsi="David"/>
        </w:rPr>
      </w:pPr>
      <w:r w:rsidRPr="006A3239">
        <w:rPr>
          <w:rFonts w:ascii="David" w:hAnsi="David"/>
          <w:rtl/>
        </w:rPr>
        <w:t>היקף התיק המנוהל באמצעות קרנות נאמנות</w:t>
      </w:r>
      <w:r w:rsidRPr="006A3239">
        <w:rPr>
          <w:rStyle w:val="a5"/>
          <w:rFonts w:ascii="David" w:hAnsi="David"/>
          <w:rtl/>
        </w:rPr>
        <w:footnoteReference w:id="5"/>
      </w:r>
      <w:r w:rsidRPr="006A3239">
        <w:rPr>
          <w:rFonts w:ascii="David" w:hAnsi="David"/>
          <w:rtl/>
        </w:rPr>
        <w:t xml:space="preserve"> בארץ עלה ברביע ה</w:t>
      </w:r>
      <w:r w:rsidR="002037F1" w:rsidRPr="006A3239">
        <w:rPr>
          <w:rFonts w:ascii="David" w:hAnsi="David"/>
          <w:rtl/>
        </w:rPr>
        <w:t>שלישי</w:t>
      </w:r>
      <w:r w:rsidRPr="006A3239">
        <w:rPr>
          <w:rFonts w:ascii="David" w:hAnsi="David"/>
          <w:rtl/>
        </w:rPr>
        <w:t xml:space="preserve"> של השנה בכ-</w:t>
      </w:r>
      <w:r w:rsidR="00C271BE" w:rsidRPr="006A3239">
        <w:rPr>
          <w:rFonts w:ascii="David" w:hAnsi="David"/>
          <w:rtl/>
        </w:rPr>
        <w:t>8</w:t>
      </w:r>
      <w:r w:rsidRPr="006A3239">
        <w:rPr>
          <w:rFonts w:ascii="David" w:hAnsi="David"/>
          <w:rtl/>
        </w:rPr>
        <w:t>.</w:t>
      </w:r>
      <w:r w:rsidR="00C271BE" w:rsidRPr="006A3239">
        <w:rPr>
          <w:rFonts w:ascii="David" w:hAnsi="David"/>
          <w:rtl/>
        </w:rPr>
        <w:t>7</w:t>
      </w:r>
      <w:r w:rsidRPr="006A3239">
        <w:rPr>
          <w:rFonts w:ascii="David" w:hAnsi="David"/>
          <w:rtl/>
        </w:rPr>
        <w:t xml:space="preserve"> מיליארדי ש"ח (</w:t>
      </w:r>
      <w:r w:rsidR="00C271BE" w:rsidRPr="006A3239">
        <w:rPr>
          <w:rFonts w:ascii="David" w:hAnsi="David"/>
          <w:rtl/>
        </w:rPr>
        <w:t>2</w:t>
      </w:r>
      <w:r w:rsidRPr="006A3239">
        <w:rPr>
          <w:rFonts w:ascii="David" w:hAnsi="David"/>
          <w:rtl/>
        </w:rPr>
        <w:t>.</w:t>
      </w:r>
      <w:r w:rsidR="00C271BE" w:rsidRPr="006A3239">
        <w:rPr>
          <w:rFonts w:ascii="David" w:hAnsi="David"/>
          <w:rtl/>
        </w:rPr>
        <w:t>6</w:t>
      </w:r>
      <w:r w:rsidRPr="006A3239">
        <w:rPr>
          <w:rFonts w:ascii="David" w:hAnsi="David"/>
          <w:rtl/>
        </w:rPr>
        <w:t>%) ועמד בסופו על כ-3</w:t>
      </w:r>
      <w:r w:rsidR="00C271BE" w:rsidRPr="006A3239">
        <w:rPr>
          <w:rFonts w:ascii="David" w:hAnsi="David"/>
          <w:rtl/>
        </w:rPr>
        <w:t>4</w:t>
      </w:r>
      <w:r w:rsidRPr="006A3239">
        <w:rPr>
          <w:rFonts w:ascii="David" w:hAnsi="David"/>
          <w:rtl/>
        </w:rPr>
        <w:t>1.</w:t>
      </w:r>
      <w:r w:rsidR="00C271BE" w:rsidRPr="006A3239">
        <w:rPr>
          <w:rFonts w:ascii="David" w:hAnsi="David"/>
          <w:rtl/>
        </w:rPr>
        <w:t>1</w:t>
      </w:r>
      <w:r w:rsidRPr="006A3239">
        <w:rPr>
          <w:rFonts w:ascii="David" w:hAnsi="David"/>
          <w:rtl/>
        </w:rPr>
        <w:t xml:space="preserve"> מיליארדי ש"ח, כ-8.</w:t>
      </w:r>
      <w:r w:rsidR="002037F1" w:rsidRPr="006A3239">
        <w:rPr>
          <w:rFonts w:ascii="David" w:hAnsi="David"/>
          <w:rtl/>
        </w:rPr>
        <w:t>6</w:t>
      </w:r>
      <w:r w:rsidRPr="006A3239">
        <w:rPr>
          <w:rFonts w:ascii="David" w:hAnsi="David"/>
          <w:rtl/>
        </w:rPr>
        <w:t xml:space="preserve">% מסך תיק הנכסים של הציבור. </w:t>
      </w:r>
    </w:p>
    <w:p w:rsidR="007831EE" w:rsidRPr="006A3239" w:rsidRDefault="007831EE" w:rsidP="00EB38EE">
      <w:pPr>
        <w:spacing w:before="240" w:line="360" w:lineRule="auto"/>
        <w:ind w:left="390"/>
        <w:jc w:val="both"/>
        <w:rPr>
          <w:rFonts w:ascii="David" w:hAnsi="David"/>
        </w:rPr>
      </w:pPr>
      <w:r w:rsidRPr="006A3239">
        <w:rPr>
          <w:rFonts w:ascii="David" w:hAnsi="David"/>
          <w:rtl/>
        </w:rPr>
        <w:t>העלייה ברביע הש</w:t>
      </w:r>
      <w:r w:rsidR="002C0EAF" w:rsidRPr="006A3239">
        <w:rPr>
          <w:rFonts w:ascii="David" w:hAnsi="David"/>
          <w:rtl/>
        </w:rPr>
        <w:t>ל</w:t>
      </w:r>
      <w:r w:rsidRPr="006A3239">
        <w:rPr>
          <w:rFonts w:ascii="David" w:hAnsi="David"/>
          <w:rtl/>
        </w:rPr>
        <w:t>י</w:t>
      </w:r>
      <w:r w:rsidR="002C0EAF" w:rsidRPr="006A3239">
        <w:rPr>
          <w:rFonts w:ascii="David" w:hAnsi="David"/>
          <w:rtl/>
        </w:rPr>
        <w:t>שי</w:t>
      </w:r>
      <w:r w:rsidRPr="006A3239">
        <w:rPr>
          <w:rFonts w:ascii="David" w:hAnsi="David"/>
          <w:rtl/>
        </w:rPr>
        <w:t xml:space="preserve"> </w:t>
      </w:r>
      <w:r w:rsidR="005D1706" w:rsidRPr="006A3239">
        <w:rPr>
          <w:rFonts w:ascii="David" w:hAnsi="David"/>
          <w:rtl/>
        </w:rPr>
        <w:t xml:space="preserve">נבעה </w:t>
      </w:r>
      <w:r w:rsidR="00EB38EE" w:rsidRPr="006A3239">
        <w:rPr>
          <w:rFonts w:ascii="David" w:hAnsi="David"/>
          <w:rtl/>
        </w:rPr>
        <w:t>בעיקרה מ</w:t>
      </w:r>
      <w:r w:rsidRPr="006A3239">
        <w:rPr>
          <w:rFonts w:ascii="David" w:hAnsi="David"/>
          <w:rtl/>
        </w:rPr>
        <w:t>הפקדות נטו (עודף הפקדות על פדיונות, בניכוי דיבידנד) בקרנות בהיקף של כ-</w:t>
      </w:r>
      <w:r w:rsidR="00EB38EE" w:rsidRPr="006A3239">
        <w:rPr>
          <w:rFonts w:ascii="David" w:hAnsi="David"/>
          <w:rtl/>
        </w:rPr>
        <w:t>6</w:t>
      </w:r>
      <w:r w:rsidRPr="006A3239">
        <w:rPr>
          <w:rFonts w:ascii="David" w:hAnsi="David"/>
          <w:rtl/>
        </w:rPr>
        <w:t>.</w:t>
      </w:r>
      <w:r w:rsidR="00EB38EE" w:rsidRPr="006A3239">
        <w:rPr>
          <w:rFonts w:ascii="David" w:hAnsi="David"/>
          <w:rtl/>
        </w:rPr>
        <w:t>5</w:t>
      </w:r>
      <w:r w:rsidRPr="006A3239">
        <w:rPr>
          <w:rFonts w:ascii="David" w:hAnsi="David"/>
          <w:rtl/>
        </w:rPr>
        <w:t xml:space="preserve"> </w:t>
      </w:r>
      <w:r w:rsidR="005D1706" w:rsidRPr="006A3239">
        <w:rPr>
          <w:rFonts w:ascii="David" w:hAnsi="David"/>
          <w:rtl/>
        </w:rPr>
        <w:t>מיליארדי</w:t>
      </w:r>
      <w:r w:rsidRPr="006A3239">
        <w:rPr>
          <w:rFonts w:ascii="David" w:hAnsi="David"/>
          <w:rtl/>
        </w:rPr>
        <w:t xml:space="preserve"> </w:t>
      </w:r>
      <w:r w:rsidR="005D1706" w:rsidRPr="006A3239">
        <w:rPr>
          <w:rFonts w:ascii="David" w:hAnsi="David"/>
          <w:rtl/>
        </w:rPr>
        <w:t xml:space="preserve">ש"ח, זאת בהמשך למגמה </w:t>
      </w:r>
      <w:r w:rsidRPr="006A3239">
        <w:rPr>
          <w:rFonts w:ascii="David" w:hAnsi="David"/>
          <w:rtl/>
        </w:rPr>
        <w:t xml:space="preserve">של </w:t>
      </w:r>
      <w:r w:rsidR="00EB38EE" w:rsidRPr="006A3239">
        <w:rPr>
          <w:rFonts w:ascii="David" w:hAnsi="David"/>
          <w:rtl/>
        </w:rPr>
        <w:t>גידול בה</w:t>
      </w:r>
      <w:r w:rsidRPr="006A3239">
        <w:rPr>
          <w:rFonts w:ascii="David" w:hAnsi="David"/>
          <w:rtl/>
        </w:rPr>
        <w:t xml:space="preserve">פקדות </w:t>
      </w:r>
      <w:r w:rsidR="00EB38EE" w:rsidRPr="006A3239">
        <w:rPr>
          <w:rFonts w:ascii="David" w:hAnsi="David"/>
          <w:rtl/>
        </w:rPr>
        <w:t>שאפיינה גם את הרבעון הראשון והשני</w:t>
      </w:r>
      <w:r w:rsidRPr="006A3239">
        <w:rPr>
          <w:rFonts w:ascii="David" w:hAnsi="David"/>
          <w:rtl/>
        </w:rPr>
        <w:t xml:space="preserve"> של השנה.</w:t>
      </w:r>
    </w:p>
    <w:p w:rsidR="007831EE" w:rsidRPr="006A3239" w:rsidRDefault="00467AC0" w:rsidP="009A7C54">
      <w:pPr>
        <w:spacing w:before="240" w:line="360" w:lineRule="auto"/>
        <w:ind w:left="390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עיקר </w:t>
      </w:r>
      <w:r w:rsidR="005D1706" w:rsidRPr="006A3239">
        <w:rPr>
          <w:rFonts w:ascii="David" w:hAnsi="David"/>
          <w:rtl/>
        </w:rPr>
        <w:t xml:space="preserve">ההפקדות </w:t>
      </w:r>
      <w:r w:rsidRPr="006A3239">
        <w:rPr>
          <w:rFonts w:ascii="David" w:hAnsi="David"/>
          <w:rtl/>
        </w:rPr>
        <w:t xml:space="preserve">נרשמו </w:t>
      </w:r>
      <w:r w:rsidR="00EB38EE" w:rsidRPr="006A3239">
        <w:rPr>
          <w:rFonts w:ascii="David" w:hAnsi="David"/>
          <w:rtl/>
        </w:rPr>
        <w:t xml:space="preserve">בקרנות </w:t>
      </w:r>
      <w:r w:rsidR="005D1706" w:rsidRPr="006A3239">
        <w:rPr>
          <w:rFonts w:ascii="David" w:hAnsi="David"/>
          <w:rtl/>
        </w:rPr>
        <w:t>ה</w:t>
      </w:r>
      <w:r w:rsidR="007831EE" w:rsidRPr="006A3239">
        <w:rPr>
          <w:rFonts w:ascii="David" w:hAnsi="David"/>
          <w:rtl/>
        </w:rPr>
        <w:t xml:space="preserve">מתמחות באג"ח בארץ </w:t>
      </w:r>
      <w:r w:rsidR="00EB38EE" w:rsidRPr="006A3239">
        <w:rPr>
          <w:rFonts w:ascii="David" w:hAnsi="David"/>
          <w:rtl/>
        </w:rPr>
        <w:t xml:space="preserve">(מדינה, </w:t>
      </w:r>
      <w:r w:rsidR="007831EE" w:rsidRPr="006A3239">
        <w:rPr>
          <w:rFonts w:ascii="David" w:hAnsi="David"/>
          <w:rtl/>
        </w:rPr>
        <w:t>חברות</w:t>
      </w:r>
      <w:r w:rsidR="00EB38EE" w:rsidRPr="006A3239">
        <w:rPr>
          <w:rFonts w:ascii="David" w:hAnsi="David"/>
          <w:rtl/>
        </w:rPr>
        <w:t xml:space="preserve"> וכללי) בהיקף של כ-5</w:t>
      </w:r>
      <w:r w:rsidR="009A7C54" w:rsidRPr="006A3239">
        <w:rPr>
          <w:rFonts w:ascii="David" w:hAnsi="David"/>
          <w:rtl/>
        </w:rPr>
        <w:t>.1</w:t>
      </w:r>
      <w:r w:rsidR="00EB38EE" w:rsidRPr="006A3239">
        <w:rPr>
          <w:rFonts w:ascii="David" w:hAnsi="David"/>
          <w:rtl/>
        </w:rPr>
        <w:t xml:space="preserve"> מיליארדי ש"ח</w:t>
      </w:r>
      <w:r w:rsidR="007831EE" w:rsidRPr="006A3239">
        <w:rPr>
          <w:rFonts w:ascii="David" w:hAnsi="David"/>
          <w:rtl/>
        </w:rPr>
        <w:t xml:space="preserve">. </w:t>
      </w:r>
      <w:r w:rsidR="00EB38EE" w:rsidRPr="006A3239">
        <w:rPr>
          <w:rFonts w:ascii="David" w:hAnsi="David"/>
          <w:rtl/>
        </w:rPr>
        <w:t xml:space="preserve">בנוסף, בלטו ההפקדות בקרנות המתמחות במניות בארץ בהיקף של כ-1.8 מיליארדי ש"ח. </w:t>
      </w:r>
      <w:r w:rsidR="007831EE" w:rsidRPr="006A3239">
        <w:rPr>
          <w:rFonts w:ascii="David" w:hAnsi="David"/>
          <w:rtl/>
        </w:rPr>
        <w:t>מנגד, בקרנות המתמחות במניות בחו"ל נרשמו פדיונות של כ-1.</w:t>
      </w:r>
      <w:r w:rsidR="009A7C54" w:rsidRPr="006A3239">
        <w:rPr>
          <w:rFonts w:ascii="David" w:hAnsi="David"/>
          <w:rtl/>
        </w:rPr>
        <w:t>3</w:t>
      </w:r>
      <w:r w:rsidR="007831EE" w:rsidRPr="006A3239">
        <w:rPr>
          <w:rFonts w:ascii="David" w:hAnsi="David"/>
          <w:rtl/>
        </w:rPr>
        <w:t xml:space="preserve"> מיליארדי ש"ח.</w:t>
      </w:r>
    </w:p>
    <w:p w:rsidR="003F276B" w:rsidRPr="006A3239" w:rsidRDefault="003F276B" w:rsidP="007D55C2">
      <w:pPr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CA3E19" w:rsidRPr="006A3239" w:rsidRDefault="009444D3" w:rsidP="009709E0">
      <w:pPr>
        <w:autoSpaceDE w:val="0"/>
        <w:autoSpaceDN w:val="0"/>
        <w:adjustRightInd w:val="0"/>
        <w:spacing w:before="240" w:line="360" w:lineRule="auto"/>
        <w:jc w:val="both"/>
        <w:rPr>
          <w:rFonts w:ascii="David" w:hAnsi="David"/>
          <w:b/>
          <w:bCs/>
          <w:u w:val="single"/>
          <w:rtl/>
        </w:rPr>
      </w:pPr>
      <w:r w:rsidRPr="006A3239">
        <w:rPr>
          <w:rFonts w:ascii="David" w:hAnsi="David"/>
          <w:b/>
          <w:bCs/>
          <w:u w:val="single"/>
          <w:rtl/>
        </w:rPr>
        <w:t>למידע נוסף:</w:t>
      </w:r>
    </w:p>
    <w:p w:rsidR="00436816" w:rsidRPr="006A3239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ללוחות ארוכי טווח בנושא </w:t>
      </w:r>
      <w:r w:rsidR="006D3812" w:rsidRPr="006A3239">
        <w:rPr>
          <w:rFonts w:ascii="David" w:hAnsi="David"/>
          <w:rtl/>
        </w:rPr>
        <w:t>תיק הנכסים</w:t>
      </w:r>
      <w:r w:rsidRPr="006A3239">
        <w:rPr>
          <w:rFonts w:ascii="David" w:hAnsi="David"/>
          <w:rtl/>
        </w:rPr>
        <w:t xml:space="preserve"> לחץ </w:t>
      </w:r>
      <w:hyperlink r:id="rId18" w:tooltip="התפתחויות בתיק הנכסים הפיננסיים של הציבור" w:history="1">
        <w:r w:rsidRPr="006A3239">
          <w:rPr>
            <w:rStyle w:val="Hyperlink"/>
            <w:rFonts w:ascii="David" w:hAnsi="David"/>
            <w:rtl/>
          </w:rPr>
          <w:t>כאן</w:t>
        </w:r>
      </w:hyperlink>
      <w:r w:rsidR="006D3812" w:rsidRPr="006A3239">
        <w:rPr>
          <w:rFonts w:ascii="David" w:hAnsi="David"/>
          <w:rtl/>
        </w:rPr>
        <w:t xml:space="preserve">. </w:t>
      </w:r>
    </w:p>
    <w:p w:rsidR="00436816" w:rsidRPr="006A3239" w:rsidRDefault="00436816" w:rsidP="009709E0">
      <w:pPr>
        <w:spacing w:before="240" w:line="360" w:lineRule="auto"/>
        <w:jc w:val="both"/>
        <w:rPr>
          <w:rFonts w:ascii="David" w:hAnsi="David"/>
          <w:rtl/>
        </w:rPr>
      </w:pPr>
      <w:r w:rsidRPr="006A3239">
        <w:rPr>
          <w:rFonts w:ascii="David" w:hAnsi="David"/>
          <w:rtl/>
        </w:rPr>
        <w:t xml:space="preserve">ללוחות ארוכי טווח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6A3239">
          <w:rPr>
            <w:rStyle w:val="Hyperlink"/>
            <w:rFonts w:ascii="David" w:hAnsi="David"/>
            <w:rtl/>
          </w:rPr>
          <w:t>כאן</w:t>
        </w:r>
      </w:hyperlink>
      <w:r w:rsidRPr="006A3239">
        <w:rPr>
          <w:rFonts w:ascii="David" w:hAnsi="David"/>
          <w:rtl/>
        </w:rPr>
        <w:t xml:space="preserve">. </w:t>
      </w:r>
    </w:p>
    <w:p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 w:rsidRPr="006A3239">
        <w:rPr>
          <w:rFonts w:ascii="David" w:hAnsi="David"/>
          <w:rtl/>
        </w:rPr>
        <w:t>ללוחות ארוכי טווח ב</w:t>
      </w:r>
      <w:r w:rsidRPr="00436816">
        <w:rPr>
          <w:rFonts w:hint="cs"/>
          <w:rtl/>
        </w:rPr>
        <w:t xml:space="preserve">נושא קרנות 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05" w:rsidRDefault="00300D05">
      <w:r>
        <w:separator/>
      </w:r>
    </w:p>
  </w:endnote>
  <w:endnote w:type="continuationSeparator" w:id="0">
    <w:p w:rsidR="00300D05" w:rsidRDefault="00300D05">
      <w:r>
        <w:continuationSeparator/>
      </w:r>
    </w:p>
  </w:endnote>
  <w:endnote w:type="continuationNotice" w:id="1">
    <w:p w:rsidR="00300D05" w:rsidRDefault="00300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05" w:rsidRDefault="00300D05">
      <w:r>
        <w:separator/>
      </w:r>
    </w:p>
  </w:footnote>
  <w:footnote w:type="continuationSeparator" w:id="0">
    <w:p w:rsidR="00300D05" w:rsidRDefault="00300D05">
      <w:r>
        <w:continuationSeparator/>
      </w:r>
    </w:p>
  </w:footnote>
  <w:footnote w:type="continuationNotice" w:id="1">
    <w:p w:rsidR="00300D05" w:rsidRDefault="00300D05"/>
  </w:footnote>
  <w:footnote w:id="2">
    <w:p w:rsidR="000A525E" w:rsidRPr="000A525E" w:rsidRDefault="000A525E" w:rsidP="000A525E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:rsidR="007831EE" w:rsidRDefault="007831EE" w:rsidP="007831EE">
      <w:pPr>
        <w:spacing w:before="240" w:line="360" w:lineRule="auto"/>
        <w:ind w:left="360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hint="cs"/>
          <w:sz w:val="20"/>
          <w:szCs w:val="20"/>
          <w:rtl/>
        </w:rPr>
        <w:t>כולל קרנות סל להרחבה אודות רפורמת קרנות הסל, לחץ להגדרות מורחבות ב</w:t>
      </w:r>
      <w:hyperlink r:id="rId2" w:history="1">
        <w:r w:rsidRPr="007831EE">
          <w:rPr>
            <w:rStyle w:val="Hyperlink"/>
            <w:rFonts w:ascii="David" w:hAnsi="David"/>
            <w:sz w:val="20"/>
            <w:szCs w:val="20"/>
            <w:rtl/>
          </w:rPr>
          <w:t xml:space="preserve">פרסום </w:t>
        </w:r>
        <w:r>
          <w:rPr>
            <w:rStyle w:val="Hyperlink"/>
            <w:rFonts w:ascii="David" w:hAnsi="David"/>
            <w:sz w:val="20"/>
            <w:szCs w:val="20"/>
            <w:rtl/>
          </w:rPr>
          <w:t>ה</w:t>
        </w:r>
        <w:r w:rsidRPr="007831EE">
          <w:rPr>
            <w:rStyle w:val="Hyperlink"/>
            <w:rFonts w:ascii="David" w:hAnsi="David"/>
            <w:sz w:val="20"/>
            <w:szCs w:val="20"/>
            <w:rtl/>
          </w:rPr>
          <w:t>רשות לני"ע</w:t>
        </w:r>
      </w:hyperlink>
      <w:r>
        <w:rPr>
          <w:rStyle w:val="Hyperlink"/>
          <w:rFonts w:ascii="David" w:hAnsi="David"/>
          <w:sz w:val="20"/>
          <w:szCs w:val="20"/>
          <w:rtl/>
        </w:rPr>
        <w:t>.</w:t>
      </w:r>
    </w:p>
    <w:p w:rsidR="007831EE" w:rsidRDefault="007831EE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ADC"/>
    <w:rsid w:val="00011D23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0C9F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6F6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B5D"/>
    <w:rsid w:val="00157C66"/>
    <w:rsid w:val="00157E94"/>
    <w:rsid w:val="00160292"/>
    <w:rsid w:val="001602C1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0CC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1BE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E7CD6"/>
    <w:rsid w:val="001F043C"/>
    <w:rsid w:val="001F0470"/>
    <w:rsid w:val="001F0485"/>
    <w:rsid w:val="001F0DF7"/>
    <w:rsid w:val="001F1C05"/>
    <w:rsid w:val="001F2087"/>
    <w:rsid w:val="001F2235"/>
    <w:rsid w:val="001F3308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346"/>
    <w:rsid w:val="00293831"/>
    <w:rsid w:val="002941EA"/>
    <w:rsid w:val="0029432C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3369"/>
    <w:rsid w:val="002B3BDD"/>
    <w:rsid w:val="002B4998"/>
    <w:rsid w:val="002B49E1"/>
    <w:rsid w:val="002B51DF"/>
    <w:rsid w:val="002B566E"/>
    <w:rsid w:val="002B594E"/>
    <w:rsid w:val="002B67EB"/>
    <w:rsid w:val="002B6CDE"/>
    <w:rsid w:val="002B7042"/>
    <w:rsid w:val="002B7732"/>
    <w:rsid w:val="002C08F6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AD2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4EE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DA5"/>
    <w:rsid w:val="00300589"/>
    <w:rsid w:val="003006F0"/>
    <w:rsid w:val="00300ACC"/>
    <w:rsid w:val="00300D05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418"/>
    <w:rsid w:val="00343F19"/>
    <w:rsid w:val="00344A50"/>
    <w:rsid w:val="0034590D"/>
    <w:rsid w:val="00346595"/>
    <w:rsid w:val="0034683B"/>
    <w:rsid w:val="0034700B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787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28E4"/>
    <w:rsid w:val="003D326B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3F7C50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FB"/>
    <w:rsid w:val="0040405E"/>
    <w:rsid w:val="0040499D"/>
    <w:rsid w:val="0040565B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5589"/>
    <w:rsid w:val="0042573B"/>
    <w:rsid w:val="00425D74"/>
    <w:rsid w:val="00425E0E"/>
    <w:rsid w:val="004261B5"/>
    <w:rsid w:val="004267EF"/>
    <w:rsid w:val="0042718A"/>
    <w:rsid w:val="0042727F"/>
    <w:rsid w:val="004279A7"/>
    <w:rsid w:val="004279F8"/>
    <w:rsid w:val="00432302"/>
    <w:rsid w:val="004324AC"/>
    <w:rsid w:val="00432AAF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0D8"/>
    <w:rsid w:val="004376A1"/>
    <w:rsid w:val="00437961"/>
    <w:rsid w:val="00440928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AC0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6899"/>
    <w:rsid w:val="0049743C"/>
    <w:rsid w:val="0049781C"/>
    <w:rsid w:val="004A1529"/>
    <w:rsid w:val="004A1707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24E8"/>
    <w:rsid w:val="004B2B22"/>
    <w:rsid w:val="004B325D"/>
    <w:rsid w:val="004B3ACE"/>
    <w:rsid w:val="004B40EF"/>
    <w:rsid w:val="004B5295"/>
    <w:rsid w:val="004B5433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6117"/>
    <w:rsid w:val="004C630F"/>
    <w:rsid w:val="004C6DBB"/>
    <w:rsid w:val="004C7F8A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AAA"/>
    <w:rsid w:val="004E0C2D"/>
    <w:rsid w:val="004E1046"/>
    <w:rsid w:val="004E1730"/>
    <w:rsid w:val="004E1854"/>
    <w:rsid w:val="004E1B0C"/>
    <w:rsid w:val="004E1CBD"/>
    <w:rsid w:val="004E1CC5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1D6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A39"/>
    <w:rsid w:val="00507C60"/>
    <w:rsid w:val="005105FC"/>
    <w:rsid w:val="005109DF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253"/>
    <w:rsid w:val="00556F6D"/>
    <w:rsid w:val="005572EC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3389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6A2F"/>
    <w:rsid w:val="005A6D4A"/>
    <w:rsid w:val="005A7343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FE6"/>
    <w:rsid w:val="0061760A"/>
    <w:rsid w:val="00617941"/>
    <w:rsid w:val="0061797B"/>
    <w:rsid w:val="00617AC2"/>
    <w:rsid w:val="0062000C"/>
    <w:rsid w:val="0062039E"/>
    <w:rsid w:val="00620D7A"/>
    <w:rsid w:val="0062301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70184"/>
    <w:rsid w:val="0067043A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194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239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1676"/>
    <w:rsid w:val="006C1E0C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BBE"/>
    <w:rsid w:val="006D0CCA"/>
    <w:rsid w:val="006D1860"/>
    <w:rsid w:val="006D1DDA"/>
    <w:rsid w:val="006D202A"/>
    <w:rsid w:val="006D22AC"/>
    <w:rsid w:val="006D276A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4DF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67A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2E3A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1EE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773D"/>
    <w:rsid w:val="0079059D"/>
    <w:rsid w:val="00792F53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110AB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1C59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0F3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73F3"/>
    <w:rsid w:val="008A763C"/>
    <w:rsid w:val="008A7C5D"/>
    <w:rsid w:val="008B028E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424"/>
    <w:rsid w:val="0092750F"/>
    <w:rsid w:val="00927B8E"/>
    <w:rsid w:val="00930531"/>
    <w:rsid w:val="00931154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A7C54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5F0D"/>
    <w:rsid w:val="00A665A8"/>
    <w:rsid w:val="00A66F26"/>
    <w:rsid w:val="00A67508"/>
    <w:rsid w:val="00A676CA"/>
    <w:rsid w:val="00A679F1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45B"/>
    <w:rsid w:val="00B22EEA"/>
    <w:rsid w:val="00B2354D"/>
    <w:rsid w:val="00B236F2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2A42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3A3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52E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582C"/>
    <w:rsid w:val="00BE74E0"/>
    <w:rsid w:val="00BE774D"/>
    <w:rsid w:val="00BE7B9A"/>
    <w:rsid w:val="00BF0A57"/>
    <w:rsid w:val="00BF127F"/>
    <w:rsid w:val="00BF1775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1BE"/>
    <w:rsid w:val="00C27D1A"/>
    <w:rsid w:val="00C302B6"/>
    <w:rsid w:val="00C306C0"/>
    <w:rsid w:val="00C31341"/>
    <w:rsid w:val="00C313E3"/>
    <w:rsid w:val="00C31AD4"/>
    <w:rsid w:val="00C31D33"/>
    <w:rsid w:val="00C32786"/>
    <w:rsid w:val="00C32C00"/>
    <w:rsid w:val="00C34E9B"/>
    <w:rsid w:val="00C3514E"/>
    <w:rsid w:val="00C35A6F"/>
    <w:rsid w:val="00C36B5B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269"/>
    <w:rsid w:val="00CC041C"/>
    <w:rsid w:val="00CC0824"/>
    <w:rsid w:val="00CC0C1C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696E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58A0"/>
    <w:rsid w:val="00D86B23"/>
    <w:rsid w:val="00D86EA4"/>
    <w:rsid w:val="00D90F9D"/>
    <w:rsid w:val="00D91E39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5577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F7"/>
    <w:rsid w:val="00DF7BC0"/>
    <w:rsid w:val="00E002CE"/>
    <w:rsid w:val="00E014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46DD"/>
    <w:rsid w:val="00E8554D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D5E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8EE"/>
    <w:rsid w:val="00EB49C6"/>
    <w:rsid w:val="00EB5A69"/>
    <w:rsid w:val="00EB6AE9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C6E5F"/>
    <w:rsid w:val="00ED1E4A"/>
    <w:rsid w:val="00ED2035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22F1"/>
    <w:rsid w:val="00EE2386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82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01F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4038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221A"/>
    <w:rsid w:val="00FA2B69"/>
    <w:rsid w:val="00FA2DCB"/>
    <w:rsid w:val="00FA3EEF"/>
    <w:rsid w:val="00FA4303"/>
    <w:rsid w:val="00FA4801"/>
    <w:rsid w:val="00FA4BBE"/>
    <w:rsid w:val="00FA5838"/>
    <w:rsid w:val="00FA5E2C"/>
    <w:rsid w:val="00FA60D7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3A2E"/>
    <w:rsid w:val="00FC3B5E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D78F2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DF1"/>
    <w:rsid w:val="00FE3FD3"/>
    <w:rsid w:val="00FE41FA"/>
    <w:rsid w:val="00FE4369"/>
    <w:rsid w:val="00FE4C61"/>
    <w:rsid w:val="00FE575C"/>
    <w:rsid w:val="00FE595A"/>
    <w:rsid w:val="00FE698D"/>
    <w:rsid w:val="00FE7D6D"/>
    <w:rsid w:val="00FE7E72"/>
    <w:rsid w:val="00FE7FB9"/>
    <w:rsid w:val="00FE7FE0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48F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a.gov.il/%D7%92%D7%95%D7%A4%D7%99%D7%9D%20%D7%9E%D7%A4%D7%95%D7%A7%D7%97%D7%99%D7%9D/Mutual_Funds/Principles%20and%20rules%20for%20determining%20the%20classification%20where%20the%20Fund/2414/Pages/default.aspx" TargetMode="External"/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51AC0-6DD5-4B96-86F0-0E19DF42F759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DFC911DA-CE4F-4D2A-B630-50B37C6D1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4737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2019-12-24T07:32:00Z</dcterms:created>
  <dcterms:modified xsi:type="dcterms:W3CDTF">2019-12-24T08:31:00Z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