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89040A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89040A" w:rsidRDefault="00DD5923" w:rsidP="00286AB2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בנק יש</w:t>
            </w:r>
            <w:r w:rsidR="00286AB2" w:rsidRPr="0089040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89040A" w:rsidRDefault="00DD5923" w:rsidP="00286AB2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040A">
              <w:rPr>
                <w:rFonts w:ascii="Arial" w:hAnsi="Arial" w:cs="Arial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89040A" w:rsidRDefault="005816B4" w:rsidP="00D87676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B3A2EC" wp14:editId="397E141F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4B22E7" w:rsidRDefault="0089040A" w:rsidP="0075036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4B22E7">
              <w:rPr>
                <w:rFonts w:ascii="Arial" w:hAnsi="Arial" w:cs="Arial"/>
                <w:sz w:val="24"/>
                <w:szCs w:val="24"/>
                <w:rtl/>
              </w:rPr>
              <w:t xml:space="preserve">ירושלים, </w:t>
            </w:r>
            <w:r w:rsidR="004B22E7" w:rsidRPr="004B22E7">
              <w:rPr>
                <w:rFonts w:ascii="Arial" w:hAnsi="Arial" w:cs="Arial" w:hint="cs"/>
                <w:sz w:val="24"/>
                <w:szCs w:val="24"/>
                <w:rtl/>
              </w:rPr>
              <w:t>ט</w:t>
            </w:r>
            <w:r w:rsidR="00750362">
              <w:rPr>
                <w:rFonts w:ascii="Arial" w:hAnsi="Arial" w:cs="Arial" w:hint="cs"/>
                <w:sz w:val="24"/>
                <w:szCs w:val="24"/>
                <w:rtl/>
              </w:rPr>
              <w:t>"ז</w:t>
            </w:r>
            <w:r w:rsidR="00697C2E" w:rsidRPr="004B22E7">
              <w:rPr>
                <w:rFonts w:ascii="Arial" w:hAnsi="Arial" w:cs="Arial" w:hint="cs"/>
                <w:sz w:val="24"/>
                <w:szCs w:val="24"/>
                <w:rtl/>
              </w:rPr>
              <w:t xml:space="preserve"> ב</w:t>
            </w:r>
            <w:r w:rsidR="009D3E91">
              <w:rPr>
                <w:rFonts w:ascii="Arial" w:hAnsi="Arial" w:cs="Arial" w:hint="cs"/>
                <w:sz w:val="24"/>
                <w:szCs w:val="24"/>
                <w:rtl/>
              </w:rPr>
              <w:t>שבט</w:t>
            </w:r>
            <w:r w:rsidR="00C411E7" w:rsidRPr="004B22E7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4B22E7">
              <w:rPr>
                <w:rFonts w:ascii="Arial" w:hAnsi="Arial" w:cs="Arial"/>
                <w:sz w:val="24"/>
                <w:szCs w:val="24"/>
                <w:rtl/>
              </w:rPr>
              <w:t>תשע"</w:t>
            </w:r>
            <w:r w:rsidR="00A95DD8" w:rsidRPr="004B22E7">
              <w:rPr>
                <w:rFonts w:ascii="Arial" w:hAnsi="Arial" w:cs="Arial" w:hint="cs"/>
                <w:sz w:val="24"/>
                <w:szCs w:val="24"/>
                <w:rtl/>
              </w:rPr>
              <w:t>ו</w:t>
            </w:r>
          </w:p>
          <w:p w:rsidR="00DD5923" w:rsidRPr="0089040A" w:rsidRDefault="0089040A" w:rsidP="009A3808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A54F7">
              <w:rPr>
                <w:rFonts w:ascii="Arial" w:hAnsi="Arial" w:cs="Arial"/>
                <w:sz w:val="24"/>
                <w:szCs w:val="24"/>
                <w:highlight w:val="yellow"/>
                <w:rtl/>
              </w:rPr>
              <w:t>‏‏</w:t>
            </w:r>
            <w:r w:rsidR="00186495" w:rsidRPr="000F3A6E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9D3E91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="00A17283" w:rsidRPr="000F3A6E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0624C1" w:rsidRPr="000F3A6E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9A3808">
              <w:rPr>
                <w:rFonts w:ascii="Arial" w:hAnsi="Arial" w:cs="Arial" w:hint="cs"/>
                <w:sz w:val="24"/>
                <w:szCs w:val="24"/>
                <w:rtl/>
              </w:rPr>
              <w:t>ינואר</w:t>
            </w:r>
            <w:r w:rsidR="00A17283" w:rsidRPr="000F3A6E">
              <w:rPr>
                <w:rFonts w:ascii="Arial" w:hAnsi="Arial" w:cs="Arial" w:hint="cs"/>
                <w:sz w:val="24"/>
                <w:szCs w:val="24"/>
                <w:rtl/>
              </w:rPr>
              <w:t xml:space="preserve"> 201</w:t>
            </w:r>
            <w:r w:rsidR="009A3808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</w:p>
        </w:tc>
      </w:tr>
    </w:tbl>
    <w:p w:rsidR="00FE034E" w:rsidRPr="0089040A" w:rsidRDefault="00FE034E" w:rsidP="007E18EE">
      <w:pPr>
        <w:bidi/>
        <w:rPr>
          <w:rFonts w:ascii="Arial" w:hAnsi="Arial" w:cs="Arial"/>
          <w:rtl/>
        </w:rPr>
      </w:pPr>
    </w:p>
    <w:p w:rsidR="00C9322A" w:rsidRPr="0089040A" w:rsidRDefault="00C9322A" w:rsidP="00C9322A">
      <w:pPr>
        <w:bidi/>
        <w:spacing w:line="360" w:lineRule="auto"/>
        <w:ind w:right="-101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/>
          <w:sz w:val="24"/>
          <w:szCs w:val="24"/>
          <w:rtl/>
        </w:rPr>
        <w:t>הודעה לעיתונות:</w:t>
      </w:r>
    </w:p>
    <w:p w:rsidR="00C9322A" w:rsidRPr="00FD7144" w:rsidRDefault="00C9322A" w:rsidP="00FD7144">
      <w:pPr>
        <w:pStyle w:val="af2"/>
        <w:rPr>
          <w:rtl/>
        </w:rPr>
      </w:pPr>
      <w:r w:rsidRPr="00FD7144">
        <w:rPr>
          <w:rtl/>
        </w:rPr>
        <w:t>התפתחות החוב במשק בחודשים נובמבר-דצמבר 2015</w:t>
      </w:r>
    </w:p>
    <w:p w:rsidR="00FA314D" w:rsidRPr="0089040A" w:rsidRDefault="00FA314D" w:rsidP="00FA314D">
      <w:pPr>
        <w:bidi/>
        <w:spacing w:line="360" w:lineRule="auto"/>
        <w:ind w:right="-101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992E1E" w:rsidRDefault="00992E1E" w:rsidP="00650A9D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להלן מספר שינויים </w:t>
      </w:r>
      <w:r w:rsidR="00650A9D">
        <w:rPr>
          <w:rFonts w:ascii="Arial" w:hAnsi="Arial" w:cs="Arial" w:hint="cs"/>
          <w:sz w:val="24"/>
          <w:szCs w:val="24"/>
          <w:rtl/>
        </w:rPr>
        <w:t>שנעשו</w:t>
      </w:r>
      <w:r>
        <w:rPr>
          <w:rFonts w:ascii="Arial" w:hAnsi="Arial" w:cs="Arial" w:hint="cs"/>
          <w:sz w:val="24"/>
          <w:szCs w:val="24"/>
          <w:rtl/>
        </w:rPr>
        <w:t xml:space="preserve"> במצרפי החוב והאשראי ושבאים לידי ביטוי בהודעה זו ובעתיד: </w:t>
      </w:r>
    </w:p>
    <w:p w:rsidR="008065E2" w:rsidRDefault="008065E2" w:rsidP="008065E2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0265B2" w:rsidRDefault="000265B2" w:rsidP="00650A9D">
      <w:pPr>
        <w:pStyle w:val="a9"/>
        <w:numPr>
          <w:ilvl w:val="0"/>
          <w:numId w:val="13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E1E">
        <w:rPr>
          <w:rFonts w:ascii="Arial" w:hAnsi="Arial" w:cs="Arial"/>
          <w:sz w:val="24"/>
          <w:szCs w:val="24"/>
          <w:rtl/>
        </w:rPr>
        <w:t xml:space="preserve">במסגרת </w:t>
      </w:r>
      <w:r w:rsidRPr="00992E1E">
        <w:rPr>
          <w:rFonts w:ascii="Arial" w:hAnsi="Arial" w:cs="Arial" w:hint="cs"/>
          <w:sz w:val="24"/>
          <w:szCs w:val="24"/>
          <w:rtl/>
        </w:rPr>
        <w:t>תהליך מתמיד</w:t>
      </w:r>
      <w:r w:rsidRPr="00992E1E">
        <w:rPr>
          <w:rFonts w:ascii="Arial" w:hAnsi="Arial" w:cs="Arial"/>
          <w:sz w:val="24"/>
          <w:szCs w:val="24"/>
          <w:rtl/>
        </w:rPr>
        <w:t xml:space="preserve"> </w:t>
      </w:r>
      <w:r w:rsidRPr="00992E1E">
        <w:rPr>
          <w:rFonts w:ascii="Arial" w:hAnsi="Arial" w:cs="Arial" w:hint="cs"/>
          <w:sz w:val="24"/>
          <w:szCs w:val="24"/>
          <w:rtl/>
        </w:rPr>
        <w:t>של</w:t>
      </w:r>
      <w:r w:rsidR="007F12DE" w:rsidRPr="00992E1E">
        <w:rPr>
          <w:rFonts w:ascii="Arial" w:hAnsi="Arial" w:cs="Arial" w:hint="cs"/>
          <w:sz w:val="24"/>
          <w:szCs w:val="24"/>
          <w:rtl/>
        </w:rPr>
        <w:t xml:space="preserve"> הרחבה</w:t>
      </w:r>
      <w:r w:rsidRPr="00992E1E">
        <w:rPr>
          <w:rFonts w:ascii="Arial" w:hAnsi="Arial" w:cs="Arial" w:hint="cs"/>
          <w:sz w:val="24"/>
          <w:szCs w:val="24"/>
          <w:rtl/>
        </w:rPr>
        <w:t xml:space="preserve"> </w:t>
      </w:r>
      <w:r w:rsidR="007F12DE" w:rsidRPr="00992E1E">
        <w:rPr>
          <w:rFonts w:ascii="Arial" w:hAnsi="Arial" w:cs="Arial" w:hint="cs"/>
          <w:sz w:val="24"/>
          <w:szCs w:val="24"/>
          <w:rtl/>
        </w:rPr>
        <w:t>ו</w:t>
      </w:r>
      <w:r w:rsidRPr="00992E1E">
        <w:rPr>
          <w:rFonts w:ascii="Arial" w:hAnsi="Arial" w:cs="Arial"/>
          <w:sz w:val="24"/>
          <w:szCs w:val="24"/>
          <w:rtl/>
        </w:rPr>
        <w:t>שיפור איכות הנתונים</w:t>
      </w:r>
      <w:r w:rsidR="007F12DE" w:rsidRPr="00992E1E">
        <w:rPr>
          <w:rFonts w:ascii="Arial" w:hAnsi="Arial" w:cs="Arial" w:hint="cs"/>
          <w:sz w:val="24"/>
          <w:szCs w:val="24"/>
          <w:rtl/>
        </w:rPr>
        <w:t xml:space="preserve"> במאגרים</w:t>
      </w:r>
      <w:r w:rsidRPr="00992E1E">
        <w:rPr>
          <w:rFonts w:ascii="Arial" w:hAnsi="Arial" w:cs="Arial"/>
          <w:sz w:val="24"/>
          <w:szCs w:val="24"/>
          <w:rtl/>
        </w:rPr>
        <w:t xml:space="preserve"> של </w:t>
      </w:r>
      <w:r w:rsidRPr="00992E1E">
        <w:rPr>
          <w:rFonts w:ascii="Arial" w:hAnsi="Arial" w:cs="Arial" w:hint="cs"/>
          <w:sz w:val="24"/>
          <w:szCs w:val="24"/>
          <w:rtl/>
        </w:rPr>
        <w:t>בנק ישראל</w:t>
      </w:r>
      <w:r w:rsidRPr="00992E1E">
        <w:rPr>
          <w:rFonts w:ascii="Arial" w:hAnsi="Arial" w:cs="Arial"/>
          <w:sz w:val="24"/>
          <w:szCs w:val="24"/>
          <w:rtl/>
        </w:rPr>
        <w:t xml:space="preserve">, </w:t>
      </w:r>
      <w:r w:rsidR="00D22AF3" w:rsidRPr="00992E1E">
        <w:rPr>
          <w:rFonts w:ascii="Arial" w:hAnsi="Arial" w:cs="Arial" w:hint="cs"/>
          <w:sz w:val="24"/>
          <w:szCs w:val="24"/>
          <w:rtl/>
        </w:rPr>
        <w:t xml:space="preserve">השלימה </w:t>
      </w:r>
      <w:r w:rsidRPr="00992E1E">
        <w:rPr>
          <w:rFonts w:ascii="Arial" w:hAnsi="Arial" w:cs="Arial" w:hint="cs"/>
          <w:sz w:val="24"/>
          <w:szCs w:val="24"/>
          <w:rtl/>
        </w:rPr>
        <w:t>החטיבה למידע ולסטטיסטיקה</w:t>
      </w:r>
      <w:r w:rsidRPr="00992E1E">
        <w:rPr>
          <w:rFonts w:ascii="Arial" w:hAnsi="Arial" w:cs="Arial"/>
          <w:sz w:val="24"/>
          <w:szCs w:val="24"/>
          <w:rtl/>
        </w:rPr>
        <w:t xml:space="preserve"> </w:t>
      </w:r>
      <w:r w:rsidRPr="00992E1E">
        <w:rPr>
          <w:rFonts w:ascii="Arial" w:hAnsi="Arial" w:cs="Arial" w:hint="cs"/>
          <w:sz w:val="24"/>
          <w:szCs w:val="24"/>
          <w:rtl/>
        </w:rPr>
        <w:t>נתוני</w:t>
      </w:r>
      <w:r w:rsidR="00D22AF3" w:rsidRPr="00992E1E">
        <w:rPr>
          <w:rFonts w:ascii="Arial" w:hAnsi="Arial" w:cs="Arial" w:hint="cs"/>
          <w:sz w:val="24"/>
          <w:szCs w:val="24"/>
          <w:rtl/>
        </w:rPr>
        <w:t xml:space="preserve">ם היסטוריים לגבי </w:t>
      </w:r>
      <w:r w:rsidRPr="00992E1E">
        <w:rPr>
          <w:rFonts w:ascii="Arial" w:hAnsi="Arial" w:cs="Arial" w:hint="cs"/>
          <w:sz w:val="24"/>
          <w:szCs w:val="24"/>
          <w:rtl/>
        </w:rPr>
        <w:t xml:space="preserve">מערכת החוב והאשראי במשק. כתוצאה </w:t>
      </w:r>
      <w:r w:rsidR="00D22AF3" w:rsidRPr="00992E1E">
        <w:rPr>
          <w:rFonts w:ascii="Arial" w:hAnsi="Arial" w:cs="Arial" w:hint="cs"/>
          <w:sz w:val="24"/>
          <w:szCs w:val="24"/>
          <w:rtl/>
        </w:rPr>
        <w:t xml:space="preserve">מכך, </w:t>
      </w:r>
      <w:r w:rsidRPr="00992E1E">
        <w:rPr>
          <w:rFonts w:ascii="Arial" w:hAnsi="Arial" w:cs="Arial" w:hint="cs"/>
          <w:sz w:val="24"/>
          <w:szCs w:val="24"/>
          <w:rtl/>
        </w:rPr>
        <w:t xml:space="preserve">נתוני היתרות </w:t>
      </w:r>
      <w:r w:rsidR="00650A9D">
        <w:rPr>
          <w:rFonts w:ascii="Arial" w:hAnsi="Arial" w:cs="Arial" w:hint="cs"/>
          <w:sz w:val="24"/>
          <w:szCs w:val="24"/>
          <w:rtl/>
        </w:rPr>
        <w:t xml:space="preserve">הוארכו ביותר מ-7 שנים, ומתחילים כעת </w:t>
      </w:r>
      <w:r w:rsidRPr="00992E1E">
        <w:rPr>
          <w:rFonts w:ascii="Arial" w:hAnsi="Arial" w:cs="Arial" w:hint="cs"/>
          <w:sz w:val="24"/>
          <w:szCs w:val="24"/>
          <w:rtl/>
        </w:rPr>
        <w:t>מ-9/1992</w:t>
      </w:r>
      <w:r w:rsidR="00D22AF3" w:rsidRPr="00992E1E">
        <w:rPr>
          <w:rFonts w:ascii="Arial" w:hAnsi="Arial" w:cs="Arial" w:hint="cs"/>
          <w:sz w:val="24"/>
          <w:szCs w:val="24"/>
          <w:rtl/>
        </w:rPr>
        <w:t>,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במקום 12/1999 </w:t>
      </w:r>
      <w:r w:rsidR="007F12DE" w:rsidRPr="00992E1E">
        <w:rPr>
          <w:rFonts w:ascii="Arial" w:hAnsi="Arial" w:cs="Arial" w:hint="cs"/>
          <w:sz w:val="24"/>
          <w:szCs w:val="24"/>
          <w:rtl/>
        </w:rPr>
        <w:t xml:space="preserve">עד כה </w:t>
      </w:r>
      <w:r w:rsidRPr="00992E1E">
        <w:rPr>
          <w:rFonts w:ascii="Arial" w:hAnsi="Arial" w:cs="Arial" w:hint="cs"/>
          <w:sz w:val="24"/>
          <w:szCs w:val="24"/>
          <w:rtl/>
        </w:rPr>
        <w:t>ויהיו זמינים לציבור באתר הבנק החל מפרסום זה.</w:t>
      </w:r>
      <w:r>
        <w:rPr>
          <w:rStyle w:val="af1"/>
          <w:rFonts w:ascii="Arial" w:hAnsi="Arial" w:cs="Arial"/>
          <w:sz w:val="24"/>
          <w:szCs w:val="24"/>
          <w:rtl/>
        </w:rPr>
        <w:footnoteReference w:id="1"/>
      </w:r>
    </w:p>
    <w:p w:rsidR="00FA314D" w:rsidRPr="00992E1E" w:rsidRDefault="00FA314D" w:rsidP="00FA314D">
      <w:pPr>
        <w:pStyle w:val="a9"/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FA0665" w:rsidRPr="00992E1E" w:rsidRDefault="000265B2" w:rsidP="006212AD">
      <w:pPr>
        <w:pStyle w:val="a9"/>
        <w:numPr>
          <w:ilvl w:val="0"/>
          <w:numId w:val="13"/>
        </w:num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992E1E">
        <w:rPr>
          <w:rFonts w:ascii="Arial" w:hAnsi="Arial" w:cs="Arial" w:hint="cs"/>
          <w:sz w:val="24"/>
          <w:szCs w:val="24"/>
          <w:rtl/>
        </w:rPr>
        <w:t xml:space="preserve">במסגרת עבודה </w:t>
      </w:r>
      <w:r w:rsidR="00D22AF3" w:rsidRPr="00992E1E">
        <w:rPr>
          <w:rFonts w:ascii="Arial" w:hAnsi="Arial" w:cs="Arial" w:hint="cs"/>
          <w:sz w:val="24"/>
          <w:szCs w:val="24"/>
          <w:rtl/>
        </w:rPr>
        <w:t>זו</w:t>
      </w:r>
      <w:r w:rsidRPr="00992E1E">
        <w:rPr>
          <w:rFonts w:ascii="Arial" w:hAnsi="Arial" w:cs="Arial" w:hint="cs"/>
          <w:sz w:val="24"/>
          <w:szCs w:val="24"/>
          <w:rtl/>
        </w:rPr>
        <w:t xml:space="preserve">, נערכו </w:t>
      </w:r>
      <w:r w:rsidR="00D22AF3" w:rsidRPr="00992E1E">
        <w:rPr>
          <w:rFonts w:ascii="Arial" w:hAnsi="Arial" w:cs="Arial" w:hint="cs"/>
          <w:sz w:val="24"/>
          <w:szCs w:val="24"/>
          <w:rtl/>
        </w:rPr>
        <w:t xml:space="preserve">גם </w:t>
      </w:r>
      <w:r w:rsidRPr="00992E1E">
        <w:rPr>
          <w:rFonts w:ascii="Arial" w:hAnsi="Arial" w:cs="Arial" w:hint="cs"/>
          <w:sz w:val="24"/>
          <w:szCs w:val="24"/>
          <w:rtl/>
        </w:rPr>
        <w:t>שיפורים מתודולוג</w:t>
      </w:r>
      <w:r w:rsidR="008A6440" w:rsidRPr="00992E1E">
        <w:rPr>
          <w:rFonts w:ascii="Arial" w:hAnsi="Arial" w:cs="Arial" w:hint="cs"/>
          <w:sz w:val="24"/>
          <w:szCs w:val="24"/>
          <w:rtl/>
        </w:rPr>
        <w:t xml:space="preserve">יים </w:t>
      </w:r>
      <w:r w:rsidR="00D22AF3" w:rsidRPr="00992E1E">
        <w:rPr>
          <w:rFonts w:ascii="Arial" w:hAnsi="Arial" w:cs="Arial" w:hint="cs"/>
          <w:sz w:val="24"/>
          <w:szCs w:val="24"/>
          <w:rtl/>
        </w:rPr>
        <w:t xml:space="preserve">לגבי הנתונים </w:t>
      </w:r>
      <w:r w:rsidR="008A6440" w:rsidRPr="00992E1E">
        <w:rPr>
          <w:rFonts w:ascii="Arial" w:hAnsi="Arial" w:cs="Arial" w:hint="cs"/>
          <w:sz w:val="24"/>
          <w:szCs w:val="24"/>
          <w:rtl/>
        </w:rPr>
        <w:t>השוטפים וההיסטוריים.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בנוסף לכך, </w:t>
      </w:r>
      <w:r w:rsidR="00FA0665" w:rsidRPr="00992E1E">
        <w:rPr>
          <w:rFonts w:ascii="Arial" w:hAnsi="Arial" w:cs="Arial" w:hint="cs"/>
          <w:sz w:val="24"/>
          <w:szCs w:val="24"/>
          <w:rtl/>
        </w:rPr>
        <w:t xml:space="preserve">מידע </w:t>
      </w:r>
      <w:r w:rsidR="00D22AF3" w:rsidRPr="00992E1E">
        <w:rPr>
          <w:rFonts w:ascii="Arial" w:hAnsi="Arial" w:cs="Arial" w:hint="cs"/>
          <w:sz w:val="24"/>
          <w:szCs w:val="24"/>
          <w:rtl/>
        </w:rPr>
        <w:t xml:space="preserve">שנוסף </w:t>
      </w:r>
      <w:r w:rsidRPr="00992E1E">
        <w:rPr>
          <w:rFonts w:ascii="Arial" w:hAnsi="Arial" w:cs="Arial" w:hint="cs"/>
          <w:sz w:val="24"/>
          <w:szCs w:val="24"/>
          <w:rtl/>
        </w:rPr>
        <w:t xml:space="preserve">במאזנים החודשיים של הבנקים </w:t>
      </w:r>
      <w:r w:rsidR="00FA0665" w:rsidRPr="00992E1E">
        <w:rPr>
          <w:rFonts w:ascii="Arial" w:hAnsi="Arial" w:cs="Arial" w:hint="cs"/>
          <w:sz w:val="24"/>
          <w:szCs w:val="24"/>
          <w:rtl/>
        </w:rPr>
        <w:t>סייע לטייב את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נתוני החוב.</w:t>
      </w:r>
      <w:r w:rsidR="00992E1E" w:rsidRPr="00992E1E">
        <w:rPr>
          <w:rFonts w:ascii="Arial" w:hAnsi="Arial" w:cs="Arial" w:hint="cs"/>
          <w:sz w:val="24"/>
          <w:szCs w:val="24"/>
          <w:rtl/>
        </w:rPr>
        <w:t xml:space="preserve"> </w:t>
      </w:r>
      <w:r w:rsidR="008A6440" w:rsidRPr="00992E1E">
        <w:rPr>
          <w:rFonts w:ascii="Arial" w:hAnsi="Arial" w:cs="Arial" w:hint="cs"/>
          <w:sz w:val="24"/>
          <w:szCs w:val="24"/>
          <w:rtl/>
        </w:rPr>
        <w:t xml:space="preserve">להלן טבלה המרכזת את השינויים העיקריים </w:t>
      </w:r>
      <w:r w:rsidR="007F12DE" w:rsidRPr="00992E1E">
        <w:rPr>
          <w:rFonts w:ascii="Arial" w:hAnsi="Arial" w:cs="Arial" w:hint="cs"/>
          <w:sz w:val="24"/>
          <w:szCs w:val="24"/>
          <w:rtl/>
        </w:rPr>
        <w:t>בנתוני ספטמבר 2015 לסקטור העסקי ולמשקי הבית</w:t>
      </w:r>
      <w:r w:rsidR="006212AD" w:rsidRPr="00992E1E">
        <w:rPr>
          <w:rFonts w:ascii="Arial" w:hAnsi="Arial" w:cs="Arial" w:hint="cs"/>
          <w:sz w:val="24"/>
          <w:szCs w:val="24"/>
          <w:rtl/>
        </w:rPr>
        <w:t>:</w:t>
      </w:r>
      <w:r w:rsidR="00992E1E">
        <w:rPr>
          <w:rStyle w:val="af1"/>
          <w:rFonts w:ascii="Arial" w:hAnsi="Arial" w:cs="Arial"/>
          <w:sz w:val="24"/>
          <w:szCs w:val="24"/>
          <w:rtl/>
        </w:rPr>
        <w:footnoteReference w:id="2"/>
      </w:r>
    </w:p>
    <w:p w:rsidR="008A6440" w:rsidRDefault="00E13412" w:rsidP="008A6440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13412">
        <w:rPr>
          <w:noProof/>
          <w:rtl/>
          <w:lang w:eastAsia="en-US"/>
        </w:rPr>
        <w:drawing>
          <wp:inline distT="0" distB="0" distL="0" distR="0" wp14:anchorId="3DF7A808" wp14:editId="60F6157E">
            <wp:extent cx="5278120" cy="1479216"/>
            <wp:effectExtent l="0" t="0" r="0" b="6985"/>
            <wp:docPr id="3" name="תמונה 3" descr="נתוני החוב" title="נתוני החו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47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B2" w:rsidRDefault="000265B2" w:rsidP="000265B2">
      <w:pPr>
        <w:bidi/>
        <w:spacing w:line="360" w:lineRule="auto"/>
        <w:rPr>
          <w:rFonts w:ascii="Arial" w:hAnsi="Arial" w:cs="Arial"/>
          <w:sz w:val="24"/>
          <w:szCs w:val="24"/>
          <w:rtl/>
        </w:rPr>
      </w:pPr>
    </w:p>
    <w:p w:rsidR="00B7326C" w:rsidRPr="00992E1E" w:rsidRDefault="00296A2E" w:rsidP="001B15F7">
      <w:pPr>
        <w:pStyle w:val="a9"/>
        <w:numPr>
          <w:ilvl w:val="0"/>
          <w:numId w:val="13"/>
        </w:num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992E1E">
        <w:rPr>
          <w:rFonts w:ascii="Arial" w:hAnsi="Arial" w:cs="Arial" w:hint="cs"/>
          <w:sz w:val="24"/>
          <w:szCs w:val="24"/>
          <w:rtl/>
        </w:rPr>
        <w:t xml:space="preserve">החל מההודעה </w:t>
      </w:r>
      <w:r w:rsidR="004E2566" w:rsidRPr="00992E1E">
        <w:rPr>
          <w:rFonts w:ascii="Arial" w:hAnsi="Arial" w:cs="Arial" w:hint="cs"/>
          <w:sz w:val="24"/>
          <w:szCs w:val="24"/>
          <w:rtl/>
        </w:rPr>
        <w:t xml:space="preserve">הבאה </w:t>
      </w:r>
      <w:r w:rsidR="00B14475" w:rsidRPr="00992E1E">
        <w:rPr>
          <w:rFonts w:ascii="Arial" w:hAnsi="Arial" w:cs="Arial" w:hint="cs"/>
          <w:sz w:val="24"/>
          <w:szCs w:val="24"/>
          <w:rtl/>
        </w:rPr>
        <w:t>בנושא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החוב, החטיבה למידע ולסטטיסטיקה תנתח את הנתונים בתדירות רבעונית</w:t>
      </w:r>
      <w:r w:rsidR="004E2566">
        <w:rPr>
          <w:rFonts w:ascii="Arial" w:hAnsi="Arial" w:cs="Arial" w:hint="cs"/>
          <w:sz w:val="24"/>
          <w:szCs w:val="24"/>
          <w:rtl/>
        </w:rPr>
        <w:t>.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לפיכך, </w:t>
      </w:r>
      <w:r w:rsidR="005E7841">
        <w:rPr>
          <w:rFonts w:ascii="Arial" w:hAnsi="Arial" w:cs="Arial" w:hint="cs"/>
          <w:sz w:val="24"/>
          <w:szCs w:val="24"/>
          <w:rtl/>
        </w:rPr>
        <w:t xml:space="preserve">תשתנה תדירות הפרסום של ההודעה לעיתונות </w:t>
      </w:r>
      <w:r w:rsidR="001B15F7">
        <w:rPr>
          <w:rFonts w:ascii="Arial" w:hAnsi="Arial" w:cs="Arial" w:hint="cs"/>
          <w:sz w:val="24"/>
          <w:szCs w:val="24"/>
          <w:rtl/>
        </w:rPr>
        <w:t>בנושא</w:t>
      </w:r>
      <w:r w:rsidR="005E7841">
        <w:rPr>
          <w:rFonts w:ascii="Arial" w:hAnsi="Arial" w:cs="Arial" w:hint="cs"/>
          <w:sz w:val="24"/>
          <w:szCs w:val="24"/>
          <w:rtl/>
        </w:rPr>
        <w:t xml:space="preserve"> התפתחות החוב </w:t>
      </w:r>
      <w:r w:rsidR="001B15F7">
        <w:rPr>
          <w:rFonts w:ascii="Arial" w:hAnsi="Arial" w:cs="Arial" w:hint="cs"/>
          <w:sz w:val="24"/>
          <w:szCs w:val="24"/>
          <w:rtl/>
        </w:rPr>
        <w:t>מחודשית לרבעונית.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במקביל, נ</w:t>
      </w:r>
      <w:r w:rsidRPr="00992E1E">
        <w:rPr>
          <w:rFonts w:ascii="Arial" w:hAnsi="Arial" w:cs="Arial"/>
          <w:sz w:val="24"/>
          <w:szCs w:val="24"/>
          <w:rtl/>
        </w:rPr>
        <w:t xml:space="preserve">תוני היתרות החודשיות </w:t>
      </w:r>
      <w:r w:rsidRPr="00992E1E">
        <w:rPr>
          <w:rFonts w:ascii="Arial" w:hAnsi="Arial" w:cs="Arial" w:hint="cs"/>
          <w:sz w:val="24"/>
          <w:szCs w:val="24"/>
          <w:rtl/>
        </w:rPr>
        <w:t xml:space="preserve">ימשיכו להתפרסם באתר האינטרנט של הבנק בתדירות חודשית, אך </w:t>
      </w:r>
      <w:r w:rsidR="004E2566">
        <w:rPr>
          <w:rFonts w:ascii="Arial" w:hAnsi="Arial" w:cs="Arial" w:hint="cs"/>
          <w:sz w:val="24"/>
          <w:szCs w:val="24"/>
          <w:rtl/>
        </w:rPr>
        <w:t>יודגש</w:t>
      </w:r>
      <w:r w:rsidRPr="00992E1E">
        <w:rPr>
          <w:rFonts w:ascii="Arial" w:hAnsi="Arial" w:cs="Arial" w:hint="cs"/>
          <w:sz w:val="24"/>
          <w:szCs w:val="24"/>
          <w:rtl/>
        </w:rPr>
        <w:t xml:space="preserve"> כי יש לקחת בחשבון את מגבלות הנתונים החודשיים, שעמדו </w:t>
      </w:r>
      <w:r w:rsidR="004E2566">
        <w:rPr>
          <w:rFonts w:ascii="Arial" w:hAnsi="Arial" w:cs="Arial" w:hint="cs"/>
          <w:sz w:val="24"/>
          <w:szCs w:val="24"/>
          <w:rtl/>
        </w:rPr>
        <w:t>ב</w:t>
      </w:r>
      <w:r w:rsidRPr="00992E1E">
        <w:rPr>
          <w:rFonts w:ascii="Arial" w:hAnsi="Arial" w:cs="Arial" w:hint="cs"/>
          <w:sz w:val="24"/>
          <w:szCs w:val="24"/>
          <w:rtl/>
        </w:rPr>
        <w:t>רקע ההחלטה לעבור לניתוח רבעוני:</w:t>
      </w:r>
    </w:p>
    <w:p w:rsidR="00E23336" w:rsidRPr="00B14475" w:rsidRDefault="00A60F5F" w:rsidP="004E2566">
      <w:pPr>
        <w:pStyle w:val="a9"/>
        <w:numPr>
          <w:ilvl w:val="0"/>
          <w:numId w:val="15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4475">
        <w:rPr>
          <w:rFonts w:ascii="Arial" w:hAnsi="Arial" w:cs="Arial" w:hint="eastAsia"/>
          <w:sz w:val="24"/>
          <w:szCs w:val="24"/>
          <w:rtl/>
        </w:rPr>
        <w:lastRenderedPageBreak/>
        <w:t>ה</w:t>
      </w:r>
      <w:r w:rsidR="000265B2" w:rsidRPr="00B14475">
        <w:rPr>
          <w:rFonts w:ascii="Arial" w:hAnsi="Arial" w:cs="Arial"/>
          <w:sz w:val="24"/>
          <w:szCs w:val="24"/>
          <w:rtl/>
        </w:rPr>
        <w:t xml:space="preserve">נתונים </w:t>
      </w:r>
      <w:r w:rsidRPr="00B14475">
        <w:rPr>
          <w:rFonts w:ascii="Arial" w:hAnsi="Arial" w:cs="Arial" w:hint="eastAsia"/>
          <w:sz w:val="24"/>
          <w:szCs w:val="24"/>
          <w:rtl/>
        </w:rPr>
        <w:t>הרבעוניים</w:t>
      </w:r>
      <w:r w:rsidR="000265B2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D22AF3" w:rsidRPr="00B14475">
        <w:rPr>
          <w:rFonts w:ascii="Arial" w:hAnsi="Arial" w:cs="Arial" w:hint="eastAsia"/>
          <w:sz w:val="24"/>
          <w:szCs w:val="24"/>
          <w:rtl/>
        </w:rPr>
        <w:t>שהבנקים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D22AF3" w:rsidRPr="00B14475">
        <w:rPr>
          <w:rFonts w:ascii="Arial" w:hAnsi="Arial" w:cs="Arial" w:hint="eastAsia"/>
          <w:sz w:val="24"/>
          <w:szCs w:val="24"/>
          <w:rtl/>
        </w:rPr>
        <w:t>מדווחים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D22AF3" w:rsidRPr="00B14475">
        <w:rPr>
          <w:rFonts w:ascii="Arial" w:hAnsi="Arial" w:cs="Arial" w:hint="eastAsia"/>
          <w:sz w:val="24"/>
          <w:szCs w:val="24"/>
          <w:rtl/>
        </w:rPr>
        <w:t>מתבססים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D22AF3" w:rsidRPr="00B14475">
        <w:rPr>
          <w:rFonts w:ascii="Arial" w:hAnsi="Arial" w:cs="Arial" w:hint="eastAsia"/>
          <w:sz w:val="24"/>
          <w:szCs w:val="24"/>
          <w:rtl/>
        </w:rPr>
        <w:t>על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E23336">
        <w:rPr>
          <w:rFonts w:ascii="Arial" w:hAnsi="Arial" w:cs="Arial" w:hint="cs"/>
          <w:sz w:val="24"/>
          <w:szCs w:val="24"/>
          <w:rtl/>
        </w:rPr>
        <w:t>מאזניהם</w:t>
      </w:r>
      <w:r w:rsidR="00296A2E" w:rsidRPr="00B14475">
        <w:rPr>
          <w:rFonts w:ascii="Arial" w:hAnsi="Arial" w:cs="Arial"/>
          <w:sz w:val="24"/>
          <w:szCs w:val="24"/>
          <w:rtl/>
        </w:rPr>
        <w:t>,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העוברים רמת ב</w:t>
      </w:r>
      <w:r w:rsidR="00296A2E" w:rsidRPr="00B14475">
        <w:rPr>
          <w:rFonts w:ascii="Arial" w:hAnsi="Arial" w:cs="Arial" w:hint="eastAsia"/>
          <w:sz w:val="24"/>
          <w:szCs w:val="24"/>
          <w:rtl/>
        </w:rPr>
        <w:t>ק</w:t>
      </w:r>
      <w:r w:rsidR="00D22AF3" w:rsidRPr="00B14475">
        <w:rPr>
          <w:rFonts w:ascii="Arial" w:hAnsi="Arial" w:cs="Arial" w:hint="eastAsia"/>
          <w:sz w:val="24"/>
          <w:szCs w:val="24"/>
          <w:rtl/>
        </w:rPr>
        <w:t>רה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גבוהה וכאשר </w:t>
      </w:r>
      <w:r w:rsidR="00E23336">
        <w:rPr>
          <w:rFonts w:ascii="Arial" w:hAnsi="Arial" w:cs="Arial" w:hint="cs"/>
          <w:sz w:val="24"/>
          <w:szCs w:val="24"/>
          <w:rtl/>
        </w:rPr>
        <w:t>מתבצעים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0265B2" w:rsidRPr="00B14475">
        <w:rPr>
          <w:rFonts w:ascii="Arial" w:hAnsi="Arial" w:cs="Arial"/>
          <w:sz w:val="24"/>
          <w:szCs w:val="24"/>
          <w:rtl/>
        </w:rPr>
        <w:t xml:space="preserve">תיקונים וטיובים בנתונים הרבעוניים </w:t>
      </w:r>
      <w:r w:rsidR="00E23336">
        <w:rPr>
          <w:rFonts w:ascii="Arial" w:hAnsi="Arial" w:cs="Arial" w:hint="cs"/>
          <w:sz w:val="24"/>
          <w:szCs w:val="24"/>
          <w:rtl/>
        </w:rPr>
        <w:t>הם</w:t>
      </w:r>
      <w:r w:rsidR="00D22AF3" w:rsidRPr="00B14475">
        <w:rPr>
          <w:rFonts w:ascii="Arial" w:hAnsi="Arial" w:cs="Arial"/>
          <w:sz w:val="24"/>
          <w:szCs w:val="24"/>
          <w:rtl/>
        </w:rPr>
        <w:t xml:space="preserve"> לא </w:t>
      </w:r>
      <w:r w:rsidR="00296A2E" w:rsidRPr="00B14475">
        <w:rPr>
          <w:rFonts w:ascii="Arial" w:hAnsi="Arial" w:cs="Arial" w:hint="eastAsia"/>
          <w:sz w:val="24"/>
          <w:szCs w:val="24"/>
          <w:rtl/>
        </w:rPr>
        <w:t>בהכרח</w:t>
      </w:r>
      <w:r w:rsidR="000265B2" w:rsidRPr="00B14475">
        <w:rPr>
          <w:rFonts w:ascii="Arial" w:hAnsi="Arial" w:cs="Arial"/>
          <w:sz w:val="24"/>
          <w:szCs w:val="24"/>
          <w:rtl/>
        </w:rPr>
        <w:t xml:space="preserve"> באים לידי ביטוי בנתונים החודשיים.</w:t>
      </w:r>
      <w:r w:rsidR="00E23336">
        <w:rPr>
          <w:rFonts w:ascii="Arial" w:hAnsi="Arial" w:cs="Arial" w:hint="cs"/>
          <w:sz w:val="24"/>
          <w:szCs w:val="24"/>
          <w:rtl/>
        </w:rPr>
        <w:t xml:space="preserve"> לפיכך, </w:t>
      </w:r>
      <w:r w:rsidR="00E23336" w:rsidRPr="00B14475">
        <w:rPr>
          <w:rFonts w:ascii="Arial" w:hAnsi="Arial" w:cs="Arial"/>
          <w:sz w:val="24"/>
          <w:szCs w:val="24"/>
          <w:rtl/>
        </w:rPr>
        <w:t xml:space="preserve">בחלק 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ממצרפי</w:t>
      </w:r>
      <w:r w:rsidR="00E23336" w:rsidRPr="00B14475">
        <w:rPr>
          <w:rFonts w:ascii="Arial" w:hAnsi="Arial" w:cs="Arial" w:hint="cs"/>
          <w:sz w:val="24"/>
          <w:szCs w:val="24"/>
          <w:rtl/>
        </w:rPr>
        <w:t xml:space="preserve"> החוב</w:t>
      </w:r>
      <w:r w:rsidR="00E23336" w:rsidRPr="00B14475">
        <w:rPr>
          <w:rFonts w:ascii="Arial" w:hAnsi="Arial" w:cs="Arial"/>
          <w:sz w:val="24"/>
          <w:szCs w:val="24"/>
          <w:rtl/>
        </w:rPr>
        <w:t xml:space="preserve"> נתוני היתרות </w:t>
      </w:r>
      <w:r w:rsidR="004E2566">
        <w:rPr>
          <w:rFonts w:ascii="Arial" w:hAnsi="Arial" w:cs="Arial" w:hint="cs"/>
          <w:sz w:val="24"/>
          <w:szCs w:val="24"/>
          <w:rtl/>
        </w:rPr>
        <w:t xml:space="preserve">החודשיים 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במהלך</w:t>
      </w:r>
      <w:r w:rsidR="00E23336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ה</w:t>
      </w:r>
      <w:r w:rsidR="00E23336" w:rsidRPr="00B14475">
        <w:rPr>
          <w:rFonts w:ascii="Arial" w:hAnsi="Arial" w:cs="Arial"/>
          <w:sz w:val="24"/>
          <w:szCs w:val="24"/>
          <w:rtl/>
        </w:rPr>
        <w:t>רב</w:t>
      </w:r>
      <w:r w:rsidR="00E23336" w:rsidRPr="00B14475">
        <w:rPr>
          <w:rFonts w:ascii="Arial" w:hAnsi="Arial" w:cs="Arial" w:hint="cs"/>
          <w:sz w:val="24"/>
          <w:szCs w:val="24"/>
          <w:rtl/>
        </w:rPr>
        <w:t>י</w:t>
      </w:r>
      <w:r w:rsidR="00E23336" w:rsidRPr="00B14475">
        <w:rPr>
          <w:rFonts w:ascii="Arial" w:hAnsi="Arial" w:cs="Arial"/>
          <w:sz w:val="24"/>
          <w:szCs w:val="24"/>
          <w:rtl/>
        </w:rPr>
        <w:t xml:space="preserve">ע אינם 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עקביים</w:t>
      </w:r>
      <w:r w:rsidR="00E23336" w:rsidRPr="00B14475">
        <w:rPr>
          <w:rFonts w:ascii="Arial" w:hAnsi="Arial" w:cs="Arial"/>
          <w:sz w:val="24"/>
          <w:szCs w:val="24"/>
          <w:rtl/>
        </w:rPr>
        <w:t xml:space="preserve"> עם נתוני היתרות 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לסופי</w:t>
      </w:r>
      <w:r w:rsidR="00E23336" w:rsidRPr="00B14475">
        <w:rPr>
          <w:rFonts w:ascii="Arial" w:hAnsi="Arial" w:cs="Arial"/>
          <w:sz w:val="24"/>
          <w:szCs w:val="24"/>
          <w:rtl/>
        </w:rPr>
        <w:t xml:space="preserve"> 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הרב</w:t>
      </w:r>
      <w:r w:rsidR="00E23336" w:rsidRPr="00B14475">
        <w:rPr>
          <w:rFonts w:ascii="Arial" w:hAnsi="Arial" w:cs="Arial" w:hint="cs"/>
          <w:sz w:val="24"/>
          <w:szCs w:val="24"/>
          <w:rtl/>
        </w:rPr>
        <w:t>י</w:t>
      </w:r>
      <w:r w:rsidR="00E23336" w:rsidRPr="00B14475">
        <w:rPr>
          <w:rFonts w:ascii="Arial" w:hAnsi="Arial" w:cs="Arial" w:hint="eastAsia"/>
          <w:sz w:val="24"/>
          <w:szCs w:val="24"/>
          <w:rtl/>
        </w:rPr>
        <w:t>ע</w:t>
      </w:r>
      <w:r w:rsidR="00E23336" w:rsidRPr="00B14475">
        <w:rPr>
          <w:rFonts w:ascii="Arial" w:hAnsi="Arial" w:cs="Arial"/>
          <w:sz w:val="24"/>
          <w:szCs w:val="24"/>
          <w:rtl/>
        </w:rPr>
        <w:t>.</w:t>
      </w:r>
    </w:p>
    <w:p w:rsidR="00AF7ADE" w:rsidRDefault="000265B2" w:rsidP="00FD7144">
      <w:pPr>
        <w:pStyle w:val="a9"/>
        <w:numPr>
          <w:ilvl w:val="0"/>
          <w:numId w:val="15"/>
        </w:numPr>
        <w:bidi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326C">
        <w:rPr>
          <w:rFonts w:ascii="Arial" w:hAnsi="Arial" w:cs="Arial"/>
          <w:sz w:val="24"/>
          <w:szCs w:val="24"/>
          <w:rtl/>
        </w:rPr>
        <w:t xml:space="preserve">הנתונים החודשיים תנודתיים </w:t>
      </w:r>
      <w:r w:rsidR="00296A2E">
        <w:rPr>
          <w:rFonts w:ascii="Arial" w:hAnsi="Arial" w:cs="Arial" w:hint="cs"/>
          <w:sz w:val="24"/>
          <w:szCs w:val="24"/>
          <w:rtl/>
        </w:rPr>
        <w:t>לעומת</w:t>
      </w:r>
      <w:r w:rsidR="00296A2E" w:rsidRPr="00B7326C">
        <w:rPr>
          <w:rFonts w:ascii="Arial" w:hAnsi="Arial" w:cs="Arial"/>
          <w:sz w:val="24"/>
          <w:szCs w:val="24"/>
          <w:rtl/>
        </w:rPr>
        <w:t xml:space="preserve"> </w:t>
      </w:r>
      <w:r w:rsidRPr="00B7326C">
        <w:rPr>
          <w:rFonts w:ascii="Arial" w:hAnsi="Arial" w:cs="Arial"/>
          <w:sz w:val="24"/>
          <w:szCs w:val="24"/>
          <w:rtl/>
        </w:rPr>
        <w:t>הנתונים הרבעוניים</w:t>
      </w:r>
      <w:r w:rsidR="004E2566">
        <w:rPr>
          <w:rFonts w:ascii="Arial" w:hAnsi="Arial" w:cs="Arial" w:hint="cs"/>
          <w:sz w:val="24"/>
          <w:szCs w:val="24"/>
          <w:rtl/>
        </w:rPr>
        <w:t>, ומקשים על ניתוח שישקף נכונה את המגמות בשוק האשראי</w:t>
      </w:r>
      <w:r w:rsidRPr="00B7326C">
        <w:rPr>
          <w:rFonts w:ascii="Arial" w:hAnsi="Arial" w:cs="Arial"/>
          <w:sz w:val="24"/>
          <w:szCs w:val="24"/>
          <w:rtl/>
        </w:rPr>
        <w:t>.</w:t>
      </w:r>
      <w:bookmarkStart w:id="0" w:name="_GoBack"/>
      <w:bookmarkEnd w:id="0"/>
    </w:p>
    <w:p w:rsidR="00E23336" w:rsidRPr="00E23336" w:rsidRDefault="00E23336" w:rsidP="00E23336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D168B0" w:rsidRDefault="00D168B0" w:rsidP="00D168B0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9F574F" w:rsidRDefault="0089040A" w:rsidP="00D168B0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89040A">
        <w:rPr>
          <w:rFonts w:ascii="Arial" w:hAnsi="Arial" w:cs="Arial" w:hint="cs"/>
          <w:sz w:val="24"/>
          <w:szCs w:val="24"/>
          <w:rtl/>
        </w:rPr>
        <w:t xml:space="preserve">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המגזר העסקי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A17283">
        <w:rPr>
          <w:rFonts w:ascii="Arial" w:hAnsi="Arial" w:cs="Arial" w:hint="cs"/>
          <w:sz w:val="24"/>
          <w:szCs w:val="24"/>
          <w:rtl/>
        </w:rPr>
        <w:t xml:space="preserve">גדלה </w:t>
      </w:r>
      <w:r w:rsidRPr="0089040A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9D3E91">
        <w:rPr>
          <w:rFonts w:ascii="Arial" w:hAnsi="Arial" w:cs="Arial" w:hint="cs"/>
          <w:sz w:val="24"/>
          <w:szCs w:val="24"/>
          <w:rtl/>
        </w:rPr>
        <w:t>נובמבר</w:t>
      </w:r>
      <w:r w:rsidR="003645A9">
        <w:rPr>
          <w:rFonts w:ascii="Arial" w:hAnsi="Arial" w:cs="Arial" w:hint="cs"/>
          <w:sz w:val="24"/>
          <w:szCs w:val="24"/>
          <w:rtl/>
        </w:rPr>
        <w:t xml:space="preserve"> </w:t>
      </w:r>
      <w:r w:rsidR="008D68DB">
        <w:rPr>
          <w:rFonts w:ascii="Arial" w:hAnsi="Arial" w:cs="Arial" w:hint="cs"/>
          <w:sz w:val="24"/>
          <w:szCs w:val="24"/>
          <w:rtl/>
        </w:rPr>
        <w:t>בכמיליארד</w:t>
      </w:r>
      <w:r w:rsidR="00A17283">
        <w:rPr>
          <w:rFonts w:ascii="Arial" w:hAnsi="Arial" w:cs="Arial" w:hint="cs"/>
          <w:sz w:val="24"/>
          <w:szCs w:val="24"/>
          <w:rtl/>
        </w:rPr>
        <w:t xml:space="preserve"> ש"ח (</w:t>
      </w:r>
      <w:r w:rsidR="008737F5">
        <w:rPr>
          <w:rFonts w:ascii="Arial" w:hAnsi="Arial" w:cs="Arial" w:hint="cs"/>
          <w:sz w:val="24"/>
          <w:szCs w:val="24"/>
          <w:rtl/>
        </w:rPr>
        <w:t>0.</w:t>
      </w:r>
      <w:r w:rsidR="008D68DB">
        <w:rPr>
          <w:rFonts w:ascii="Arial" w:hAnsi="Arial" w:cs="Arial" w:hint="cs"/>
          <w:sz w:val="24"/>
          <w:szCs w:val="24"/>
          <w:rtl/>
        </w:rPr>
        <w:t>1</w:t>
      </w:r>
      <w:r w:rsidR="00A17283">
        <w:rPr>
          <w:rFonts w:ascii="Arial" w:hAnsi="Arial" w:cs="Arial" w:hint="cs"/>
          <w:sz w:val="24"/>
          <w:szCs w:val="24"/>
          <w:rtl/>
        </w:rPr>
        <w:t xml:space="preserve">%) </w:t>
      </w:r>
      <w:r w:rsidR="004024AB">
        <w:rPr>
          <w:rFonts w:ascii="Arial" w:hAnsi="Arial" w:cs="Arial" w:hint="cs"/>
          <w:sz w:val="24"/>
          <w:szCs w:val="24"/>
          <w:rtl/>
        </w:rPr>
        <w:t>והסתכמה ב</w:t>
      </w:r>
      <w:r w:rsidR="003B17BC">
        <w:rPr>
          <w:rFonts w:ascii="Arial" w:hAnsi="Arial" w:cs="Arial" w:hint="cs"/>
          <w:sz w:val="24"/>
          <w:szCs w:val="24"/>
          <w:rtl/>
        </w:rPr>
        <w:t>כ-</w:t>
      </w:r>
      <w:r w:rsidR="008737F5">
        <w:rPr>
          <w:rFonts w:ascii="Arial" w:hAnsi="Arial" w:cs="Arial" w:hint="cs"/>
          <w:sz w:val="24"/>
          <w:szCs w:val="24"/>
          <w:rtl/>
        </w:rPr>
        <w:t>8</w:t>
      </w:r>
      <w:r w:rsidR="008D68DB">
        <w:rPr>
          <w:rFonts w:ascii="Arial" w:hAnsi="Arial" w:cs="Arial" w:hint="cs"/>
          <w:sz w:val="24"/>
          <w:szCs w:val="24"/>
          <w:rtl/>
        </w:rPr>
        <w:t>10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</w:t>
      </w:r>
      <w:r w:rsidR="003645A9">
        <w:rPr>
          <w:rFonts w:ascii="Arial" w:hAnsi="Arial" w:cs="Arial" w:hint="cs"/>
          <w:sz w:val="24"/>
          <w:szCs w:val="24"/>
          <w:rtl/>
        </w:rPr>
        <w:t>ם</w:t>
      </w:r>
      <w:r w:rsidRPr="0089040A">
        <w:rPr>
          <w:rFonts w:ascii="Arial" w:hAnsi="Arial" w:cs="Arial" w:hint="cs"/>
          <w:sz w:val="24"/>
          <w:szCs w:val="24"/>
          <w:rtl/>
        </w:rPr>
        <w:t xml:space="preserve">. יתרת החוב של </w:t>
      </w:r>
      <w:r w:rsidRPr="0089040A">
        <w:rPr>
          <w:rFonts w:ascii="Arial" w:hAnsi="Arial" w:cs="Arial" w:hint="cs"/>
          <w:b/>
          <w:bCs/>
          <w:sz w:val="24"/>
          <w:szCs w:val="24"/>
          <w:rtl/>
        </w:rPr>
        <w:t>משקי הבית</w:t>
      </w:r>
      <w:r w:rsidRPr="0089040A">
        <w:rPr>
          <w:rFonts w:ascii="Arial" w:hAnsi="Arial" w:cs="Arial" w:hint="cs"/>
          <w:sz w:val="24"/>
          <w:szCs w:val="24"/>
          <w:rtl/>
        </w:rPr>
        <w:t xml:space="preserve"> </w:t>
      </w:r>
      <w:r w:rsidR="009A54F7">
        <w:rPr>
          <w:rFonts w:ascii="Arial" w:hAnsi="Arial" w:cs="Arial" w:hint="cs"/>
          <w:sz w:val="24"/>
          <w:szCs w:val="24"/>
          <w:rtl/>
        </w:rPr>
        <w:t xml:space="preserve">גדלה בחודש </w:t>
      </w:r>
      <w:r w:rsidR="009D3E91">
        <w:rPr>
          <w:rFonts w:ascii="Arial" w:hAnsi="Arial" w:cs="Arial" w:hint="cs"/>
          <w:sz w:val="24"/>
          <w:szCs w:val="24"/>
          <w:rtl/>
        </w:rPr>
        <w:t>נובמבר</w:t>
      </w:r>
      <w:r w:rsidR="009A54F7">
        <w:rPr>
          <w:rFonts w:ascii="Arial" w:hAnsi="Arial" w:cs="Arial" w:hint="cs"/>
          <w:sz w:val="24"/>
          <w:szCs w:val="24"/>
          <w:rtl/>
        </w:rPr>
        <w:t xml:space="preserve"> בכ-</w:t>
      </w:r>
      <w:r w:rsidR="008D68DB">
        <w:rPr>
          <w:rFonts w:ascii="Arial" w:hAnsi="Arial" w:cs="Arial" w:hint="cs"/>
          <w:sz w:val="24"/>
          <w:szCs w:val="24"/>
          <w:rtl/>
        </w:rPr>
        <w:t xml:space="preserve">3.1 </w:t>
      </w:r>
      <w:r w:rsidR="009A54F7">
        <w:rPr>
          <w:rFonts w:ascii="Arial" w:hAnsi="Arial" w:cs="Arial" w:hint="cs"/>
          <w:sz w:val="24"/>
          <w:szCs w:val="24"/>
          <w:rtl/>
        </w:rPr>
        <w:t>מיליארדים (0.</w:t>
      </w:r>
      <w:r w:rsidR="008D68DB">
        <w:rPr>
          <w:rFonts w:ascii="Arial" w:hAnsi="Arial" w:cs="Arial" w:hint="cs"/>
          <w:sz w:val="24"/>
          <w:szCs w:val="24"/>
          <w:rtl/>
        </w:rPr>
        <w:t>7</w:t>
      </w:r>
      <w:r w:rsidR="009A54F7">
        <w:rPr>
          <w:rFonts w:ascii="Arial" w:hAnsi="Arial" w:cs="Arial" w:hint="cs"/>
          <w:sz w:val="24"/>
          <w:szCs w:val="24"/>
          <w:rtl/>
        </w:rPr>
        <w:t xml:space="preserve">%) </w:t>
      </w:r>
      <w:r w:rsidRPr="0089040A">
        <w:rPr>
          <w:rFonts w:ascii="Arial" w:hAnsi="Arial" w:cs="Arial" w:hint="cs"/>
          <w:sz w:val="24"/>
          <w:szCs w:val="24"/>
          <w:rtl/>
        </w:rPr>
        <w:t>ועמדה בסוף החודש על כ-</w:t>
      </w:r>
      <w:r w:rsidR="00A17283">
        <w:rPr>
          <w:rFonts w:ascii="Arial" w:hAnsi="Arial" w:cs="Arial" w:hint="cs"/>
          <w:sz w:val="24"/>
          <w:szCs w:val="24"/>
          <w:rtl/>
        </w:rPr>
        <w:t>4</w:t>
      </w:r>
      <w:r w:rsidR="008D68DB">
        <w:rPr>
          <w:rFonts w:ascii="Arial" w:hAnsi="Arial" w:cs="Arial" w:hint="cs"/>
          <w:sz w:val="24"/>
          <w:szCs w:val="24"/>
          <w:rtl/>
        </w:rPr>
        <w:t>72</w:t>
      </w:r>
      <w:r w:rsidRPr="0089040A">
        <w:rPr>
          <w:rFonts w:ascii="Arial" w:hAnsi="Arial" w:cs="Arial" w:hint="cs"/>
          <w:sz w:val="24"/>
          <w:szCs w:val="24"/>
          <w:rtl/>
        </w:rPr>
        <w:t xml:space="preserve"> מיליארדים.</w:t>
      </w:r>
      <w:r w:rsidR="005D012F">
        <w:rPr>
          <w:rFonts w:ascii="Arial" w:hAnsi="Arial" w:cs="Arial" w:hint="cs"/>
          <w:sz w:val="24"/>
          <w:szCs w:val="24"/>
          <w:rtl/>
        </w:rPr>
        <w:t xml:space="preserve"> </w:t>
      </w:r>
    </w:p>
    <w:p w:rsidR="0089040A" w:rsidRPr="0089040A" w:rsidRDefault="0089040A" w:rsidP="0089040A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9F574F" w:rsidRPr="00FD7144" w:rsidRDefault="009F574F" w:rsidP="00FD7144">
      <w:pPr>
        <w:pStyle w:val="a9"/>
        <w:numPr>
          <w:ilvl w:val="0"/>
          <w:numId w:val="16"/>
        </w:num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7144">
        <w:rPr>
          <w:rStyle w:val="10"/>
          <w:rtl/>
        </w:rPr>
        <w:t>החוב של המגזר העסקי</w:t>
      </w:r>
    </w:p>
    <w:p w:rsidR="002319C1" w:rsidRPr="002319C1" w:rsidRDefault="0089040A" w:rsidP="00B86720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319C1">
        <w:rPr>
          <w:rFonts w:ascii="Arial" w:hAnsi="Arial" w:cs="Arial" w:hint="cs"/>
          <w:sz w:val="24"/>
          <w:szCs w:val="24"/>
          <w:rtl/>
        </w:rPr>
        <w:t>מהחטיבה למידע ו</w:t>
      </w:r>
      <w:r w:rsidR="00882FBA" w:rsidRPr="002319C1">
        <w:rPr>
          <w:rFonts w:ascii="Arial" w:hAnsi="Arial" w:cs="Arial" w:hint="cs"/>
          <w:sz w:val="24"/>
          <w:szCs w:val="24"/>
          <w:rtl/>
        </w:rPr>
        <w:t>ל</w:t>
      </w:r>
      <w:r w:rsidRPr="002319C1">
        <w:rPr>
          <w:rFonts w:ascii="Arial" w:hAnsi="Arial" w:cs="Arial" w:hint="cs"/>
          <w:sz w:val="24"/>
          <w:szCs w:val="24"/>
          <w:rtl/>
        </w:rPr>
        <w:t xml:space="preserve">סטטיסטיקה נמסר, כי בחודש </w:t>
      </w:r>
      <w:r w:rsidR="009D3E91">
        <w:rPr>
          <w:rFonts w:ascii="Arial" w:hAnsi="Arial" w:cs="Arial" w:hint="cs"/>
          <w:sz w:val="24"/>
          <w:szCs w:val="24"/>
          <w:rtl/>
        </w:rPr>
        <w:t>נובמבר</w:t>
      </w:r>
      <w:r w:rsidRPr="002319C1">
        <w:rPr>
          <w:rFonts w:ascii="Arial" w:hAnsi="Arial" w:cs="Arial" w:hint="cs"/>
          <w:sz w:val="24"/>
          <w:szCs w:val="24"/>
          <w:rtl/>
        </w:rPr>
        <w:t xml:space="preserve"> </w:t>
      </w:r>
      <w:r w:rsidR="00882FBA" w:rsidRPr="002319C1">
        <w:rPr>
          <w:rFonts w:ascii="Arial" w:hAnsi="Arial" w:cs="Arial" w:hint="cs"/>
          <w:sz w:val="24"/>
          <w:szCs w:val="24"/>
          <w:rtl/>
        </w:rPr>
        <w:t xml:space="preserve">גדלה </w:t>
      </w:r>
      <w:r w:rsidR="00613223" w:rsidRPr="002319C1">
        <w:rPr>
          <w:rFonts w:ascii="Arial" w:hAnsi="Arial" w:cs="Arial" w:hint="cs"/>
          <w:sz w:val="24"/>
          <w:szCs w:val="24"/>
          <w:rtl/>
        </w:rPr>
        <w:t xml:space="preserve">יתרת החוב של המגזר העסקי </w:t>
      </w:r>
      <w:r w:rsidR="00C06754" w:rsidRPr="002319C1">
        <w:rPr>
          <w:rFonts w:ascii="Arial" w:hAnsi="Arial" w:cs="Arial" w:hint="cs"/>
          <w:sz w:val="24"/>
          <w:szCs w:val="24"/>
          <w:rtl/>
        </w:rPr>
        <w:t>בכ</w:t>
      </w:r>
      <w:r w:rsidR="00117C7B">
        <w:rPr>
          <w:rFonts w:ascii="Arial" w:hAnsi="Arial" w:cs="Arial" w:hint="cs"/>
          <w:sz w:val="24"/>
          <w:szCs w:val="24"/>
          <w:rtl/>
        </w:rPr>
        <w:t>מיליארד</w:t>
      </w:r>
      <w:r w:rsidR="00C06754" w:rsidRPr="002319C1">
        <w:rPr>
          <w:rFonts w:ascii="Arial" w:hAnsi="Arial" w:cs="Arial" w:hint="cs"/>
          <w:sz w:val="24"/>
          <w:szCs w:val="24"/>
          <w:rtl/>
        </w:rPr>
        <w:t xml:space="preserve"> ש"ח</w:t>
      </w:r>
      <w:r w:rsidR="00613223" w:rsidRPr="002319C1">
        <w:rPr>
          <w:rFonts w:ascii="Arial" w:hAnsi="Arial" w:cs="Arial" w:hint="cs"/>
          <w:sz w:val="24"/>
          <w:szCs w:val="24"/>
          <w:rtl/>
        </w:rPr>
        <w:t xml:space="preserve"> </w:t>
      </w:r>
      <w:r w:rsidR="00D446DF" w:rsidRPr="002319C1">
        <w:rPr>
          <w:rFonts w:ascii="Arial" w:hAnsi="Arial" w:cs="Arial" w:hint="cs"/>
          <w:sz w:val="24"/>
          <w:szCs w:val="24"/>
          <w:rtl/>
        </w:rPr>
        <w:t>והסתכמה</w:t>
      </w:r>
      <w:r w:rsidR="00613223" w:rsidRPr="002319C1">
        <w:rPr>
          <w:rFonts w:ascii="Arial" w:hAnsi="Arial" w:cs="Arial" w:hint="cs"/>
          <w:sz w:val="24"/>
          <w:szCs w:val="24"/>
          <w:rtl/>
        </w:rPr>
        <w:t xml:space="preserve"> </w:t>
      </w:r>
      <w:r w:rsidR="00D446DF" w:rsidRPr="002319C1">
        <w:rPr>
          <w:rFonts w:ascii="Arial" w:hAnsi="Arial" w:cs="Arial" w:hint="cs"/>
          <w:sz w:val="24"/>
          <w:szCs w:val="24"/>
          <w:rtl/>
        </w:rPr>
        <w:t>ב</w:t>
      </w:r>
      <w:r w:rsidR="00613223" w:rsidRPr="002319C1">
        <w:rPr>
          <w:rFonts w:ascii="Arial" w:hAnsi="Arial" w:cs="Arial" w:hint="cs"/>
          <w:sz w:val="24"/>
          <w:szCs w:val="24"/>
          <w:rtl/>
        </w:rPr>
        <w:t>כ-</w:t>
      </w:r>
      <w:r w:rsidR="00117C7B">
        <w:rPr>
          <w:rFonts w:ascii="Arial" w:hAnsi="Arial" w:cs="Arial" w:hint="cs"/>
          <w:sz w:val="24"/>
          <w:szCs w:val="24"/>
          <w:rtl/>
        </w:rPr>
        <w:t>810</w:t>
      </w:r>
      <w:r w:rsidR="0034285A" w:rsidRPr="002319C1">
        <w:rPr>
          <w:rFonts w:ascii="Arial" w:hAnsi="Arial" w:cs="Arial" w:hint="cs"/>
          <w:sz w:val="24"/>
          <w:szCs w:val="24"/>
          <w:rtl/>
        </w:rPr>
        <w:t xml:space="preserve"> מיליארדי</w:t>
      </w:r>
      <w:r w:rsidR="00B86720">
        <w:rPr>
          <w:rFonts w:ascii="Arial" w:hAnsi="Arial" w:cs="Arial" w:hint="cs"/>
          <w:sz w:val="24"/>
          <w:szCs w:val="24"/>
          <w:rtl/>
        </w:rPr>
        <w:t>ם</w:t>
      </w:r>
      <w:r w:rsidR="00C06754" w:rsidRPr="002319C1">
        <w:rPr>
          <w:rFonts w:ascii="Arial" w:hAnsi="Arial" w:cs="Arial" w:hint="cs"/>
          <w:sz w:val="24"/>
          <w:szCs w:val="24"/>
          <w:rtl/>
        </w:rPr>
        <w:t xml:space="preserve">. </w:t>
      </w:r>
      <w:r w:rsidR="002319C1" w:rsidRPr="002319C1">
        <w:rPr>
          <w:rFonts w:ascii="Arial" w:hAnsi="Arial" w:cs="Arial" w:hint="cs"/>
          <w:sz w:val="24"/>
          <w:szCs w:val="24"/>
          <w:rtl/>
        </w:rPr>
        <w:t>עלייה זו נבעה</w:t>
      </w:r>
      <w:r w:rsidR="00B86720">
        <w:rPr>
          <w:rFonts w:ascii="Arial" w:hAnsi="Arial" w:cs="Arial" w:hint="cs"/>
          <w:sz w:val="24"/>
          <w:szCs w:val="24"/>
          <w:rtl/>
        </w:rPr>
        <w:t xml:space="preserve"> בעיקרה </w:t>
      </w:r>
      <w:r w:rsidR="00117C7B" w:rsidRPr="00117C7B">
        <w:rPr>
          <w:rFonts w:ascii="Arial" w:hAnsi="Arial" w:cs="Arial"/>
          <w:sz w:val="24"/>
          <w:szCs w:val="24"/>
          <w:rtl/>
        </w:rPr>
        <w:t>מפיחות בשער החליפין של השקל מול הדולר</w:t>
      </w:r>
      <w:r w:rsidR="00117C7B">
        <w:rPr>
          <w:rFonts w:ascii="Arial" w:hAnsi="Arial" w:cs="Arial" w:hint="cs"/>
          <w:sz w:val="24"/>
          <w:szCs w:val="24"/>
          <w:rtl/>
        </w:rPr>
        <w:t xml:space="preserve"> של כ-0.3%</w:t>
      </w:r>
      <w:r w:rsidR="00B86720">
        <w:rPr>
          <w:rFonts w:ascii="Arial" w:hAnsi="Arial" w:cs="Arial" w:hint="cs"/>
          <w:sz w:val="24"/>
          <w:szCs w:val="24"/>
          <w:rtl/>
        </w:rPr>
        <w:t xml:space="preserve"> שהגדיל את השווי של החוב ה</w:t>
      </w:r>
      <w:r w:rsidR="00117C7B">
        <w:rPr>
          <w:rFonts w:ascii="Arial" w:hAnsi="Arial" w:cs="Arial" w:hint="cs"/>
          <w:sz w:val="24"/>
          <w:szCs w:val="24"/>
          <w:rtl/>
        </w:rPr>
        <w:t xml:space="preserve">צמוד והנקוב במט"ח. </w:t>
      </w:r>
      <w:r w:rsidR="00B86720">
        <w:rPr>
          <w:rFonts w:ascii="Arial" w:hAnsi="Arial" w:cs="Arial" w:hint="cs"/>
          <w:sz w:val="24"/>
          <w:szCs w:val="24"/>
          <w:rtl/>
        </w:rPr>
        <w:t xml:space="preserve">בנוסף, </w:t>
      </w:r>
      <w:r w:rsidR="00117C7B">
        <w:rPr>
          <w:rFonts w:ascii="Arial" w:hAnsi="Arial" w:cs="Arial" w:hint="cs"/>
          <w:sz w:val="24"/>
          <w:szCs w:val="24"/>
          <w:rtl/>
        </w:rPr>
        <w:t>נרשמו גיוסי</w:t>
      </w:r>
      <w:r w:rsidR="00117C7B" w:rsidRPr="00117C7B">
        <w:rPr>
          <w:rFonts w:ascii="Arial" w:hAnsi="Arial" w:cs="Arial"/>
          <w:sz w:val="24"/>
          <w:szCs w:val="24"/>
          <w:rtl/>
        </w:rPr>
        <w:t xml:space="preserve"> חוב נטו של הלוואות בנקאיות וחוץ בנקאיות </w:t>
      </w:r>
      <w:r w:rsidR="00117C7B">
        <w:rPr>
          <w:rFonts w:ascii="Arial" w:hAnsi="Arial" w:cs="Arial" w:hint="cs"/>
          <w:sz w:val="24"/>
          <w:szCs w:val="24"/>
          <w:rtl/>
        </w:rPr>
        <w:t xml:space="preserve">אשר </w:t>
      </w:r>
      <w:r w:rsidR="00117C7B" w:rsidRPr="00117C7B">
        <w:rPr>
          <w:rFonts w:ascii="Arial" w:hAnsi="Arial" w:cs="Arial"/>
          <w:sz w:val="24"/>
          <w:szCs w:val="24"/>
          <w:rtl/>
        </w:rPr>
        <w:t>קוזזו ברובם כתוצאה מפירעון חוב נטו של אג"ח סחירות ולא סחירות בישראל ואשראי מחו"ל</w:t>
      </w:r>
      <w:r w:rsidR="002319C1" w:rsidRPr="002319C1">
        <w:rPr>
          <w:rFonts w:ascii="Arial" w:hAnsi="Arial" w:cs="Arial" w:hint="cs"/>
          <w:sz w:val="24"/>
          <w:szCs w:val="24"/>
          <w:rtl/>
        </w:rPr>
        <w:t>.</w:t>
      </w:r>
    </w:p>
    <w:p w:rsidR="00286AB2" w:rsidRPr="002319C1" w:rsidRDefault="0089040A" w:rsidP="00B715E7">
      <w:pPr>
        <w:pStyle w:val="a9"/>
        <w:numPr>
          <w:ilvl w:val="0"/>
          <w:numId w:val="8"/>
        </w:numPr>
        <w:bidi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9D3E91">
        <w:rPr>
          <w:rFonts w:ascii="Arial" w:hAnsi="Arial" w:cs="Arial" w:hint="cs"/>
          <w:sz w:val="24"/>
          <w:szCs w:val="24"/>
          <w:rtl/>
        </w:rPr>
        <w:t>דצמבר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הנפיק המגזר העסקי (ללא בנקים וביטוח) אג"ח בשווי של כ-</w:t>
      </w:r>
      <w:r w:rsidR="00B715E7">
        <w:rPr>
          <w:rFonts w:ascii="Arial" w:hAnsi="Arial" w:cs="Arial" w:hint="cs"/>
          <w:sz w:val="24"/>
          <w:szCs w:val="24"/>
          <w:rtl/>
        </w:rPr>
        <w:t>1.8</w:t>
      </w:r>
      <w:r w:rsidR="0064196B">
        <w:rPr>
          <w:rFonts w:ascii="Arial" w:hAnsi="Arial" w:cs="Arial" w:hint="cs"/>
          <w:sz w:val="24"/>
          <w:szCs w:val="24"/>
          <w:rtl/>
        </w:rPr>
        <w:t xml:space="preserve"> מיליארדי ש"ח, </w:t>
      </w:r>
      <w:r w:rsidR="00B157DD">
        <w:rPr>
          <w:rFonts w:ascii="Arial" w:hAnsi="Arial" w:cs="Arial" w:hint="cs"/>
          <w:sz w:val="24"/>
          <w:szCs w:val="24"/>
          <w:rtl/>
        </w:rPr>
        <w:t>כולן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בהנפקות של אג"ח סחירות</w:t>
      </w:r>
      <w:r w:rsidRPr="006373FB">
        <w:rPr>
          <w:rFonts w:ascii="Arial" w:hAnsi="Arial" w:cs="Arial"/>
          <w:sz w:val="24"/>
          <w:szCs w:val="24"/>
        </w:rPr>
        <w:t>;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2319C1" w:rsidRPr="002319C1">
        <w:rPr>
          <w:rFonts w:ascii="Arial" w:hAnsi="Arial" w:cs="Arial" w:hint="cs"/>
          <w:sz w:val="24"/>
          <w:szCs w:val="24"/>
          <w:rtl/>
        </w:rPr>
        <w:t>נמוך משמעותית מ</w:t>
      </w:r>
      <w:r w:rsidR="002319C1" w:rsidRPr="002319C1">
        <w:rPr>
          <w:rFonts w:ascii="Arial" w:hAnsi="Arial" w:cs="Arial"/>
          <w:sz w:val="24"/>
          <w:szCs w:val="24"/>
          <w:rtl/>
        </w:rPr>
        <w:t xml:space="preserve">ממוצע הגיוסים </w:t>
      </w:r>
      <w:r w:rsidR="00B715E7">
        <w:rPr>
          <w:rFonts w:ascii="Arial" w:hAnsi="Arial" w:cs="Arial" w:hint="cs"/>
          <w:sz w:val="24"/>
          <w:szCs w:val="24"/>
          <w:rtl/>
        </w:rPr>
        <w:t>באחד עשר</w:t>
      </w:r>
      <w:r w:rsidR="002319C1" w:rsidRPr="002319C1">
        <w:rPr>
          <w:rFonts w:ascii="Arial" w:hAnsi="Arial" w:cs="Arial" w:hint="cs"/>
          <w:sz w:val="24"/>
          <w:szCs w:val="24"/>
          <w:rtl/>
        </w:rPr>
        <w:t xml:space="preserve"> החודשים הראשונים של השנה המסתכם בכ-</w:t>
      </w:r>
      <w:r w:rsidR="00B715E7">
        <w:rPr>
          <w:rFonts w:ascii="Arial" w:hAnsi="Arial" w:cs="Arial" w:hint="cs"/>
          <w:sz w:val="24"/>
          <w:szCs w:val="24"/>
          <w:rtl/>
        </w:rPr>
        <w:t>2.5</w:t>
      </w:r>
      <w:r w:rsidR="002319C1" w:rsidRPr="002319C1">
        <w:rPr>
          <w:rFonts w:ascii="Arial" w:hAnsi="Arial" w:cs="Arial" w:hint="cs"/>
          <w:sz w:val="24"/>
          <w:szCs w:val="24"/>
          <w:rtl/>
        </w:rPr>
        <w:t xml:space="preserve"> מיליארדים.</w:t>
      </w:r>
    </w:p>
    <w:p w:rsidR="00AC3E61" w:rsidRPr="00480FFC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theme="minorBidi"/>
          <w:rtl/>
        </w:rPr>
      </w:pPr>
      <w:r w:rsidRPr="00966322">
        <w:rPr>
          <w:rFonts w:asciiTheme="minorBidi" w:hAnsiTheme="minorBidi" w:cstheme="minorBidi"/>
          <w:b/>
          <w:bCs/>
          <w:rtl/>
        </w:rPr>
        <w:t>לוח 1: התפלגות החוב של המגזר העסקי</w:t>
      </w:r>
      <w:r w:rsidR="0012175B">
        <w:rPr>
          <w:rFonts w:asciiTheme="minorBidi" w:hAnsiTheme="minorBidi" w:cstheme="minorBidi" w:hint="cs"/>
          <w:sz w:val="22"/>
          <w:szCs w:val="22"/>
          <w:vertAlign w:val="superscript"/>
          <w:rtl/>
        </w:rPr>
        <w:t>1</w:t>
      </w:r>
      <w:r w:rsidR="00303DA6">
        <w:rPr>
          <w:rFonts w:asciiTheme="minorBidi" w:hAnsiTheme="minorBidi" w:cstheme="minorBidi" w:hint="cs"/>
          <w:sz w:val="22"/>
          <w:szCs w:val="22"/>
          <w:vertAlign w:val="superscript"/>
          <w:rtl/>
        </w:rPr>
        <w:t xml:space="preserve"> </w:t>
      </w:r>
    </w:p>
    <w:p w:rsidR="002A60C4" w:rsidRDefault="001B5224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1B5224">
        <w:rPr>
          <w:noProof/>
          <w:rtl/>
        </w:rPr>
        <w:drawing>
          <wp:inline distT="0" distB="0" distL="0" distR="0" wp14:anchorId="15B87964" wp14:editId="6115B762">
            <wp:extent cx="5278120" cy="2371152"/>
            <wp:effectExtent l="0" t="0" r="0" b="0"/>
            <wp:docPr id="6" name="תמונה 6" descr="לוח 1: התפלגות החוב של המגזר העסקי" title="לוח 1: 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7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AC3E61" w:rsidRPr="00966322" w:rsidRDefault="00AC3E61" w:rsidP="003F454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</w:rPr>
      </w:pPr>
      <w:r w:rsidRPr="00966322">
        <w:rPr>
          <w:rFonts w:asciiTheme="minorBidi" w:hAnsiTheme="minorBidi" w:cstheme="minorBidi"/>
          <w:b/>
          <w:bCs/>
          <w:rtl/>
        </w:rPr>
        <w:lastRenderedPageBreak/>
        <w:t>איור 1: החוב הבנקאי והחוץ-בנקאי של הסקטור העסקי – שיעורי השינוי לעומת החודש המקביל בשנה הקודמת</w:t>
      </w:r>
    </w:p>
    <w:p w:rsidR="002A60C4" w:rsidRDefault="001B5224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9D2332A">
            <wp:extent cx="5292090" cy="2603500"/>
            <wp:effectExtent l="0" t="0" r="3810" b="6350"/>
            <wp:docPr id="7" name="תמונה 7" descr="איור 1: החוב הבנקאי והחוץ-בנקאי של הסקטור העסקי – שיעורי השינוי לעומת החודש המקביל בשנה הקודמת" title="איור 1: החוב הבנקאי והחוץ-בנקאי של הסקטור העסקי – שיעורי השינוי לעומת החודש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AC3E61" w:rsidRPr="00751A3D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</w:rPr>
      </w:pPr>
      <w:r w:rsidRPr="00751A3D">
        <w:rPr>
          <w:rFonts w:asciiTheme="minorBidi" w:hAnsiTheme="minorBidi" w:cstheme="minorBidi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89040A" w:rsidRDefault="001B5224" w:rsidP="00AC3E61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1B5224">
        <w:rPr>
          <w:noProof/>
          <w:lang w:eastAsia="en-US"/>
        </w:rPr>
        <w:drawing>
          <wp:inline distT="0" distB="0" distL="0" distR="0" wp14:anchorId="7F868C2D" wp14:editId="67BC9813">
            <wp:extent cx="5278120" cy="1201730"/>
            <wp:effectExtent l="0" t="0" r="0" b="0"/>
            <wp:docPr id="8" name="תמונה 8" descr="לוח 2: התפלגות החוב לפי בסיסי הצמדה" title="לוח 2: 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Default="003F454D" w:rsidP="00AC3E6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357818" w:rsidRDefault="00AC3E61" w:rsidP="003F454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57818">
        <w:rPr>
          <w:rFonts w:asciiTheme="minorBidi" w:hAnsiTheme="minorBidi" w:cstheme="minorBidi"/>
          <w:b/>
          <w:bCs/>
          <w:sz w:val="24"/>
          <w:szCs w:val="24"/>
          <w:rtl/>
        </w:rPr>
        <w:t>איור 2: הנפקות אג"ח של הסקטור העסקי הלא פיננסי</w:t>
      </w:r>
    </w:p>
    <w:p w:rsidR="00F83505" w:rsidRPr="0089040A" w:rsidRDefault="001B5224" w:rsidP="001F1E1B">
      <w:pPr>
        <w:pStyle w:val="a9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US"/>
        </w:rPr>
        <w:drawing>
          <wp:inline distT="0" distB="0" distL="0" distR="0" wp14:anchorId="653170BB">
            <wp:extent cx="5292090" cy="3108960"/>
            <wp:effectExtent l="0" t="0" r="3810" b="0"/>
            <wp:docPr id="9" name="תמונה 9" descr="איור 2: הנפקות אג&quot;ח של הסקטור העסקי הלא פיננסי" title="איור 2: הנפקות אג&quot;ח של הסקטור העסקי הלא 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Arial"/>
          <w:sz w:val="24"/>
          <w:szCs w:val="24"/>
          <w:u w:val="single"/>
          <w:rtl/>
        </w:rPr>
      </w:pPr>
    </w:p>
    <w:p w:rsidR="009F574F" w:rsidRPr="00FD7144" w:rsidRDefault="009F574F" w:rsidP="00FD7144">
      <w:pPr>
        <w:pStyle w:val="a9"/>
        <w:numPr>
          <w:ilvl w:val="0"/>
          <w:numId w:val="16"/>
        </w:num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7144">
        <w:rPr>
          <w:rStyle w:val="10"/>
          <w:rtl/>
        </w:rPr>
        <w:t>החוב של משקי הבית</w:t>
      </w:r>
    </w:p>
    <w:p w:rsidR="002319C1" w:rsidRPr="00324EF2" w:rsidRDefault="002319C1" w:rsidP="006F3512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324EF2">
        <w:rPr>
          <w:rFonts w:ascii="Arial" w:hAnsi="Arial" w:cs="Arial" w:hint="cs"/>
          <w:b/>
          <w:bCs/>
          <w:sz w:val="24"/>
          <w:szCs w:val="24"/>
          <w:rtl/>
        </w:rPr>
        <w:lastRenderedPageBreak/>
        <w:t>יתרת החוב של משקי הבית</w:t>
      </w:r>
      <w:r w:rsidRPr="00324EF2">
        <w:rPr>
          <w:rFonts w:ascii="Arial" w:hAnsi="Arial" w:cs="Arial" w:hint="cs"/>
          <w:sz w:val="24"/>
          <w:szCs w:val="24"/>
          <w:rtl/>
        </w:rPr>
        <w:t xml:space="preserve"> גדלה בחודש </w:t>
      </w:r>
      <w:r w:rsidR="009D3E91">
        <w:rPr>
          <w:rFonts w:ascii="Arial" w:hAnsi="Arial" w:cs="Arial" w:hint="cs"/>
          <w:sz w:val="24"/>
          <w:szCs w:val="24"/>
          <w:rtl/>
        </w:rPr>
        <w:t>נובמבר</w:t>
      </w:r>
      <w:r w:rsidRPr="00324EF2">
        <w:rPr>
          <w:rFonts w:ascii="Arial" w:hAnsi="Arial" w:cs="Arial" w:hint="cs"/>
          <w:sz w:val="24"/>
          <w:szCs w:val="24"/>
          <w:rtl/>
        </w:rPr>
        <w:t xml:space="preserve"> בכ-</w:t>
      </w:r>
      <w:r w:rsidR="006F3512">
        <w:rPr>
          <w:rFonts w:ascii="Arial" w:hAnsi="Arial" w:cs="Arial" w:hint="cs"/>
          <w:sz w:val="24"/>
          <w:szCs w:val="24"/>
          <w:rtl/>
        </w:rPr>
        <w:t>3.1</w:t>
      </w:r>
      <w:r w:rsidRPr="00324EF2">
        <w:rPr>
          <w:rFonts w:ascii="Arial" w:hAnsi="Arial" w:cs="Arial" w:hint="cs"/>
          <w:sz w:val="24"/>
          <w:szCs w:val="24"/>
          <w:rtl/>
        </w:rPr>
        <w:t xml:space="preserve"> מיליארדי ש"ח (0.</w:t>
      </w:r>
      <w:r w:rsidR="006F3512">
        <w:rPr>
          <w:rFonts w:ascii="Arial" w:hAnsi="Arial" w:cs="Arial" w:hint="cs"/>
          <w:sz w:val="24"/>
          <w:szCs w:val="24"/>
          <w:rtl/>
        </w:rPr>
        <w:t>7</w:t>
      </w:r>
      <w:r w:rsidRPr="00324EF2">
        <w:rPr>
          <w:rFonts w:ascii="Arial" w:hAnsi="Arial" w:cs="Arial" w:hint="cs"/>
          <w:sz w:val="24"/>
          <w:szCs w:val="24"/>
          <w:rtl/>
        </w:rPr>
        <w:t>%) והסתכמה בכ-4</w:t>
      </w:r>
      <w:r w:rsidR="006F3512">
        <w:rPr>
          <w:rFonts w:ascii="Arial" w:hAnsi="Arial" w:cs="Arial" w:hint="cs"/>
          <w:sz w:val="24"/>
          <w:szCs w:val="24"/>
          <w:rtl/>
        </w:rPr>
        <w:t>72</w:t>
      </w:r>
      <w:r w:rsidRPr="00324EF2">
        <w:rPr>
          <w:rFonts w:ascii="Arial" w:hAnsi="Arial" w:cs="Arial" w:hint="cs"/>
          <w:sz w:val="24"/>
          <w:szCs w:val="24"/>
          <w:rtl/>
        </w:rPr>
        <w:t xml:space="preserve"> מיליארדים. יתרת החוב לדיור מסך החוב של משקי הבית עלתה בכ-</w:t>
      </w:r>
      <w:r w:rsidR="006F3512">
        <w:rPr>
          <w:rFonts w:ascii="Arial" w:hAnsi="Arial" w:cs="Arial" w:hint="cs"/>
          <w:sz w:val="24"/>
          <w:szCs w:val="24"/>
          <w:rtl/>
        </w:rPr>
        <w:t>2</w:t>
      </w:r>
      <w:r w:rsidRPr="00324EF2">
        <w:rPr>
          <w:rFonts w:ascii="Arial" w:hAnsi="Arial" w:cs="Arial" w:hint="cs"/>
          <w:sz w:val="24"/>
          <w:szCs w:val="24"/>
          <w:rtl/>
        </w:rPr>
        <w:t xml:space="preserve"> מיליארדי ש"ח ועומדת על כ-3</w:t>
      </w:r>
      <w:r w:rsidR="006F3512">
        <w:rPr>
          <w:rFonts w:ascii="Arial" w:hAnsi="Arial" w:cs="Arial" w:hint="cs"/>
          <w:sz w:val="24"/>
          <w:szCs w:val="24"/>
          <w:rtl/>
        </w:rPr>
        <w:t>21</w:t>
      </w:r>
      <w:r w:rsidRPr="00324EF2">
        <w:rPr>
          <w:rFonts w:ascii="Arial" w:hAnsi="Arial" w:cs="Arial" w:hint="cs"/>
          <w:sz w:val="24"/>
          <w:szCs w:val="24"/>
          <w:rtl/>
        </w:rPr>
        <w:t xml:space="preserve"> מיליארדים. </w:t>
      </w:r>
    </w:p>
    <w:p w:rsidR="006B0BAE" w:rsidRPr="00D6658B" w:rsidRDefault="0009315D" w:rsidP="001943E3">
      <w:pPr>
        <w:pStyle w:val="a9"/>
        <w:numPr>
          <w:ilvl w:val="0"/>
          <w:numId w:val="9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D6658B">
        <w:rPr>
          <w:rFonts w:ascii="Arial" w:hAnsi="Arial" w:cs="Arial"/>
          <w:sz w:val="24"/>
          <w:szCs w:val="24"/>
          <w:rtl/>
        </w:rPr>
        <w:t xml:space="preserve">בחודש </w:t>
      </w:r>
      <w:r w:rsidR="009D3E91">
        <w:rPr>
          <w:rFonts w:ascii="Arial" w:hAnsi="Arial" w:cs="Arial"/>
          <w:sz w:val="24"/>
          <w:szCs w:val="24"/>
          <w:rtl/>
        </w:rPr>
        <w:t>דצמבר</w:t>
      </w:r>
      <w:r w:rsidRPr="00D6658B">
        <w:rPr>
          <w:rFonts w:ascii="Arial" w:hAnsi="Arial" w:cs="Arial"/>
          <w:sz w:val="24"/>
          <w:szCs w:val="24"/>
          <w:rtl/>
        </w:rPr>
        <w:t xml:space="preserve"> חלה </w:t>
      </w:r>
      <w:r w:rsidR="003F454D">
        <w:rPr>
          <w:rFonts w:ascii="Arial" w:hAnsi="Arial" w:cs="Arial" w:hint="cs"/>
          <w:sz w:val="24"/>
          <w:szCs w:val="24"/>
          <w:rtl/>
        </w:rPr>
        <w:t>עליה</w:t>
      </w:r>
      <w:r w:rsidR="001943E3">
        <w:rPr>
          <w:rFonts w:ascii="Arial" w:hAnsi="Arial" w:cs="Arial" w:hint="cs"/>
          <w:sz w:val="24"/>
          <w:szCs w:val="24"/>
          <w:rtl/>
        </w:rPr>
        <w:t xml:space="preserve"> עונתית </w:t>
      </w:r>
      <w:r w:rsidRPr="00D6658B">
        <w:rPr>
          <w:rFonts w:ascii="Arial" w:hAnsi="Arial" w:cs="Arial"/>
          <w:sz w:val="24"/>
          <w:szCs w:val="24"/>
          <w:rtl/>
        </w:rPr>
        <w:t xml:space="preserve">בביצועי המשכנתאות </w:t>
      </w:r>
      <w:r w:rsidR="006B0BAE" w:rsidRPr="00D6658B">
        <w:rPr>
          <w:rFonts w:ascii="Arial" w:hAnsi="Arial" w:cs="Arial" w:hint="cs"/>
          <w:sz w:val="24"/>
          <w:szCs w:val="24"/>
          <w:rtl/>
        </w:rPr>
        <w:t>(נטילות של משכנתאות חדשות)</w:t>
      </w:r>
      <w:r w:rsidR="00E9054A">
        <w:rPr>
          <w:rFonts w:ascii="Arial" w:hAnsi="Arial" w:cs="Arial" w:hint="cs"/>
          <w:sz w:val="24"/>
          <w:szCs w:val="24"/>
          <w:rtl/>
        </w:rPr>
        <w:t xml:space="preserve">, </w:t>
      </w:r>
      <w:r w:rsidR="00DA3BD9" w:rsidRPr="00D6658B">
        <w:rPr>
          <w:rFonts w:ascii="Arial" w:hAnsi="Arial" w:cs="Arial" w:hint="cs"/>
          <w:sz w:val="24"/>
          <w:szCs w:val="24"/>
          <w:rtl/>
        </w:rPr>
        <w:t>וה</w:t>
      </w:r>
      <w:r w:rsidR="00955832">
        <w:rPr>
          <w:rFonts w:ascii="Arial" w:hAnsi="Arial" w:cs="Arial" w:hint="cs"/>
          <w:sz w:val="24"/>
          <w:szCs w:val="24"/>
          <w:rtl/>
        </w:rPr>
        <w:t>ם</w:t>
      </w:r>
      <w:r w:rsidR="00DA3BD9" w:rsidRPr="00D6658B">
        <w:rPr>
          <w:rFonts w:ascii="Arial" w:hAnsi="Arial" w:cs="Arial" w:hint="cs"/>
          <w:sz w:val="24"/>
          <w:szCs w:val="24"/>
          <w:rtl/>
        </w:rPr>
        <w:t xml:space="preserve"> </w:t>
      </w:r>
      <w:r w:rsidR="006B0BAE" w:rsidRPr="00D6658B">
        <w:rPr>
          <w:rFonts w:ascii="Arial" w:hAnsi="Arial" w:cs="Arial" w:hint="cs"/>
          <w:sz w:val="24"/>
          <w:szCs w:val="24"/>
          <w:rtl/>
        </w:rPr>
        <w:t>הסתכמו בכ-</w:t>
      </w:r>
      <w:r w:rsidR="00324EF2">
        <w:rPr>
          <w:rFonts w:ascii="Arial" w:hAnsi="Arial" w:cs="Arial" w:hint="cs"/>
          <w:sz w:val="24"/>
          <w:szCs w:val="24"/>
          <w:rtl/>
        </w:rPr>
        <w:t>5.</w:t>
      </w:r>
      <w:r w:rsidR="001943E3">
        <w:rPr>
          <w:rFonts w:ascii="Arial" w:hAnsi="Arial" w:cs="Arial" w:hint="cs"/>
          <w:sz w:val="24"/>
          <w:szCs w:val="24"/>
          <w:rtl/>
        </w:rPr>
        <w:t>6</w:t>
      </w:r>
      <w:r w:rsidR="00902402" w:rsidRPr="00D6658B">
        <w:rPr>
          <w:rFonts w:ascii="Arial" w:hAnsi="Arial" w:cs="Arial" w:hint="cs"/>
          <w:sz w:val="24"/>
          <w:szCs w:val="24"/>
          <w:rtl/>
        </w:rPr>
        <w:t xml:space="preserve"> מיליארדי ש"ח, </w:t>
      </w:r>
      <w:r w:rsidR="001943E3">
        <w:rPr>
          <w:rFonts w:ascii="Arial" w:hAnsi="Arial" w:cs="Arial" w:hint="cs"/>
          <w:sz w:val="24"/>
          <w:szCs w:val="24"/>
          <w:rtl/>
        </w:rPr>
        <w:t>גבוה</w:t>
      </w:r>
      <w:r w:rsidR="00955832">
        <w:rPr>
          <w:rFonts w:ascii="Arial" w:hAnsi="Arial" w:cs="Arial" w:hint="cs"/>
          <w:sz w:val="24"/>
          <w:szCs w:val="24"/>
          <w:rtl/>
        </w:rPr>
        <w:t xml:space="preserve"> </w:t>
      </w:r>
      <w:r w:rsidR="00324EF2">
        <w:rPr>
          <w:rFonts w:ascii="Arial" w:hAnsi="Arial" w:cs="Arial" w:hint="cs"/>
          <w:sz w:val="24"/>
          <w:szCs w:val="24"/>
          <w:rtl/>
        </w:rPr>
        <w:t xml:space="preserve">במקצת </w:t>
      </w:r>
      <w:r w:rsidR="00902402" w:rsidRPr="00D6658B">
        <w:rPr>
          <w:rFonts w:ascii="Arial" w:hAnsi="Arial" w:cs="Arial" w:hint="cs"/>
          <w:sz w:val="24"/>
          <w:szCs w:val="24"/>
          <w:rtl/>
        </w:rPr>
        <w:t>מ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ממוצע הביצועים </w:t>
      </w:r>
      <w:r w:rsidR="00324EF2">
        <w:rPr>
          <w:rFonts w:ascii="Arial" w:hAnsi="Arial" w:cs="Arial" w:hint="cs"/>
          <w:sz w:val="24"/>
          <w:szCs w:val="24"/>
          <w:rtl/>
        </w:rPr>
        <w:t>ב</w:t>
      </w:r>
      <w:r w:rsidR="001943E3">
        <w:rPr>
          <w:rFonts w:ascii="Arial" w:hAnsi="Arial" w:cs="Arial" w:hint="cs"/>
          <w:sz w:val="24"/>
          <w:szCs w:val="24"/>
          <w:rtl/>
        </w:rPr>
        <w:t>אחד עשר</w:t>
      </w:r>
      <w:r w:rsidR="00825878">
        <w:rPr>
          <w:rFonts w:ascii="Arial" w:hAnsi="Arial" w:cs="Arial" w:hint="cs"/>
          <w:sz w:val="24"/>
          <w:szCs w:val="24"/>
          <w:rtl/>
        </w:rPr>
        <w:t xml:space="preserve"> </w:t>
      </w:r>
      <w:r w:rsidR="001943E3">
        <w:rPr>
          <w:rFonts w:ascii="Arial" w:hAnsi="Arial" w:cs="Arial" w:hint="cs"/>
          <w:sz w:val="24"/>
          <w:szCs w:val="24"/>
          <w:rtl/>
        </w:rPr>
        <w:t xml:space="preserve">החודשים </w:t>
      </w:r>
      <w:r w:rsidR="00825878">
        <w:rPr>
          <w:rFonts w:ascii="Arial" w:hAnsi="Arial" w:cs="Arial" w:hint="cs"/>
          <w:sz w:val="24"/>
          <w:szCs w:val="24"/>
          <w:rtl/>
        </w:rPr>
        <w:t xml:space="preserve">הראשונים של השנה </w:t>
      </w:r>
      <w:r w:rsidR="00902402" w:rsidRPr="00D6658B">
        <w:rPr>
          <w:rFonts w:ascii="Arial" w:hAnsi="Arial" w:cs="Arial" w:hint="cs"/>
          <w:sz w:val="24"/>
          <w:szCs w:val="24"/>
          <w:rtl/>
        </w:rPr>
        <w:t>הע</w:t>
      </w:r>
      <w:r w:rsidR="006B0BAE" w:rsidRPr="00D6658B">
        <w:rPr>
          <w:rFonts w:ascii="Arial" w:hAnsi="Arial" w:cs="Arial" w:hint="cs"/>
          <w:sz w:val="24"/>
          <w:szCs w:val="24"/>
          <w:rtl/>
        </w:rPr>
        <w:t>ומד על כ-</w:t>
      </w:r>
      <w:r w:rsidR="00E9054A">
        <w:rPr>
          <w:rFonts w:ascii="Arial" w:hAnsi="Arial" w:cs="Arial" w:hint="cs"/>
          <w:sz w:val="24"/>
          <w:szCs w:val="24"/>
          <w:rtl/>
        </w:rPr>
        <w:t>5.</w:t>
      </w:r>
      <w:r w:rsidR="00324EF2">
        <w:rPr>
          <w:rFonts w:ascii="Arial" w:hAnsi="Arial" w:cs="Arial" w:hint="cs"/>
          <w:sz w:val="24"/>
          <w:szCs w:val="24"/>
          <w:rtl/>
        </w:rPr>
        <w:t>4</w:t>
      </w:r>
      <w:r w:rsidR="006B0BAE" w:rsidRPr="00D6658B">
        <w:rPr>
          <w:rFonts w:ascii="Arial" w:hAnsi="Arial" w:cs="Arial" w:hint="cs"/>
          <w:sz w:val="24"/>
          <w:szCs w:val="24"/>
          <w:rtl/>
        </w:rPr>
        <w:t xml:space="preserve"> מיליארדים.(איור 3)</w:t>
      </w:r>
      <w:r w:rsidR="00CD06A0" w:rsidRPr="00D6658B">
        <w:rPr>
          <w:rFonts w:ascii="Arial" w:hAnsi="Arial" w:cs="Arial" w:hint="cs"/>
          <w:sz w:val="24"/>
          <w:szCs w:val="24"/>
          <w:rtl/>
        </w:rPr>
        <w:t xml:space="preserve">. </w:t>
      </w:r>
    </w:p>
    <w:p w:rsidR="003F454D" w:rsidRDefault="003F454D" w:rsidP="003F454D">
      <w:pPr>
        <w:pStyle w:val="a9"/>
        <w:bidi/>
        <w:spacing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C3E61" w:rsidRPr="00AC3E61" w:rsidRDefault="00AC3E61" w:rsidP="00AC3E61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AC3E61">
        <w:rPr>
          <w:rFonts w:asciiTheme="minorBidi" w:hAnsiTheme="minorBidi" w:cstheme="minorBidi"/>
          <w:b/>
          <w:bCs/>
          <w:sz w:val="24"/>
          <w:szCs w:val="24"/>
          <w:rtl/>
        </w:rPr>
        <w:t>לוח 3: יתרות החוב של משקי הבית</w:t>
      </w:r>
      <w:r w:rsidRPr="00AC3E61">
        <w:rPr>
          <w:rFonts w:asciiTheme="minorBidi" w:hAnsiTheme="minorBidi" w:cstheme="minorBidi"/>
          <w:b/>
          <w:bCs/>
          <w:sz w:val="24"/>
          <w:szCs w:val="24"/>
          <w:vertAlign w:val="superscript"/>
          <w:rtl/>
        </w:rPr>
        <w:t>1</w:t>
      </w:r>
    </w:p>
    <w:p w:rsidR="00AC3E61" w:rsidRPr="003F454D" w:rsidRDefault="001B5224" w:rsidP="00AC3E61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1B5224">
        <w:rPr>
          <w:noProof/>
          <w:rtl/>
          <w:lang w:eastAsia="en-US"/>
        </w:rPr>
        <w:drawing>
          <wp:inline distT="0" distB="0" distL="0" distR="0" wp14:anchorId="785B58A4" wp14:editId="6364894E">
            <wp:extent cx="5278120" cy="4471371"/>
            <wp:effectExtent l="0" t="0" r="0" b="5715"/>
            <wp:docPr id="10" name="תמונה 10" descr="לוח 3: יתרות החוב של משקי הבית1" title="לוח 3: יתרות החוב של משקי הבי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44" w:rsidRDefault="00FD7144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546295" w:rsidRDefault="00BF4C2E" w:rsidP="00A24CC8">
      <w:pPr>
        <w:bidi/>
        <w:spacing w:line="360" w:lineRule="auto"/>
        <w:jc w:val="center"/>
        <w:rPr>
          <w:rFonts w:ascii="Arial" w:hAnsi="Arial" w:cs="Arial"/>
          <w:noProof/>
          <w:sz w:val="24"/>
          <w:szCs w:val="24"/>
          <w:rtl/>
          <w:lang w:eastAsia="en-US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איור 3: נטילת משכנתאות חדשות מבנקים לפי סוגי הצמדה</w:t>
      </w:r>
    </w:p>
    <w:p w:rsidR="00324EF2" w:rsidRPr="00AA0C2F" w:rsidRDefault="001B5224" w:rsidP="00324EF2">
      <w:pPr>
        <w:bidi/>
        <w:spacing w:line="360" w:lineRule="auto"/>
        <w:jc w:val="center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443EEF7F">
            <wp:extent cx="5285740" cy="2719070"/>
            <wp:effectExtent l="0" t="0" r="0" b="5080"/>
            <wp:docPr id="11" name="תמונה 11" descr="איור 3: נטילת משכנתאות חדשות מבנקים לפי סוגי הצמדה" title="איור 3: נטילת משכנתאות חדשות מבנקים לפי סוג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54D" w:rsidRDefault="003F454D" w:rsidP="00F452C6">
      <w:p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9F574F" w:rsidRPr="00FD7144" w:rsidRDefault="009F574F" w:rsidP="00FD7144">
      <w:pPr>
        <w:pStyle w:val="a9"/>
        <w:numPr>
          <w:ilvl w:val="0"/>
          <w:numId w:val="16"/>
        </w:numPr>
        <w:bidi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FD7144">
        <w:rPr>
          <w:rStyle w:val="10"/>
          <w:rtl/>
        </w:rPr>
        <w:t>עלויות החוב במשק</w:t>
      </w:r>
    </w:p>
    <w:p w:rsidR="009E64E6" w:rsidRPr="009E64E6" w:rsidRDefault="009E64E6" w:rsidP="00B65904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9D3E91">
        <w:rPr>
          <w:rFonts w:ascii="Arial" w:hAnsi="Arial" w:cs="Arial" w:hint="cs"/>
          <w:sz w:val="24"/>
          <w:szCs w:val="24"/>
          <w:rtl/>
        </w:rPr>
        <w:t>נובמבר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6407DF">
        <w:rPr>
          <w:rFonts w:ascii="Arial" w:hAnsi="Arial" w:cs="Arial" w:hint="cs"/>
          <w:sz w:val="24"/>
          <w:szCs w:val="24"/>
          <w:rtl/>
        </w:rPr>
        <w:t>ה</w:t>
      </w:r>
      <w:r w:rsidR="00B65904">
        <w:rPr>
          <w:rFonts w:ascii="Arial" w:hAnsi="Arial" w:cs="Arial" w:hint="cs"/>
          <w:sz w:val="24"/>
          <w:szCs w:val="24"/>
          <w:rtl/>
        </w:rPr>
        <w:t>צטמצם</w:t>
      </w:r>
      <w:r w:rsidR="006407DF"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Pr="006373FB">
        <w:rPr>
          <w:rFonts w:ascii="Arial" w:hAnsi="Arial" w:cs="Arial" w:hint="cs"/>
          <w:sz w:val="24"/>
          <w:szCs w:val="24"/>
          <w:rtl/>
        </w:rPr>
        <w:t>פער הריביות במגזר הלא צמוד בכ-</w:t>
      </w:r>
      <w:r w:rsidR="00B65904">
        <w:rPr>
          <w:rFonts w:ascii="Arial" w:hAnsi="Arial" w:cs="Arial" w:hint="cs"/>
          <w:sz w:val="24"/>
          <w:szCs w:val="24"/>
          <w:rtl/>
        </w:rPr>
        <w:t xml:space="preserve">0.04 </w:t>
      </w:r>
      <w:r w:rsidRPr="006373FB">
        <w:rPr>
          <w:rFonts w:ascii="Arial" w:hAnsi="Arial" w:cs="Arial" w:hint="cs"/>
          <w:sz w:val="24"/>
          <w:szCs w:val="24"/>
          <w:rtl/>
        </w:rPr>
        <w:t xml:space="preserve">נק' אחוז, בעיקר כתוצאה </w:t>
      </w:r>
      <w:r>
        <w:rPr>
          <w:rFonts w:ascii="Arial" w:hAnsi="Arial" w:cs="Arial" w:hint="cs"/>
          <w:sz w:val="24"/>
          <w:szCs w:val="24"/>
          <w:rtl/>
        </w:rPr>
        <w:t>מ</w:t>
      </w:r>
      <w:r w:rsidR="00B65904">
        <w:rPr>
          <w:rFonts w:ascii="Arial" w:hAnsi="Arial" w:cs="Arial" w:hint="cs"/>
          <w:sz w:val="24"/>
          <w:szCs w:val="24"/>
          <w:rtl/>
        </w:rPr>
        <w:t xml:space="preserve">ירידה </w:t>
      </w:r>
      <w:r w:rsidRPr="006373FB">
        <w:rPr>
          <w:rFonts w:ascii="Arial" w:hAnsi="Arial" w:cs="Arial" w:hint="cs"/>
          <w:sz w:val="24"/>
          <w:szCs w:val="24"/>
          <w:rtl/>
        </w:rPr>
        <w:t xml:space="preserve">בריבית על יתרת האשראי.  </w:t>
      </w:r>
    </w:p>
    <w:p w:rsidR="006B0BAE" w:rsidRPr="009E64E6" w:rsidRDefault="006B0BAE" w:rsidP="008E4D5D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324EF2">
        <w:rPr>
          <w:rFonts w:ascii="Arial" w:hAnsi="Arial" w:cs="Arial" w:hint="cs"/>
          <w:sz w:val="24"/>
          <w:szCs w:val="24"/>
          <w:rtl/>
        </w:rPr>
        <w:t>התרחב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6407DF"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9D3E91">
        <w:rPr>
          <w:rFonts w:ascii="Arial" w:hAnsi="Arial" w:cs="Arial" w:hint="cs"/>
          <w:sz w:val="24"/>
          <w:szCs w:val="24"/>
          <w:rtl/>
        </w:rPr>
        <w:t>נובמבר</w:t>
      </w:r>
      <w:r w:rsidR="006407DF"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Pr="006373FB">
        <w:rPr>
          <w:rFonts w:ascii="Arial" w:hAnsi="Arial" w:cs="Arial" w:hint="cs"/>
          <w:sz w:val="24"/>
          <w:szCs w:val="24"/>
          <w:rtl/>
        </w:rPr>
        <w:t>בכ-</w:t>
      </w:r>
      <w:r w:rsidR="008E4D5D">
        <w:rPr>
          <w:rFonts w:ascii="Arial" w:hAnsi="Arial" w:cs="Arial" w:hint="cs"/>
          <w:sz w:val="24"/>
          <w:szCs w:val="24"/>
          <w:rtl/>
        </w:rPr>
        <w:t xml:space="preserve">0.05 </w:t>
      </w:r>
      <w:r w:rsidRPr="006373FB">
        <w:rPr>
          <w:rFonts w:ascii="Arial" w:hAnsi="Arial" w:cs="Arial" w:hint="cs"/>
          <w:sz w:val="24"/>
          <w:szCs w:val="24"/>
          <w:rtl/>
        </w:rPr>
        <w:t>נק' אחוז</w:t>
      </w:r>
      <w:r w:rsidR="00051063">
        <w:rPr>
          <w:rFonts w:ascii="Arial" w:hAnsi="Arial" w:cs="Arial" w:hint="cs"/>
          <w:sz w:val="24"/>
          <w:szCs w:val="24"/>
          <w:rtl/>
        </w:rPr>
        <w:t>,</w:t>
      </w:r>
      <w:r w:rsidRPr="006373FB">
        <w:rPr>
          <w:rFonts w:ascii="Arial" w:hAnsi="Arial" w:cs="Arial" w:hint="cs"/>
          <w:sz w:val="24"/>
          <w:szCs w:val="24"/>
          <w:rtl/>
        </w:rPr>
        <w:t xml:space="preserve"> </w:t>
      </w:r>
      <w:r w:rsidR="009E64E6" w:rsidRPr="009E64E6">
        <w:rPr>
          <w:rFonts w:ascii="Arial" w:hAnsi="Arial" w:cs="Arial" w:hint="cs"/>
          <w:sz w:val="24"/>
          <w:szCs w:val="24"/>
          <w:rtl/>
        </w:rPr>
        <w:t xml:space="preserve">זאת עקב עלייה </w:t>
      </w:r>
      <w:r w:rsidR="008900E3">
        <w:rPr>
          <w:rFonts w:ascii="Arial" w:hAnsi="Arial" w:cs="Arial" w:hint="cs"/>
          <w:sz w:val="24"/>
          <w:szCs w:val="24"/>
          <w:rtl/>
        </w:rPr>
        <w:t>גבוהה יותר ב</w:t>
      </w:r>
      <w:r w:rsidR="009E64E6" w:rsidRPr="009E64E6">
        <w:rPr>
          <w:rFonts w:ascii="Arial" w:hAnsi="Arial" w:cs="Arial" w:hint="cs"/>
          <w:sz w:val="24"/>
          <w:szCs w:val="24"/>
          <w:rtl/>
        </w:rPr>
        <w:t xml:space="preserve">ריבית על האשראי הצמוד השולי </w:t>
      </w:r>
      <w:r w:rsidR="008E4D5D">
        <w:rPr>
          <w:rFonts w:ascii="Arial" w:hAnsi="Arial" w:cs="Arial" w:hint="cs"/>
          <w:sz w:val="24"/>
          <w:szCs w:val="24"/>
          <w:rtl/>
        </w:rPr>
        <w:t xml:space="preserve">מאשר העלייה </w:t>
      </w:r>
      <w:r w:rsidR="009E64E6" w:rsidRPr="009E64E6">
        <w:rPr>
          <w:rFonts w:ascii="Arial" w:hAnsi="Arial" w:cs="Arial" w:hint="cs"/>
          <w:sz w:val="24"/>
          <w:szCs w:val="24"/>
          <w:rtl/>
        </w:rPr>
        <w:t>בריבית על הפיקדון הצמוד השולי.</w:t>
      </w:r>
    </w:p>
    <w:p w:rsidR="006B0BAE" w:rsidRPr="006373FB" w:rsidRDefault="006B0BAE" w:rsidP="00DF56CB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המרווח בין תשואת מדד אג"ח החברות הצמוד, תל בונד 60, לבין תשואת האג"ח הממשלתיות הצמודות </w:t>
      </w:r>
      <w:r w:rsidR="00DF56CB">
        <w:rPr>
          <w:rFonts w:ascii="Arial" w:hAnsi="Arial" w:cs="Arial" w:hint="cs"/>
          <w:sz w:val="24"/>
          <w:szCs w:val="24"/>
          <w:rtl/>
        </w:rPr>
        <w:t>התרחב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בחודש </w:t>
      </w:r>
      <w:r w:rsidR="009D3E91">
        <w:rPr>
          <w:rFonts w:ascii="Arial" w:hAnsi="Arial" w:cs="Arial" w:hint="cs"/>
          <w:sz w:val="24"/>
          <w:szCs w:val="24"/>
          <w:rtl/>
        </w:rPr>
        <w:t>דצמבר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עד לרמה של כ-</w:t>
      </w:r>
      <w:r w:rsidR="00DF56CB">
        <w:rPr>
          <w:rFonts w:ascii="Arial" w:hAnsi="Arial" w:cs="Arial" w:hint="cs"/>
          <w:sz w:val="24"/>
          <w:szCs w:val="24"/>
          <w:rtl/>
        </w:rPr>
        <w:t>1.6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   </w:t>
      </w:r>
    </w:p>
    <w:p w:rsidR="00BF4C2E" w:rsidRDefault="006B0BAE" w:rsidP="00790911">
      <w:pPr>
        <w:pStyle w:val="a9"/>
        <w:numPr>
          <w:ilvl w:val="0"/>
          <w:numId w:val="10"/>
        </w:num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6373FB">
        <w:rPr>
          <w:rFonts w:ascii="Arial" w:hAnsi="Arial" w:cs="Arial" w:hint="cs"/>
          <w:sz w:val="24"/>
          <w:szCs w:val="24"/>
          <w:rtl/>
        </w:rPr>
        <w:t xml:space="preserve">בחודש </w:t>
      </w:r>
      <w:r w:rsidR="009D3E91">
        <w:rPr>
          <w:rFonts w:ascii="Arial" w:hAnsi="Arial" w:cs="Arial" w:hint="cs"/>
          <w:sz w:val="24"/>
          <w:szCs w:val="24"/>
          <w:rtl/>
        </w:rPr>
        <w:t>דצמבר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הריבית על משכנתאות חדשות לא צמודות (ריבית משתנה) </w:t>
      </w:r>
      <w:r w:rsidR="009E64E6">
        <w:rPr>
          <w:rFonts w:ascii="Arial" w:hAnsi="Arial" w:cs="Arial" w:hint="cs"/>
          <w:sz w:val="24"/>
          <w:szCs w:val="24"/>
          <w:rtl/>
        </w:rPr>
        <w:t>עלתה בכ-0.0</w:t>
      </w:r>
      <w:r w:rsidR="00790911">
        <w:rPr>
          <w:rFonts w:ascii="Arial" w:hAnsi="Arial" w:cs="Arial" w:hint="cs"/>
          <w:sz w:val="24"/>
          <w:szCs w:val="24"/>
          <w:rtl/>
        </w:rPr>
        <w:t>8</w:t>
      </w:r>
      <w:r w:rsidR="009E64E6">
        <w:rPr>
          <w:rFonts w:ascii="Arial" w:hAnsi="Arial" w:cs="Arial" w:hint="cs"/>
          <w:sz w:val="24"/>
          <w:szCs w:val="24"/>
          <w:rtl/>
        </w:rPr>
        <w:t xml:space="preserve"> נק' אחוז</w:t>
      </w:r>
      <w:r w:rsidRPr="006373FB">
        <w:rPr>
          <w:rFonts w:ascii="Arial" w:hAnsi="Arial" w:cs="Arial" w:hint="cs"/>
          <w:sz w:val="24"/>
          <w:szCs w:val="24"/>
          <w:rtl/>
        </w:rPr>
        <w:t xml:space="preserve">. הריבית הממוצעת על משכנתאות חדשות צמודות למדד (ריבית קבועה) </w:t>
      </w:r>
      <w:r w:rsidR="00790911">
        <w:rPr>
          <w:rFonts w:ascii="Arial" w:hAnsi="Arial" w:cs="Arial" w:hint="cs"/>
          <w:sz w:val="24"/>
          <w:szCs w:val="24"/>
          <w:rtl/>
        </w:rPr>
        <w:t>עלתה גם כן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בכ-</w:t>
      </w:r>
      <w:r w:rsidR="00DB7F65">
        <w:rPr>
          <w:rFonts w:ascii="Arial" w:hAnsi="Arial" w:cs="Arial" w:hint="cs"/>
          <w:sz w:val="24"/>
          <w:szCs w:val="24"/>
          <w:rtl/>
        </w:rPr>
        <w:t>0.</w:t>
      </w:r>
      <w:r w:rsidR="009E64E6">
        <w:rPr>
          <w:rFonts w:ascii="Arial" w:hAnsi="Arial" w:cs="Arial" w:hint="cs"/>
          <w:sz w:val="24"/>
          <w:szCs w:val="24"/>
          <w:rtl/>
        </w:rPr>
        <w:t>0</w:t>
      </w:r>
      <w:r w:rsidR="00790911">
        <w:rPr>
          <w:rFonts w:ascii="Arial" w:hAnsi="Arial" w:cs="Arial" w:hint="cs"/>
          <w:sz w:val="24"/>
          <w:szCs w:val="24"/>
          <w:rtl/>
        </w:rPr>
        <w:t>7</w:t>
      </w:r>
      <w:r w:rsidRPr="006373FB">
        <w:rPr>
          <w:rFonts w:ascii="Arial" w:hAnsi="Arial" w:cs="Arial" w:hint="cs"/>
          <w:sz w:val="24"/>
          <w:szCs w:val="24"/>
          <w:rtl/>
        </w:rPr>
        <w:t xml:space="preserve"> נק' אחוז.</w:t>
      </w:r>
    </w:p>
    <w:p w:rsidR="00EB5CD6" w:rsidRPr="00860503" w:rsidRDefault="00EB5CD6" w:rsidP="00EB5CD6">
      <w:pPr>
        <w:pStyle w:val="a9"/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FD7144" w:rsidRDefault="00FD7144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BF4C2E" w:rsidRPr="003A2FA9" w:rsidRDefault="00BF4C2E" w:rsidP="006407DF">
      <w:pPr>
        <w:pStyle w:val="a9"/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A2FA9">
        <w:rPr>
          <w:rFonts w:asciiTheme="minorBidi" w:hAnsiTheme="minorBidi" w:cstheme="minorBidi"/>
          <w:b/>
          <w:bCs/>
          <w:sz w:val="24"/>
          <w:szCs w:val="24"/>
          <w:rtl/>
        </w:rPr>
        <w:lastRenderedPageBreak/>
        <w:t>לוח 4: עלויות החוב והמרווחים</w:t>
      </w:r>
    </w:p>
    <w:p w:rsidR="00F452C6" w:rsidRDefault="001B5224" w:rsidP="006B0BAE">
      <w:pPr>
        <w:bidi/>
        <w:spacing w:before="24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1B5224">
        <w:rPr>
          <w:noProof/>
          <w:rtl/>
          <w:lang w:eastAsia="en-US"/>
        </w:rPr>
        <w:drawing>
          <wp:inline distT="0" distB="0" distL="0" distR="0" wp14:anchorId="416DA23F" wp14:editId="25F615D1">
            <wp:extent cx="5278120" cy="2529831"/>
            <wp:effectExtent l="0" t="0" r="0" b="4445"/>
            <wp:docPr id="13" name="תמונה 13" descr="לוח 4: עלויות החוב והמרווחים" title="לוח 4: עלויות החוב והמרווח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52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7D" w:rsidRPr="00BF4C2E" w:rsidRDefault="00BF4C2E" w:rsidP="00DB7F65">
      <w:pPr>
        <w:pStyle w:val="a9"/>
        <w:bidi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איור 4: המרווח בין אג"ח חברות צמוד (תל בונד 60) לאג"ח ממשלתי צמוד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br/>
      </w:r>
      <w:r w:rsidRPr="003B388A">
        <w:rPr>
          <w:rFonts w:asciiTheme="minorBidi" w:hAnsiTheme="minorBidi" w:cstheme="minorBidi"/>
          <w:b/>
          <w:bCs/>
          <w:sz w:val="24"/>
          <w:szCs w:val="24"/>
          <w:rtl/>
        </w:rPr>
        <w:t>(ממוצע חודשי)</w:t>
      </w:r>
      <w:r w:rsidR="001B5224"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04CD0015">
            <wp:extent cx="5292090" cy="2688590"/>
            <wp:effectExtent l="0" t="0" r="3810" b="0"/>
            <wp:docPr id="14" name="תמונה 14" descr="איור 4: המרווח בין אג&quot;ח חברות צמוד (תל בונד 60) לאג&quot;ח ממשלתי צמוד &#10;(ממוצע חודשי)" title="איור 4: 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144" w:rsidRDefault="00FD7144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BF4C2E" w:rsidRDefault="00BF4C2E" w:rsidP="00A24CC8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lastRenderedPageBreak/>
        <w:t xml:space="preserve">איור 5: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הלא צמוד</w:t>
      </w:r>
    </w:p>
    <w:p w:rsidR="00BF4C2E" w:rsidRPr="00300E82" w:rsidRDefault="001B5224" w:rsidP="00BF4C2E">
      <w:pPr>
        <w:pStyle w:val="a9"/>
        <w:bidi/>
        <w:spacing w:line="360" w:lineRule="auto"/>
        <w:ind w:left="0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A6D22E6">
            <wp:extent cx="5292090" cy="2725420"/>
            <wp:effectExtent l="0" t="0" r="3810" b="0"/>
            <wp:docPr id="15" name="תמונה 15" descr="איור 5: ריביות על משכנתאות חדשות מבנקים – המגזר הלא צמוד" title="איור 5: ריביות על משכנתאות חדשות מבנקים – המגזר הלא צמ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3" w:rsidRDefault="00860503" w:rsidP="00860503">
      <w:pPr>
        <w:pStyle w:val="a9"/>
        <w:bidi/>
        <w:spacing w:line="360" w:lineRule="auto"/>
        <w:ind w:left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BF4C2E" w:rsidRPr="00B91326" w:rsidRDefault="00BF4C2E" w:rsidP="002A60C4">
      <w:pPr>
        <w:pStyle w:val="a9"/>
        <w:bidi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איור 6: ריביות על משכנתאות חדשות מבנקים </w:t>
      </w:r>
      <w:r w:rsidRPr="00B91326">
        <w:rPr>
          <w:rFonts w:asciiTheme="minorBidi" w:hAnsiTheme="minorBidi" w:cstheme="minorBidi"/>
          <w:b/>
          <w:bCs/>
          <w:sz w:val="24"/>
          <w:szCs w:val="24"/>
          <w:rtl/>
        </w:rPr>
        <w:t>–</w:t>
      </w:r>
      <w:r w:rsidRPr="00B9132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המגזר צמוד המדד</w:t>
      </w:r>
    </w:p>
    <w:p w:rsidR="00AF2FE3" w:rsidRPr="0089040A" w:rsidRDefault="001B5224" w:rsidP="00BF4C2E">
      <w:pPr>
        <w:pStyle w:val="a9"/>
        <w:bidi/>
        <w:spacing w:line="360" w:lineRule="auto"/>
        <w:ind w:left="0"/>
        <w:rPr>
          <w:rFonts w:ascii="Arial" w:hAnsi="Arial" w:cs="Arial"/>
          <w:noProof/>
          <w:sz w:val="24"/>
          <w:szCs w:val="24"/>
          <w:rtl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 wp14:anchorId="6B57EE19">
            <wp:extent cx="5292090" cy="2731135"/>
            <wp:effectExtent l="0" t="0" r="3810" b="0"/>
            <wp:docPr id="16" name="תמונה 16" descr="איור 6: ריביות על משכנתאות חדשות מבנקים – המגזר צמוד המדד" title="איור 6: ריביות על משכנתאות חדשות מבנקים – המגזר צמוד המד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FE3" w:rsidRPr="0089040A" w:rsidRDefault="00AF2FE3" w:rsidP="00D240DB">
      <w:pPr>
        <w:pStyle w:val="a9"/>
        <w:bidi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FC1281" w:rsidRPr="0089040A" w:rsidRDefault="00FC1281" w:rsidP="00D240DB">
      <w:pPr>
        <w:pStyle w:val="a9"/>
        <w:bidi/>
        <w:spacing w:line="360" w:lineRule="auto"/>
        <w:ind w:left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F2699B" w:rsidRPr="0089040A" w:rsidRDefault="006B0BAE" w:rsidP="006B0BAE">
      <w:pPr>
        <w:pStyle w:val="a9"/>
        <w:bidi/>
        <w:spacing w:line="360" w:lineRule="auto"/>
        <w:ind w:left="0"/>
        <w:rPr>
          <w:rFonts w:ascii="Arial" w:hAnsi="Arial" w:cs="Arial"/>
          <w:sz w:val="24"/>
          <w:szCs w:val="24"/>
          <w:rtl/>
        </w:rPr>
      </w:pPr>
      <w:r w:rsidRPr="006B0BAE">
        <w:rPr>
          <w:rFonts w:ascii="Arial" w:hAnsi="Arial" w:cs="Arial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24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יתרות האשראי במשק</w:t>
        </w:r>
      </w:hyperlink>
      <w:r w:rsidRPr="006B0BAE">
        <w:rPr>
          <w:rFonts w:ascii="Arial" w:hAnsi="Arial" w:cs="Arial" w:hint="cs"/>
          <w:sz w:val="24"/>
          <w:szCs w:val="24"/>
          <w:rtl/>
        </w:rPr>
        <w:t xml:space="preserve">, קישור </w:t>
      </w:r>
      <w:hyperlink r:id="rId25" w:history="1">
        <w:r w:rsidRPr="006B0BAE">
          <w:rPr>
            <w:rStyle w:val="Hyperlink"/>
            <w:rFonts w:ascii="Arial" w:hAnsi="Arial" w:cs="Arial" w:hint="cs"/>
            <w:sz w:val="24"/>
            <w:szCs w:val="24"/>
            <w:rtl/>
          </w:rPr>
          <w:t>לנתוני משכנתאות</w:t>
        </w:r>
      </w:hyperlink>
      <w:r w:rsidRPr="006B0BAE">
        <w:rPr>
          <w:rFonts w:ascii="Arial" w:hAnsi="Arial" w:cs="Arial" w:hint="cs"/>
          <w:sz w:val="24"/>
          <w:szCs w:val="24"/>
          <w:rtl/>
        </w:rPr>
        <w:t>.</w:t>
      </w:r>
    </w:p>
    <w:sectPr w:rsidR="00F2699B" w:rsidRPr="0089040A" w:rsidSect="00D22AF3">
      <w:footerReference w:type="default" r:id="rId26"/>
      <w:pgSz w:w="11906" w:h="16838"/>
      <w:pgMar w:top="1418" w:right="1797" w:bottom="907" w:left="1797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25" w:rsidRDefault="001E0D25" w:rsidP="00C04A6B">
      <w:r>
        <w:separator/>
      </w:r>
    </w:p>
  </w:endnote>
  <w:endnote w:type="continuationSeparator" w:id="0">
    <w:p w:rsidR="001E0D25" w:rsidRDefault="001E0D25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Arial" w:hAnsi="Arial" w:cs="Arial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E457B" w:rsidRDefault="00507193" w:rsidP="000B083E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Arial"/>
                <w:rtl/>
                <w:cs/>
              </w:rPr>
            </w:pPr>
            <w:r w:rsidRPr="00CE457B">
              <w:rPr>
                <w:rFonts w:ascii="Arial" w:hAnsi="Arial" w:cs="Arial"/>
                <w:rtl/>
                <w:cs/>
                <w:lang w:val="he-IL"/>
              </w:rPr>
              <w:t>התפתחות החוב במשק בחודשים</w:t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9D3E91">
              <w:rPr>
                <w:rFonts w:ascii="Arial" w:hAnsi="Arial" w:cs="Arial"/>
                <w:rtl/>
                <w:lang w:val="he-IL"/>
              </w:rPr>
              <w:t>נובמבר</w:t>
            </w:r>
            <w:r w:rsidRPr="00CE457B">
              <w:rPr>
                <w:rFonts w:ascii="Arial" w:hAnsi="Arial" w:cs="Arial"/>
                <w:rtl/>
                <w:lang w:val="he-IL"/>
              </w:rPr>
              <w:t>-</w:t>
            </w:r>
            <w:r w:rsidR="009D3E91">
              <w:rPr>
                <w:rFonts w:ascii="Arial" w:hAnsi="Arial" w:cs="Arial"/>
                <w:rtl/>
                <w:lang w:val="he-IL"/>
              </w:rPr>
              <w:t>דצמבר</w:t>
            </w:r>
            <w:r w:rsidR="009F574F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B110D9" w:rsidRPr="00CE457B">
              <w:rPr>
                <w:rFonts w:ascii="Arial" w:hAnsi="Arial" w:cs="Arial"/>
                <w:rtl/>
                <w:lang w:val="he-IL"/>
              </w:rPr>
              <w:t>2015</w:t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</w:t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ab/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ab/>
              <w:t xml:space="preserve">עמוד </w:t>
            </w:r>
            <w:r w:rsidR="002438E2" w:rsidRPr="00CE457B">
              <w:rPr>
                <w:rFonts w:ascii="Arial" w:hAnsi="Arial" w:cs="Arial"/>
              </w:rPr>
              <w:fldChar w:fldCharType="begin"/>
            </w:r>
            <w:r w:rsidR="002438E2" w:rsidRPr="00CE457B">
              <w:rPr>
                <w:rFonts w:ascii="Arial" w:hAnsi="Arial" w:cs="Arial"/>
                <w:rtl/>
                <w:cs/>
              </w:rPr>
              <w:instrText>PAGE</w:instrText>
            </w:r>
            <w:r w:rsidR="002438E2" w:rsidRPr="00CE457B">
              <w:rPr>
                <w:rFonts w:ascii="Arial" w:hAnsi="Arial" w:cs="Arial"/>
              </w:rPr>
              <w:fldChar w:fldCharType="separate"/>
            </w:r>
            <w:r w:rsidR="00FD7144">
              <w:rPr>
                <w:rFonts w:ascii="Arial" w:hAnsi="Arial" w:cs="Arial"/>
                <w:noProof/>
                <w:rtl/>
              </w:rPr>
              <w:t>2</w:t>
            </w:r>
            <w:r w:rsidR="002438E2" w:rsidRPr="00CE457B">
              <w:rPr>
                <w:rFonts w:ascii="Arial" w:hAnsi="Arial" w:cs="Arial"/>
              </w:rPr>
              <w:fldChar w:fldCharType="end"/>
            </w:r>
            <w:r w:rsidR="002438E2" w:rsidRPr="00CE457B">
              <w:rPr>
                <w:rFonts w:ascii="Arial" w:hAnsi="Arial" w:cs="Arial"/>
                <w:rtl/>
                <w:cs/>
                <w:lang w:val="he-IL"/>
              </w:rPr>
              <w:t xml:space="preserve"> מתוך </w:t>
            </w:r>
            <w:r w:rsidR="002438E2" w:rsidRPr="00CE457B">
              <w:rPr>
                <w:rFonts w:ascii="Arial" w:hAnsi="Arial" w:cs="Arial"/>
              </w:rPr>
              <w:fldChar w:fldCharType="begin"/>
            </w:r>
            <w:r w:rsidR="002438E2" w:rsidRPr="00CE457B">
              <w:rPr>
                <w:rFonts w:ascii="Arial" w:hAnsi="Arial" w:cs="Arial"/>
                <w:rtl/>
                <w:cs/>
              </w:rPr>
              <w:instrText>NUMPAGES</w:instrText>
            </w:r>
            <w:r w:rsidR="002438E2" w:rsidRPr="00CE457B">
              <w:rPr>
                <w:rFonts w:ascii="Arial" w:hAnsi="Arial" w:cs="Arial"/>
              </w:rPr>
              <w:fldChar w:fldCharType="separate"/>
            </w:r>
            <w:r w:rsidR="00FD7144">
              <w:rPr>
                <w:rFonts w:ascii="Arial" w:hAnsi="Arial" w:cs="Arial"/>
                <w:noProof/>
                <w:rtl/>
              </w:rPr>
              <w:t>7</w:t>
            </w:r>
            <w:r w:rsidR="002438E2" w:rsidRPr="00CE457B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C04A6B" w:rsidRPr="00CE457B" w:rsidRDefault="00C04A6B">
    <w:pPr>
      <w:pStyle w:val="a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25" w:rsidRDefault="001E0D25" w:rsidP="00C04A6B">
      <w:r>
        <w:separator/>
      </w:r>
    </w:p>
  </w:footnote>
  <w:footnote w:type="continuationSeparator" w:id="0">
    <w:p w:rsidR="001E0D25" w:rsidRDefault="001E0D25" w:rsidP="00C04A6B">
      <w:r>
        <w:continuationSeparator/>
      </w:r>
    </w:p>
  </w:footnote>
  <w:footnote w:id="1">
    <w:p w:rsidR="00B7326C" w:rsidRDefault="000265B2" w:rsidP="00B7326C">
      <w:pPr>
        <w:bidi/>
        <w:rPr>
          <w:rFonts w:hint="cs"/>
          <w:rtl/>
        </w:rPr>
      </w:pPr>
      <w:r w:rsidRPr="00B7326C">
        <w:rPr>
          <w:rStyle w:val="af1"/>
          <w:rFonts w:asciiTheme="minorBidi" w:hAnsiTheme="minorBidi" w:cstheme="minorBidi"/>
        </w:rPr>
        <w:footnoteRef/>
      </w:r>
      <w:r w:rsidRPr="00B7326C">
        <w:rPr>
          <w:rFonts w:asciiTheme="minorBidi" w:hAnsiTheme="minorBidi" w:cstheme="minorBidi"/>
          <w:rtl/>
        </w:rPr>
        <w:t xml:space="preserve"> </w:t>
      </w:r>
      <w:hyperlink r:id="rId1" w:tooltip="מאגרים של בנק ישראל  למידע ולסטטיסטיקה נתונים היסטוריים לגבי מערכת החוב והאשראי במשק" w:history="1">
        <w:r w:rsidR="00B7326C" w:rsidRPr="00B7326C">
          <w:rPr>
            <w:rStyle w:val="Hyperlink"/>
          </w:rPr>
          <w:t>http://www.boi.org.il/he/DataAndStatistics/Pages/MainPage.aspx?Level=4&amp;Sid=53&amp;SubjectType=2</w:t>
        </w:r>
      </w:hyperlink>
    </w:p>
    <w:p w:rsidR="000265B2" w:rsidRPr="000265B2" w:rsidRDefault="000265B2" w:rsidP="00B7326C">
      <w:pPr>
        <w:pStyle w:val="af"/>
        <w:bidi/>
        <w:rPr>
          <w:rFonts w:asciiTheme="minorBidi" w:hAnsiTheme="minorBidi" w:cstheme="minorBidi"/>
          <w:rtl/>
        </w:rPr>
      </w:pPr>
    </w:p>
  </w:footnote>
  <w:footnote w:id="2">
    <w:p w:rsidR="00992E1E" w:rsidRDefault="00992E1E" w:rsidP="00992E1E">
      <w:pPr>
        <w:pStyle w:val="af"/>
        <w:bidi/>
        <w:rPr>
          <w:rtl/>
        </w:rPr>
      </w:pPr>
      <w:r>
        <w:rPr>
          <w:rStyle w:val="af1"/>
        </w:rPr>
        <w:footnoteRef/>
      </w:r>
      <w:r>
        <w:t xml:space="preserve"> </w:t>
      </w:r>
      <w:r w:rsidRPr="00992E1E">
        <w:rPr>
          <w:rFonts w:ascii="Arial" w:hAnsi="Arial" w:cs="Arial" w:hint="cs"/>
          <w:rtl/>
        </w:rPr>
        <w:t>לפרטים נוספים ראו לוחות חוב באתר הבנק.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ADAC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07820"/>
    <w:multiLevelType w:val="hybridMultilevel"/>
    <w:tmpl w:val="9C1C656C"/>
    <w:lvl w:ilvl="0" w:tplc="8D2A079E">
      <w:start w:val="1"/>
      <w:numFmt w:val="hebrew1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34AED"/>
    <w:multiLevelType w:val="hybridMultilevel"/>
    <w:tmpl w:val="5304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7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318A"/>
    <w:rsid w:val="00016772"/>
    <w:rsid w:val="00016D86"/>
    <w:rsid w:val="00017279"/>
    <w:rsid w:val="00020DFD"/>
    <w:rsid w:val="000265B2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911D7"/>
    <w:rsid w:val="0009315D"/>
    <w:rsid w:val="00097E8B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F0D97"/>
    <w:rsid w:val="000F3A6E"/>
    <w:rsid w:val="000F5653"/>
    <w:rsid w:val="000F5E2D"/>
    <w:rsid w:val="000F7FFC"/>
    <w:rsid w:val="0010106E"/>
    <w:rsid w:val="0010731B"/>
    <w:rsid w:val="00107D10"/>
    <w:rsid w:val="00115A82"/>
    <w:rsid w:val="0011712D"/>
    <w:rsid w:val="00117C7B"/>
    <w:rsid w:val="0012175B"/>
    <w:rsid w:val="00121FF7"/>
    <w:rsid w:val="00125E7E"/>
    <w:rsid w:val="00127335"/>
    <w:rsid w:val="00127CE7"/>
    <w:rsid w:val="001316A1"/>
    <w:rsid w:val="00137006"/>
    <w:rsid w:val="001431B5"/>
    <w:rsid w:val="001503F7"/>
    <w:rsid w:val="001510D4"/>
    <w:rsid w:val="001543AD"/>
    <w:rsid w:val="00177686"/>
    <w:rsid w:val="00180E8A"/>
    <w:rsid w:val="00186495"/>
    <w:rsid w:val="0018670E"/>
    <w:rsid w:val="0019015A"/>
    <w:rsid w:val="00193A25"/>
    <w:rsid w:val="001943E3"/>
    <w:rsid w:val="0019703C"/>
    <w:rsid w:val="001B15F7"/>
    <w:rsid w:val="001B5224"/>
    <w:rsid w:val="001C5132"/>
    <w:rsid w:val="001D0A90"/>
    <w:rsid w:val="001D0E31"/>
    <w:rsid w:val="001D364B"/>
    <w:rsid w:val="001D7646"/>
    <w:rsid w:val="001D7A17"/>
    <w:rsid w:val="001E0D25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2046E"/>
    <w:rsid w:val="002232D2"/>
    <w:rsid w:val="002237E5"/>
    <w:rsid w:val="002319C1"/>
    <w:rsid w:val="002430F6"/>
    <w:rsid w:val="002438E2"/>
    <w:rsid w:val="00246382"/>
    <w:rsid w:val="00250CB1"/>
    <w:rsid w:val="00251288"/>
    <w:rsid w:val="00252CD1"/>
    <w:rsid w:val="00254010"/>
    <w:rsid w:val="0025408D"/>
    <w:rsid w:val="00264230"/>
    <w:rsid w:val="00265361"/>
    <w:rsid w:val="0027192B"/>
    <w:rsid w:val="00274A6A"/>
    <w:rsid w:val="00283EC9"/>
    <w:rsid w:val="00286AB2"/>
    <w:rsid w:val="00287BE1"/>
    <w:rsid w:val="00287E45"/>
    <w:rsid w:val="00292BAD"/>
    <w:rsid w:val="00295751"/>
    <w:rsid w:val="00296A2E"/>
    <w:rsid w:val="002972B4"/>
    <w:rsid w:val="002A2B75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56B"/>
    <w:rsid w:val="002D0FD7"/>
    <w:rsid w:val="002D1779"/>
    <w:rsid w:val="002D3C1F"/>
    <w:rsid w:val="002E20F7"/>
    <w:rsid w:val="002E5ADF"/>
    <w:rsid w:val="002E7A87"/>
    <w:rsid w:val="002F2629"/>
    <w:rsid w:val="002F6C4C"/>
    <w:rsid w:val="00300E82"/>
    <w:rsid w:val="003018A7"/>
    <w:rsid w:val="00303DA6"/>
    <w:rsid w:val="003055E7"/>
    <w:rsid w:val="00310281"/>
    <w:rsid w:val="00317948"/>
    <w:rsid w:val="00320FD1"/>
    <w:rsid w:val="00323164"/>
    <w:rsid w:val="00324EF2"/>
    <w:rsid w:val="0033214F"/>
    <w:rsid w:val="00333F8E"/>
    <w:rsid w:val="0034285A"/>
    <w:rsid w:val="003439F5"/>
    <w:rsid w:val="0035070F"/>
    <w:rsid w:val="003509EF"/>
    <w:rsid w:val="003537B9"/>
    <w:rsid w:val="003576B2"/>
    <w:rsid w:val="00357818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88A"/>
    <w:rsid w:val="003B4CCA"/>
    <w:rsid w:val="003B61BA"/>
    <w:rsid w:val="003B6ADF"/>
    <w:rsid w:val="003C751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20F93"/>
    <w:rsid w:val="00424BF3"/>
    <w:rsid w:val="004268D2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2EDE"/>
    <w:rsid w:val="00480FFC"/>
    <w:rsid w:val="00482D0E"/>
    <w:rsid w:val="00484208"/>
    <w:rsid w:val="00497BD0"/>
    <w:rsid w:val="004B22E7"/>
    <w:rsid w:val="004B5D8D"/>
    <w:rsid w:val="004B6112"/>
    <w:rsid w:val="004C705A"/>
    <w:rsid w:val="004D0866"/>
    <w:rsid w:val="004D216C"/>
    <w:rsid w:val="004D285B"/>
    <w:rsid w:val="004D63EE"/>
    <w:rsid w:val="004D746B"/>
    <w:rsid w:val="004E2566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13C0C"/>
    <w:rsid w:val="00516A2C"/>
    <w:rsid w:val="00520122"/>
    <w:rsid w:val="00521DE3"/>
    <w:rsid w:val="00532713"/>
    <w:rsid w:val="0054311D"/>
    <w:rsid w:val="00546295"/>
    <w:rsid w:val="0056103E"/>
    <w:rsid w:val="0056258A"/>
    <w:rsid w:val="00572730"/>
    <w:rsid w:val="00577146"/>
    <w:rsid w:val="005816B4"/>
    <w:rsid w:val="00585612"/>
    <w:rsid w:val="005859B8"/>
    <w:rsid w:val="005913CE"/>
    <w:rsid w:val="005921D5"/>
    <w:rsid w:val="005958D0"/>
    <w:rsid w:val="00596389"/>
    <w:rsid w:val="005A199D"/>
    <w:rsid w:val="005A4B9C"/>
    <w:rsid w:val="005A5B31"/>
    <w:rsid w:val="005A7029"/>
    <w:rsid w:val="005B24B3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6028EA"/>
    <w:rsid w:val="006038EA"/>
    <w:rsid w:val="00604E10"/>
    <w:rsid w:val="00612DAA"/>
    <w:rsid w:val="00613223"/>
    <w:rsid w:val="00614095"/>
    <w:rsid w:val="006176B8"/>
    <w:rsid w:val="006212AD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A0B"/>
    <w:rsid w:val="00675FDA"/>
    <w:rsid w:val="00676F2C"/>
    <w:rsid w:val="006816CE"/>
    <w:rsid w:val="0069062B"/>
    <w:rsid w:val="00691556"/>
    <w:rsid w:val="00695778"/>
    <w:rsid w:val="006961B2"/>
    <w:rsid w:val="00697C2E"/>
    <w:rsid w:val="006A16E5"/>
    <w:rsid w:val="006A4A2C"/>
    <w:rsid w:val="006A66B4"/>
    <w:rsid w:val="006B0BAE"/>
    <w:rsid w:val="006B624E"/>
    <w:rsid w:val="006B6ACF"/>
    <w:rsid w:val="006C01FB"/>
    <w:rsid w:val="006D7644"/>
    <w:rsid w:val="006E56BA"/>
    <w:rsid w:val="006E7116"/>
    <w:rsid w:val="006E7BF6"/>
    <w:rsid w:val="006F0620"/>
    <w:rsid w:val="006F3512"/>
    <w:rsid w:val="006F5E34"/>
    <w:rsid w:val="007102C4"/>
    <w:rsid w:val="00725208"/>
    <w:rsid w:val="00737755"/>
    <w:rsid w:val="00744938"/>
    <w:rsid w:val="007474E6"/>
    <w:rsid w:val="0074787D"/>
    <w:rsid w:val="00750362"/>
    <w:rsid w:val="00751A3D"/>
    <w:rsid w:val="00752B5B"/>
    <w:rsid w:val="00760730"/>
    <w:rsid w:val="00762D5A"/>
    <w:rsid w:val="00763347"/>
    <w:rsid w:val="0077670A"/>
    <w:rsid w:val="0077779F"/>
    <w:rsid w:val="00781240"/>
    <w:rsid w:val="0078308C"/>
    <w:rsid w:val="0078308F"/>
    <w:rsid w:val="00784F91"/>
    <w:rsid w:val="0078511C"/>
    <w:rsid w:val="00790911"/>
    <w:rsid w:val="0079675B"/>
    <w:rsid w:val="007A2DDB"/>
    <w:rsid w:val="007B174B"/>
    <w:rsid w:val="007B45DE"/>
    <w:rsid w:val="007C2446"/>
    <w:rsid w:val="007C26CE"/>
    <w:rsid w:val="007C3769"/>
    <w:rsid w:val="007D32BF"/>
    <w:rsid w:val="007E13A9"/>
    <w:rsid w:val="007E14D9"/>
    <w:rsid w:val="007E18EE"/>
    <w:rsid w:val="007E5070"/>
    <w:rsid w:val="007E7A16"/>
    <w:rsid w:val="007F12DE"/>
    <w:rsid w:val="007F2CEB"/>
    <w:rsid w:val="007F3842"/>
    <w:rsid w:val="007F5009"/>
    <w:rsid w:val="007F6557"/>
    <w:rsid w:val="007F7A89"/>
    <w:rsid w:val="00802DD5"/>
    <w:rsid w:val="008065E2"/>
    <w:rsid w:val="00806850"/>
    <w:rsid w:val="00811358"/>
    <w:rsid w:val="008121D7"/>
    <w:rsid w:val="00814206"/>
    <w:rsid w:val="00825878"/>
    <w:rsid w:val="008259B7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72529"/>
    <w:rsid w:val="008737F5"/>
    <w:rsid w:val="00877900"/>
    <w:rsid w:val="00880DF0"/>
    <w:rsid w:val="00881187"/>
    <w:rsid w:val="00881EF7"/>
    <w:rsid w:val="00882FBA"/>
    <w:rsid w:val="00883762"/>
    <w:rsid w:val="0088690D"/>
    <w:rsid w:val="008900E3"/>
    <w:rsid w:val="0089040A"/>
    <w:rsid w:val="008A6440"/>
    <w:rsid w:val="008B0765"/>
    <w:rsid w:val="008B10B8"/>
    <w:rsid w:val="008B29D4"/>
    <w:rsid w:val="008B2B4C"/>
    <w:rsid w:val="008B3B63"/>
    <w:rsid w:val="008B55E9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F47C4"/>
    <w:rsid w:val="0090225A"/>
    <w:rsid w:val="00902402"/>
    <w:rsid w:val="0090346B"/>
    <w:rsid w:val="009065F1"/>
    <w:rsid w:val="00912494"/>
    <w:rsid w:val="00915424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516D8"/>
    <w:rsid w:val="00955832"/>
    <w:rsid w:val="00961EFC"/>
    <w:rsid w:val="00966322"/>
    <w:rsid w:val="00967A2D"/>
    <w:rsid w:val="0097338C"/>
    <w:rsid w:val="00973B12"/>
    <w:rsid w:val="00975122"/>
    <w:rsid w:val="00977BED"/>
    <w:rsid w:val="009818C2"/>
    <w:rsid w:val="00985045"/>
    <w:rsid w:val="00992E1E"/>
    <w:rsid w:val="00995039"/>
    <w:rsid w:val="00996693"/>
    <w:rsid w:val="009A3808"/>
    <w:rsid w:val="009A54F7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D3E91"/>
    <w:rsid w:val="009E1076"/>
    <w:rsid w:val="009E64E6"/>
    <w:rsid w:val="009F574F"/>
    <w:rsid w:val="00A013E1"/>
    <w:rsid w:val="00A03BFC"/>
    <w:rsid w:val="00A17283"/>
    <w:rsid w:val="00A24CC8"/>
    <w:rsid w:val="00A30DCC"/>
    <w:rsid w:val="00A322B9"/>
    <w:rsid w:val="00A32A72"/>
    <w:rsid w:val="00A333C5"/>
    <w:rsid w:val="00A334F6"/>
    <w:rsid w:val="00A44417"/>
    <w:rsid w:val="00A45303"/>
    <w:rsid w:val="00A46B0C"/>
    <w:rsid w:val="00A54983"/>
    <w:rsid w:val="00A57161"/>
    <w:rsid w:val="00A60F5F"/>
    <w:rsid w:val="00A65531"/>
    <w:rsid w:val="00A73792"/>
    <w:rsid w:val="00A7630F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70E3"/>
    <w:rsid w:val="00AB409F"/>
    <w:rsid w:val="00AB44C3"/>
    <w:rsid w:val="00AB5B06"/>
    <w:rsid w:val="00AC3E61"/>
    <w:rsid w:val="00AC47DE"/>
    <w:rsid w:val="00AC75BF"/>
    <w:rsid w:val="00AD1348"/>
    <w:rsid w:val="00AD4F67"/>
    <w:rsid w:val="00AD5FFC"/>
    <w:rsid w:val="00AD655A"/>
    <w:rsid w:val="00AD759C"/>
    <w:rsid w:val="00AE591E"/>
    <w:rsid w:val="00AF0AD5"/>
    <w:rsid w:val="00AF126A"/>
    <w:rsid w:val="00AF2FE3"/>
    <w:rsid w:val="00AF5FCE"/>
    <w:rsid w:val="00AF7ADE"/>
    <w:rsid w:val="00B01C0D"/>
    <w:rsid w:val="00B03DCA"/>
    <w:rsid w:val="00B058F3"/>
    <w:rsid w:val="00B072ED"/>
    <w:rsid w:val="00B110D9"/>
    <w:rsid w:val="00B1299B"/>
    <w:rsid w:val="00B14475"/>
    <w:rsid w:val="00B157DD"/>
    <w:rsid w:val="00B24F7C"/>
    <w:rsid w:val="00B24FBE"/>
    <w:rsid w:val="00B2503D"/>
    <w:rsid w:val="00B266BE"/>
    <w:rsid w:val="00B27269"/>
    <w:rsid w:val="00B2798D"/>
    <w:rsid w:val="00B27A62"/>
    <w:rsid w:val="00B31EFB"/>
    <w:rsid w:val="00B34583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4550"/>
    <w:rsid w:val="00BB4F5C"/>
    <w:rsid w:val="00BB7F49"/>
    <w:rsid w:val="00BD1037"/>
    <w:rsid w:val="00BD3A1C"/>
    <w:rsid w:val="00BD55EC"/>
    <w:rsid w:val="00BE235C"/>
    <w:rsid w:val="00BE3716"/>
    <w:rsid w:val="00BE49A2"/>
    <w:rsid w:val="00BF0E66"/>
    <w:rsid w:val="00BF4C2E"/>
    <w:rsid w:val="00C016F6"/>
    <w:rsid w:val="00C04A6B"/>
    <w:rsid w:val="00C05088"/>
    <w:rsid w:val="00C06754"/>
    <w:rsid w:val="00C1139C"/>
    <w:rsid w:val="00C22E09"/>
    <w:rsid w:val="00C259B6"/>
    <w:rsid w:val="00C25C1C"/>
    <w:rsid w:val="00C411E7"/>
    <w:rsid w:val="00C44E9B"/>
    <w:rsid w:val="00C45C9C"/>
    <w:rsid w:val="00C4703E"/>
    <w:rsid w:val="00C47A82"/>
    <w:rsid w:val="00C5174C"/>
    <w:rsid w:val="00C51835"/>
    <w:rsid w:val="00C56B85"/>
    <w:rsid w:val="00C6135C"/>
    <w:rsid w:val="00C656C3"/>
    <w:rsid w:val="00C71943"/>
    <w:rsid w:val="00C84B20"/>
    <w:rsid w:val="00C87F91"/>
    <w:rsid w:val="00C9110B"/>
    <w:rsid w:val="00C9322A"/>
    <w:rsid w:val="00C94676"/>
    <w:rsid w:val="00CA10CF"/>
    <w:rsid w:val="00CA6DAB"/>
    <w:rsid w:val="00CB040E"/>
    <w:rsid w:val="00CB187C"/>
    <w:rsid w:val="00CB1B2B"/>
    <w:rsid w:val="00CB39D9"/>
    <w:rsid w:val="00CB450C"/>
    <w:rsid w:val="00CC1A24"/>
    <w:rsid w:val="00CC6D6D"/>
    <w:rsid w:val="00CD06A0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2F7"/>
    <w:rsid w:val="00D04887"/>
    <w:rsid w:val="00D06C99"/>
    <w:rsid w:val="00D168B0"/>
    <w:rsid w:val="00D213B7"/>
    <w:rsid w:val="00D2144B"/>
    <w:rsid w:val="00D22AF3"/>
    <w:rsid w:val="00D240DB"/>
    <w:rsid w:val="00D25967"/>
    <w:rsid w:val="00D27CB9"/>
    <w:rsid w:val="00D30667"/>
    <w:rsid w:val="00D31183"/>
    <w:rsid w:val="00D31962"/>
    <w:rsid w:val="00D34A00"/>
    <w:rsid w:val="00D3721C"/>
    <w:rsid w:val="00D37BCB"/>
    <w:rsid w:val="00D40D4B"/>
    <w:rsid w:val="00D446DF"/>
    <w:rsid w:val="00D50029"/>
    <w:rsid w:val="00D541E8"/>
    <w:rsid w:val="00D56E66"/>
    <w:rsid w:val="00D577AA"/>
    <w:rsid w:val="00D57DF3"/>
    <w:rsid w:val="00D656CB"/>
    <w:rsid w:val="00D66172"/>
    <w:rsid w:val="00D6658B"/>
    <w:rsid w:val="00D71E63"/>
    <w:rsid w:val="00D80B77"/>
    <w:rsid w:val="00D81061"/>
    <w:rsid w:val="00D81660"/>
    <w:rsid w:val="00D81866"/>
    <w:rsid w:val="00D86BF0"/>
    <w:rsid w:val="00D87DC1"/>
    <w:rsid w:val="00D95186"/>
    <w:rsid w:val="00DA01D8"/>
    <w:rsid w:val="00DA3BD9"/>
    <w:rsid w:val="00DA3CE5"/>
    <w:rsid w:val="00DB2E03"/>
    <w:rsid w:val="00DB5322"/>
    <w:rsid w:val="00DB630B"/>
    <w:rsid w:val="00DB6C55"/>
    <w:rsid w:val="00DB7F65"/>
    <w:rsid w:val="00DC3899"/>
    <w:rsid w:val="00DC3BC8"/>
    <w:rsid w:val="00DD0FB0"/>
    <w:rsid w:val="00DD100F"/>
    <w:rsid w:val="00DD5923"/>
    <w:rsid w:val="00DD599F"/>
    <w:rsid w:val="00DE4BB3"/>
    <w:rsid w:val="00DE6ABB"/>
    <w:rsid w:val="00DF4120"/>
    <w:rsid w:val="00DF56CB"/>
    <w:rsid w:val="00E01030"/>
    <w:rsid w:val="00E10836"/>
    <w:rsid w:val="00E13412"/>
    <w:rsid w:val="00E15796"/>
    <w:rsid w:val="00E20EC3"/>
    <w:rsid w:val="00E23336"/>
    <w:rsid w:val="00E3272D"/>
    <w:rsid w:val="00E36930"/>
    <w:rsid w:val="00E46A8F"/>
    <w:rsid w:val="00E51F1E"/>
    <w:rsid w:val="00E577A9"/>
    <w:rsid w:val="00E67ECB"/>
    <w:rsid w:val="00E73497"/>
    <w:rsid w:val="00E7456B"/>
    <w:rsid w:val="00E76607"/>
    <w:rsid w:val="00E80E85"/>
    <w:rsid w:val="00E85E11"/>
    <w:rsid w:val="00E870DD"/>
    <w:rsid w:val="00E9054A"/>
    <w:rsid w:val="00E91E57"/>
    <w:rsid w:val="00EA7329"/>
    <w:rsid w:val="00EB5CD6"/>
    <w:rsid w:val="00EB61B0"/>
    <w:rsid w:val="00EC6205"/>
    <w:rsid w:val="00EC65F0"/>
    <w:rsid w:val="00ED153D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6916"/>
    <w:rsid w:val="00FA02EF"/>
    <w:rsid w:val="00FA0665"/>
    <w:rsid w:val="00FA1F15"/>
    <w:rsid w:val="00FA314D"/>
    <w:rsid w:val="00FA6355"/>
    <w:rsid w:val="00FA6451"/>
    <w:rsid w:val="00FB3D77"/>
    <w:rsid w:val="00FC1281"/>
    <w:rsid w:val="00FC6CF7"/>
    <w:rsid w:val="00FD0096"/>
    <w:rsid w:val="00FD7144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D7144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FD7144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FD7144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FD7144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FD7144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Title"/>
    <w:basedOn w:val="a"/>
    <w:next w:val="a"/>
    <w:link w:val="af3"/>
    <w:uiPriority w:val="10"/>
    <w:qFormat/>
    <w:rsid w:val="00FD7144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FD7144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FD7144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https://e.boi.org.il/he/BankingSupervision/Data/Pages/Tables.aspx?ChapterId=1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boi.org.il/he/DataAndStatistics/Pages/MainPage.aspx?Level=4&amp;Sid=53&amp;SubjectType=2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boi.org.il/he/DataAndStatistics/Pages/MainPage.aspx?Level=4&amp;Sid=53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13277-005B-4335-9360-88959B109158}"/>
</file>

<file path=customXml/itemProps2.xml><?xml version="1.0" encoding="utf-8"?>
<ds:datastoreItem xmlns:ds="http://schemas.openxmlformats.org/officeDocument/2006/customXml" ds:itemID="{96E4C164-839E-458D-B6BE-762DD39E1E8A}"/>
</file>

<file path=customXml/itemProps3.xml><?xml version="1.0" encoding="utf-8"?>
<ds:datastoreItem xmlns:ds="http://schemas.openxmlformats.org/officeDocument/2006/customXml" ds:itemID="{9D920689-438A-47EC-AAAD-051F9EC921C7}"/>
</file>

<file path=customXml/itemProps4.xml><?xml version="1.0" encoding="utf-8"?>
<ds:datastoreItem xmlns:ds="http://schemas.openxmlformats.org/officeDocument/2006/customXml" ds:itemID="{5AEF40C5-C118-4D2F-A28D-46BBFDCB0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2016-09-06T09:05:00Z</dcterms:created>
  <dcterms:modified xsi:type="dcterms:W3CDTF">2016-09-06T09:05:00Z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