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520" w:type="dxa"/>
        <w:jc w:val="center"/>
        <w:tblLayout w:type="fixed"/>
        <w:tblLook w:val="0000" w:firstRow="0" w:lastRow="0" w:firstColumn="0" w:lastColumn="0" w:noHBand="0" w:noVBand="0"/>
        <w:tblCaption w:val="כותרת עליונה"/>
        <w:tblDescription w:val="כותרת עליונה"/>
      </w:tblPr>
      <w:tblGrid>
        <w:gridCol w:w="2840"/>
        <w:gridCol w:w="2596"/>
        <w:gridCol w:w="3084"/>
      </w:tblGrid>
      <w:tr w:rsidR="00885A36" w:rsidRPr="00DB1CBC" w:rsidTr="00395854">
        <w:trPr>
          <w:tblHeader/>
          <w:jc w:val="center"/>
        </w:trPr>
        <w:tc>
          <w:tcPr>
            <w:tcW w:w="2840" w:type="dxa"/>
            <w:tcBorders>
              <w:top w:val="nil"/>
              <w:left w:val="nil"/>
              <w:bottom w:val="nil"/>
              <w:right w:val="nil"/>
            </w:tcBorders>
            <w:vAlign w:val="center"/>
          </w:tcPr>
          <w:p w:rsidR="00885A36" w:rsidRPr="00520BB4" w:rsidRDefault="00885A36" w:rsidP="00395854">
            <w:pPr>
              <w:framePr w:hSpace="180" w:wrap="around" w:vAnchor="page" w:hAnchor="margin" w:y="916"/>
              <w:spacing w:line="360" w:lineRule="auto"/>
              <w:jc w:val="center"/>
              <w:rPr>
                <w:rFonts w:cs="David"/>
                <w:b/>
                <w:bCs/>
                <w:sz w:val="28"/>
                <w:szCs w:val="28"/>
              </w:rPr>
            </w:pPr>
            <w:r w:rsidRPr="00520BB4">
              <w:rPr>
                <w:rFonts w:cs="David"/>
                <w:b/>
                <w:bCs/>
                <w:sz w:val="28"/>
                <w:szCs w:val="28"/>
                <w:rtl/>
              </w:rPr>
              <w:t>בנק ישראל</w:t>
            </w:r>
          </w:p>
          <w:p w:rsidR="00885A36" w:rsidRDefault="00885A36" w:rsidP="00395854">
            <w:pPr>
              <w:framePr w:hSpace="180" w:wrap="around" w:vAnchor="page" w:hAnchor="margin" w:y="916"/>
              <w:spacing w:line="360" w:lineRule="auto"/>
              <w:ind w:right="-101"/>
              <w:jc w:val="center"/>
            </w:pPr>
            <w:r w:rsidRPr="00520BB4">
              <w:rPr>
                <w:rFonts w:cs="David"/>
                <w:rtl/>
              </w:rPr>
              <w:t>דוברות והסברה כלכלית</w:t>
            </w:r>
          </w:p>
        </w:tc>
        <w:tc>
          <w:tcPr>
            <w:tcW w:w="2596" w:type="dxa"/>
            <w:tcBorders>
              <w:top w:val="nil"/>
              <w:left w:val="nil"/>
              <w:bottom w:val="nil"/>
              <w:right w:val="nil"/>
            </w:tcBorders>
          </w:tcPr>
          <w:p w:rsidR="00885A36" w:rsidRDefault="00885A36" w:rsidP="00395854">
            <w:pPr>
              <w:framePr w:hSpace="180" w:wrap="around" w:vAnchor="page" w:hAnchor="margin" w:y="916"/>
              <w:jc w:val="center"/>
            </w:pPr>
            <w:r>
              <w:rPr>
                <w:noProof/>
              </w:rPr>
              <w:drawing>
                <wp:inline distT="0" distB="0" distL="0" distR="0" wp14:anchorId="6A32B3E8" wp14:editId="362CA93E">
                  <wp:extent cx="914400" cy="91440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3084" w:type="dxa"/>
            <w:tcBorders>
              <w:top w:val="nil"/>
              <w:left w:val="nil"/>
              <w:bottom w:val="nil"/>
              <w:right w:val="nil"/>
            </w:tcBorders>
            <w:vAlign w:val="center"/>
          </w:tcPr>
          <w:p w:rsidR="00885A36" w:rsidRDefault="00885A36" w:rsidP="006704DA">
            <w:pPr>
              <w:framePr w:hSpace="180" w:wrap="around" w:vAnchor="page" w:hAnchor="margin" w:y="916"/>
              <w:spacing w:line="480" w:lineRule="auto"/>
              <w:jc w:val="right"/>
              <w:rPr>
                <w:rFonts w:cs="David"/>
              </w:rPr>
            </w:pPr>
            <w:r>
              <w:rPr>
                <w:rFonts w:cs="David" w:hint="eastAsia"/>
                <w:rtl/>
              </w:rPr>
              <w:t>‏</w:t>
            </w:r>
            <w:r w:rsidRPr="00BD36C8">
              <w:rPr>
                <w:rFonts w:cs="David"/>
                <w:rtl/>
              </w:rPr>
              <w:t xml:space="preserve">ירושלים, </w:t>
            </w:r>
            <w:r w:rsidR="0038625D">
              <w:rPr>
                <w:rFonts w:cs="David" w:hint="cs"/>
                <w:rtl/>
              </w:rPr>
              <w:t>כ"</w:t>
            </w:r>
            <w:r w:rsidR="006704DA">
              <w:rPr>
                <w:rFonts w:cs="David" w:hint="cs"/>
                <w:rtl/>
              </w:rPr>
              <w:t>ב</w:t>
            </w:r>
            <w:r w:rsidRPr="00BD36C8">
              <w:rPr>
                <w:rFonts w:cs="David"/>
                <w:rtl/>
              </w:rPr>
              <w:t xml:space="preserve"> ב</w:t>
            </w:r>
            <w:r>
              <w:rPr>
                <w:rFonts w:cs="David" w:hint="cs"/>
                <w:rtl/>
              </w:rPr>
              <w:t>חשוון</w:t>
            </w:r>
            <w:r>
              <w:rPr>
                <w:rFonts w:cs="David"/>
                <w:rtl/>
              </w:rPr>
              <w:t xml:space="preserve">, </w:t>
            </w:r>
            <w:proofErr w:type="spellStart"/>
            <w:r>
              <w:rPr>
                <w:rFonts w:cs="David"/>
                <w:rtl/>
              </w:rPr>
              <w:t>התשפ</w:t>
            </w:r>
            <w:r>
              <w:rPr>
                <w:rFonts w:cs="David" w:hint="cs"/>
                <w:rtl/>
              </w:rPr>
              <w:t>"</w:t>
            </w:r>
            <w:r w:rsidR="0038625D">
              <w:rPr>
                <w:rFonts w:cs="David" w:hint="cs"/>
                <w:rtl/>
              </w:rPr>
              <w:t>ד</w:t>
            </w:r>
            <w:proofErr w:type="spellEnd"/>
          </w:p>
          <w:p w:rsidR="00885A36" w:rsidRPr="00DF107C" w:rsidRDefault="00885A36" w:rsidP="006704DA">
            <w:pPr>
              <w:framePr w:hSpace="180" w:wrap="around" w:vAnchor="page" w:hAnchor="margin" w:y="916"/>
              <w:spacing w:line="480" w:lineRule="auto"/>
              <w:jc w:val="right"/>
              <w:rPr>
                <w:rFonts w:cs="David"/>
              </w:rPr>
            </w:pPr>
            <w:r>
              <w:rPr>
                <w:rFonts w:cs="David" w:hint="eastAsia"/>
                <w:rtl/>
              </w:rPr>
              <w:t>‏‏</w:t>
            </w:r>
            <w:r w:rsidR="006704DA">
              <w:rPr>
                <w:rFonts w:cs="David" w:hint="cs"/>
                <w:rtl/>
              </w:rPr>
              <w:t>6</w:t>
            </w:r>
            <w:r>
              <w:rPr>
                <w:rFonts w:cs="David"/>
                <w:rtl/>
              </w:rPr>
              <w:t xml:space="preserve"> </w:t>
            </w:r>
            <w:r w:rsidR="0038625D">
              <w:rPr>
                <w:rFonts w:cs="David" w:hint="cs"/>
                <w:rtl/>
              </w:rPr>
              <w:t>בנובמבר</w:t>
            </w:r>
            <w:r>
              <w:rPr>
                <w:rFonts w:cs="David"/>
                <w:rtl/>
              </w:rPr>
              <w:t xml:space="preserve"> 202</w:t>
            </w:r>
            <w:r w:rsidR="0038625D">
              <w:rPr>
                <w:rFonts w:cs="David" w:hint="cs"/>
                <w:rtl/>
              </w:rPr>
              <w:t>3</w:t>
            </w:r>
          </w:p>
        </w:tc>
      </w:tr>
    </w:tbl>
    <w:p w:rsidR="00885A36" w:rsidRDefault="00885A36" w:rsidP="00885A36">
      <w:pPr>
        <w:framePr w:hSpace="180" w:wrap="around" w:vAnchor="page" w:hAnchor="margin" w:y="916"/>
        <w:spacing w:before="240" w:line="360" w:lineRule="auto"/>
        <w:ind w:right="-102"/>
        <w:rPr>
          <w:rFonts w:cs="David"/>
          <w:rtl/>
        </w:rPr>
      </w:pPr>
      <w:r w:rsidRPr="007E18EE">
        <w:rPr>
          <w:rFonts w:cs="David"/>
          <w:rtl/>
        </w:rPr>
        <w:t>הודעה לעיתונות:</w:t>
      </w:r>
    </w:p>
    <w:p w:rsidR="00862CD9" w:rsidRDefault="0038625D" w:rsidP="00AD5510">
      <w:pPr>
        <w:jc w:val="center"/>
        <w:rPr>
          <w:rFonts w:ascii="David" w:hAnsi="David" w:cs="David"/>
          <w:b/>
          <w:bCs/>
          <w:sz w:val="28"/>
          <w:szCs w:val="28"/>
          <w:rtl/>
        </w:rPr>
      </w:pPr>
      <w:r>
        <w:rPr>
          <w:rFonts w:ascii="David" w:hAnsi="David" w:cs="David"/>
          <w:b/>
          <w:bCs/>
          <w:sz w:val="28"/>
          <w:szCs w:val="28"/>
          <w:rtl/>
        </w:rPr>
        <w:t>בנק ישראל</w:t>
      </w:r>
      <w:r>
        <w:rPr>
          <w:rFonts w:ascii="David" w:hAnsi="David" w:cs="David" w:hint="cs"/>
          <w:b/>
          <w:bCs/>
          <w:sz w:val="28"/>
          <w:szCs w:val="28"/>
        </w:rPr>
        <w:t xml:space="preserve"> </w:t>
      </w:r>
      <w:r>
        <w:rPr>
          <w:rFonts w:ascii="David" w:hAnsi="David" w:cs="David" w:hint="cs"/>
          <w:b/>
          <w:bCs/>
          <w:sz w:val="28"/>
          <w:szCs w:val="28"/>
          <w:rtl/>
        </w:rPr>
        <w:t xml:space="preserve">מודיע על </w:t>
      </w:r>
      <w:r w:rsidR="00BD7855">
        <w:rPr>
          <w:rFonts w:ascii="David" w:hAnsi="David" w:cs="David" w:hint="cs"/>
          <w:b/>
          <w:bCs/>
          <w:sz w:val="28"/>
          <w:szCs w:val="28"/>
          <w:rtl/>
        </w:rPr>
        <w:t>תכנית</w:t>
      </w:r>
      <w:r w:rsidR="00347B0A" w:rsidRPr="00885A36">
        <w:rPr>
          <w:rFonts w:ascii="David" w:hAnsi="David" w:cs="David"/>
          <w:b/>
          <w:bCs/>
          <w:sz w:val="28"/>
          <w:szCs w:val="28"/>
          <w:rtl/>
        </w:rPr>
        <w:t xml:space="preserve"> </w:t>
      </w:r>
      <w:r w:rsidR="00AD5510">
        <w:rPr>
          <w:rFonts w:ascii="David" w:hAnsi="David" w:cs="David" w:hint="cs"/>
          <w:b/>
          <w:bCs/>
          <w:sz w:val="28"/>
          <w:szCs w:val="28"/>
          <w:rtl/>
        </w:rPr>
        <w:t xml:space="preserve">מוניטרית ממוקדת </w:t>
      </w:r>
      <w:r w:rsidR="00347B0A" w:rsidRPr="00885A36">
        <w:rPr>
          <w:rFonts w:ascii="David" w:hAnsi="David" w:cs="David"/>
          <w:b/>
          <w:bCs/>
          <w:sz w:val="28"/>
          <w:szCs w:val="28"/>
          <w:rtl/>
        </w:rPr>
        <w:t>להקלת תנאי האשראי לעסקים קטנים וזעירים</w:t>
      </w:r>
      <w:r>
        <w:rPr>
          <w:rFonts w:ascii="David" w:hAnsi="David" w:cs="David" w:hint="cs"/>
          <w:b/>
          <w:bCs/>
          <w:sz w:val="28"/>
          <w:szCs w:val="28"/>
          <w:rtl/>
        </w:rPr>
        <w:t xml:space="preserve"> שנפגעו כתוצאה מהמלחמה</w:t>
      </w:r>
    </w:p>
    <w:p w:rsidR="00CB1707" w:rsidRDefault="00CB1707" w:rsidP="0038625D">
      <w:pPr>
        <w:jc w:val="center"/>
        <w:rPr>
          <w:rFonts w:ascii="David" w:hAnsi="David" w:cs="David"/>
          <w:b/>
          <w:bCs/>
          <w:sz w:val="28"/>
          <w:szCs w:val="28"/>
          <w:rtl/>
        </w:rPr>
      </w:pPr>
    </w:p>
    <w:p w:rsidR="00CB1707" w:rsidRDefault="00CB1707" w:rsidP="00E10497">
      <w:pPr>
        <w:spacing w:line="360" w:lineRule="auto"/>
        <w:jc w:val="both"/>
        <w:rPr>
          <w:rFonts w:ascii="David" w:hAnsi="David" w:cs="David"/>
          <w:sz w:val="24"/>
          <w:szCs w:val="24"/>
          <w:rtl/>
        </w:rPr>
      </w:pPr>
      <w:r>
        <w:rPr>
          <w:rFonts w:ascii="David" w:hAnsi="David" w:cs="David" w:hint="cs"/>
          <w:sz w:val="24"/>
          <w:szCs w:val="24"/>
          <w:rtl/>
        </w:rPr>
        <w:t xml:space="preserve">נגיד בנק ישראל, פרופ' אמיר ירון: </w:t>
      </w:r>
      <w:r w:rsidRPr="00CB1707">
        <w:rPr>
          <w:rFonts w:ascii="David" w:hAnsi="David" w:cs="David" w:hint="cs"/>
          <w:b/>
          <w:bCs/>
          <w:sz w:val="24"/>
          <w:szCs w:val="24"/>
          <w:rtl/>
        </w:rPr>
        <w:t xml:space="preserve">"תכנית זו היא נדבך נוסף </w:t>
      </w:r>
      <w:r w:rsidR="00AD5510">
        <w:rPr>
          <w:rFonts w:ascii="David" w:hAnsi="David" w:cs="David" w:hint="cs"/>
          <w:b/>
          <w:bCs/>
          <w:sz w:val="24"/>
          <w:szCs w:val="24"/>
          <w:rtl/>
        </w:rPr>
        <w:t xml:space="preserve">בכלי המדיניות שהפעלנו בבנק ישראל </w:t>
      </w:r>
      <w:r w:rsidRPr="00CB1707">
        <w:rPr>
          <w:rFonts w:ascii="David" w:hAnsi="David" w:cs="David" w:hint="cs"/>
          <w:b/>
          <w:bCs/>
          <w:sz w:val="24"/>
          <w:szCs w:val="24"/>
          <w:rtl/>
        </w:rPr>
        <w:t xml:space="preserve"> </w:t>
      </w:r>
      <w:r w:rsidR="00AD5510">
        <w:rPr>
          <w:rFonts w:ascii="David" w:hAnsi="David" w:cs="David" w:hint="cs"/>
          <w:b/>
          <w:bCs/>
          <w:sz w:val="24"/>
          <w:szCs w:val="24"/>
          <w:rtl/>
        </w:rPr>
        <w:t>לסיוע ב</w:t>
      </w:r>
      <w:r w:rsidRPr="00CB1707">
        <w:rPr>
          <w:rFonts w:ascii="David" w:hAnsi="David" w:cs="David" w:hint="cs"/>
          <w:b/>
          <w:bCs/>
          <w:sz w:val="24"/>
          <w:szCs w:val="24"/>
          <w:rtl/>
        </w:rPr>
        <w:t xml:space="preserve">התמודדות עם הקושי הכלכלי הנובע </w:t>
      </w:r>
      <w:r w:rsidR="00AD5510">
        <w:rPr>
          <w:rFonts w:ascii="David" w:hAnsi="David" w:cs="David" w:hint="cs"/>
          <w:b/>
          <w:bCs/>
          <w:sz w:val="24"/>
          <w:szCs w:val="24"/>
          <w:rtl/>
        </w:rPr>
        <w:t xml:space="preserve">מהמלחמה שאנו בבנק ישראל מעמידים, </w:t>
      </w:r>
      <w:r w:rsidRPr="00CB1707">
        <w:rPr>
          <w:rFonts w:ascii="David" w:hAnsi="David" w:cs="David" w:hint="cs"/>
          <w:b/>
          <w:bCs/>
          <w:sz w:val="24"/>
          <w:szCs w:val="24"/>
          <w:rtl/>
        </w:rPr>
        <w:t xml:space="preserve">ובפרט </w:t>
      </w:r>
      <w:r w:rsidR="00AD5510">
        <w:rPr>
          <w:rFonts w:ascii="David" w:hAnsi="David" w:cs="David" w:hint="cs"/>
          <w:b/>
          <w:bCs/>
          <w:sz w:val="24"/>
          <w:szCs w:val="24"/>
          <w:rtl/>
        </w:rPr>
        <w:t>לאלו</w:t>
      </w:r>
      <w:r w:rsidRPr="00CB1707">
        <w:rPr>
          <w:rFonts w:ascii="David" w:hAnsi="David" w:cs="David" w:hint="cs"/>
          <w:b/>
          <w:bCs/>
          <w:sz w:val="24"/>
          <w:szCs w:val="24"/>
          <w:rtl/>
        </w:rPr>
        <w:t xml:space="preserve"> שנפגעו במיוחד. אנו נמשיך ל</w:t>
      </w:r>
      <w:r w:rsidRPr="00CB1707">
        <w:rPr>
          <w:rFonts w:ascii="David" w:hAnsi="David" w:cs="David"/>
          <w:b/>
          <w:bCs/>
          <w:color w:val="000000" w:themeColor="text1"/>
          <w:sz w:val="24"/>
          <w:szCs w:val="24"/>
          <w:shd w:val="clear" w:color="auto" w:fill="FFFFFF"/>
          <w:rtl/>
        </w:rPr>
        <w:t xml:space="preserve">תת מענה לסוגיות הכלכליות השונות </w:t>
      </w:r>
      <w:r w:rsidRPr="00CB1707">
        <w:rPr>
          <w:rFonts w:ascii="David" w:hAnsi="David" w:cs="David" w:hint="cs"/>
          <w:b/>
          <w:bCs/>
          <w:color w:val="000000" w:themeColor="text1"/>
          <w:sz w:val="24"/>
          <w:szCs w:val="24"/>
          <w:shd w:val="clear" w:color="auto" w:fill="FFFFFF"/>
          <w:rtl/>
        </w:rPr>
        <w:t>שעולות</w:t>
      </w:r>
      <w:r w:rsidRPr="00CB1707">
        <w:rPr>
          <w:rFonts w:ascii="David" w:hAnsi="David" w:cs="David"/>
          <w:b/>
          <w:bCs/>
          <w:color w:val="000000" w:themeColor="text1"/>
          <w:sz w:val="24"/>
          <w:szCs w:val="24"/>
          <w:shd w:val="clear" w:color="auto" w:fill="FFFFFF"/>
          <w:rtl/>
        </w:rPr>
        <w:t xml:space="preserve"> </w:t>
      </w:r>
      <w:r w:rsidR="00E10497">
        <w:rPr>
          <w:rFonts w:ascii="David" w:hAnsi="David" w:cs="David" w:hint="cs"/>
          <w:b/>
          <w:bCs/>
          <w:color w:val="000000" w:themeColor="text1"/>
          <w:sz w:val="24"/>
          <w:szCs w:val="24"/>
          <w:shd w:val="clear" w:color="auto" w:fill="FFFFFF"/>
          <w:rtl/>
        </w:rPr>
        <w:t xml:space="preserve">מהמלחמה </w:t>
      </w:r>
      <w:r w:rsidRPr="00CB1707">
        <w:rPr>
          <w:rFonts w:ascii="David" w:hAnsi="David" w:cs="David"/>
          <w:b/>
          <w:bCs/>
          <w:color w:val="000000" w:themeColor="text1"/>
          <w:sz w:val="24"/>
          <w:szCs w:val="24"/>
          <w:shd w:val="clear" w:color="auto" w:fill="FFFFFF"/>
          <w:rtl/>
        </w:rPr>
        <w:t>ו</w:t>
      </w:r>
      <w:r w:rsidRPr="00CB1707">
        <w:rPr>
          <w:rFonts w:ascii="David" w:hAnsi="David" w:cs="David" w:hint="cs"/>
          <w:b/>
          <w:bCs/>
          <w:color w:val="000000" w:themeColor="text1"/>
          <w:sz w:val="24"/>
          <w:szCs w:val="24"/>
          <w:shd w:val="clear" w:color="auto" w:fill="FFFFFF"/>
          <w:rtl/>
        </w:rPr>
        <w:t xml:space="preserve">נפעיל את הכלים המגוונים </w:t>
      </w:r>
      <w:r w:rsidRPr="00CB1707">
        <w:rPr>
          <w:rFonts w:ascii="David" w:hAnsi="David" w:cs="David"/>
          <w:b/>
          <w:bCs/>
          <w:color w:val="000000" w:themeColor="text1"/>
          <w:sz w:val="24"/>
          <w:szCs w:val="24"/>
          <w:shd w:val="clear" w:color="auto" w:fill="FFFFFF"/>
          <w:rtl/>
        </w:rPr>
        <w:t>העומדים לרשות</w:t>
      </w:r>
      <w:r w:rsidRPr="00CB1707">
        <w:rPr>
          <w:rFonts w:ascii="David" w:hAnsi="David" w:cs="David" w:hint="cs"/>
          <w:b/>
          <w:bCs/>
          <w:color w:val="000000" w:themeColor="text1"/>
          <w:sz w:val="24"/>
          <w:szCs w:val="24"/>
          <w:shd w:val="clear" w:color="auto" w:fill="FFFFFF"/>
          <w:rtl/>
        </w:rPr>
        <w:t>נ</w:t>
      </w:r>
      <w:r w:rsidRPr="00CB1707">
        <w:rPr>
          <w:rFonts w:ascii="David" w:hAnsi="David" w:cs="David"/>
          <w:b/>
          <w:bCs/>
          <w:color w:val="000000" w:themeColor="text1"/>
          <w:sz w:val="24"/>
          <w:szCs w:val="24"/>
          <w:shd w:val="clear" w:color="auto" w:fill="FFFFFF"/>
          <w:rtl/>
        </w:rPr>
        <w:t>ו</w:t>
      </w:r>
      <w:r w:rsidR="006704DA">
        <w:rPr>
          <w:rFonts w:ascii="David" w:hAnsi="David" w:cs="David" w:hint="cs"/>
          <w:b/>
          <w:bCs/>
          <w:sz w:val="24"/>
          <w:szCs w:val="24"/>
          <w:rtl/>
        </w:rPr>
        <w:t xml:space="preserve"> במידת הצורך</w:t>
      </w:r>
      <w:r w:rsidR="00920E02">
        <w:rPr>
          <w:rFonts w:ascii="David" w:hAnsi="David" w:cs="David" w:hint="cs"/>
          <w:b/>
          <w:bCs/>
          <w:sz w:val="24"/>
          <w:szCs w:val="24"/>
          <w:rtl/>
        </w:rPr>
        <w:t>.</w:t>
      </w:r>
      <w:r w:rsidRPr="00CB1707">
        <w:rPr>
          <w:rFonts w:ascii="David" w:hAnsi="David" w:cs="David" w:hint="cs"/>
          <w:b/>
          <w:bCs/>
          <w:sz w:val="24"/>
          <w:szCs w:val="24"/>
          <w:rtl/>
        </w:rPr>
        <w:t>"</w:t>
      </w:r>
    </w:p>
    <w:p w:rsidR="00CB1707" w:rsidRPr="00885A36" w:rsidRDefault="00CB1707" w:rsidP="0038625D">
      <w:pPr>
        <w:jc w:val="center"/>
        <w:rPr>
          <w:rFonts w:ascii="David" w:hAnsi="David" w:cs="David"/>
          <w:b/>
          <w:bCs/>
          <w:sz w:val="28"/>
          <w:szCs w:val="28"/>
          <w:rtl/>
        </w:rPr>
      </w:pPr>
    </w:p>
    <w:p w:rsidR="00AD5510" w:rsidRDefault="00AD5510" w:rsidP="00E10497">
      <w:pPr>
        <w:spacing w:line="360" w:lineRule="auto"/>
        <w:jc w:val="both"/>
        <w:rPr>
          <w:rFonts w:asciiTheme="majorBidi" w:eastAsia="Calibri" w:hAnsiTheme="majorBidi" w:cs="David"/>
          <w:sz w:val="24"/>
          <w:szCs w:val="24"/>
          <w:rtl/>
        </w:rPr>
      </w:pPr>
      <w:r>
        <w:rPr>
          <w:rFonts w:asciiTheme="majorBidi" w:eastAsia="Calibri" w:hAnsiTheme="majorBidi" w:cs="David" w:hint="cs"/>
          <w:sz w:val="24"/>
          <w:szCs w:val="24"/>
          <w:rtl/>
        </w:rPr>
        <w:t xml:space="preserve">מפרוץ המלחמה פעל בנק ישראל במספר צעדים שנועדו להקל ולסייע כלכלית בימים מורכבים אלו, תוך מיפוי הצרכים השונים העולים מהשטח. </w:t>
      </w:r>
      <w:r w:rsidR="00912867">
        <w:rPr>
          <w:rFonts w:asciiTheme="majorBidi" w:eastAsia="Calibri" w:hAnsiTheme="majorBidi" w:cs="David" w:hint="cs"/>
          <w:sz w:val="24"/>
          <w:szCs w:val="24"/>
          <w:rtl/>
        </w:rPr>
        <w:t xml:space="preserve">בנסיבות מיוחדות אלה, </w:t>
      </w:r>
      <w:r>
        <w:rPr>
          <w:rFonts w:asciiTheme="majorBidi" w:eastAsia="Calibri" w:hAnsiTheme="majorBidi" w:cs="David" w:hint="cs"/>
          <w:sz w:val="24"/>
          <w:szCs w:val="24"/>
          <w:rtl/>
        </w:rPr>
        <w:t xml:space="preserve">מפעיל </w:t>
      </w:r>
      <w:r w:rsidR="00A833C0">
        <w:rPr>
          <w:rFonts w:asciiTheme="majorBidi" w:eastAsia="Calibri" w:hAnsiTheme="majorBidi" w:cs="David" w:hint="cs"/>
          <w:sz w:val="24"/>
          <w:szCs w:val="24"/>
          <w:rtl/>
        </w:rPr>
        <w:t xml:space="preserve">היום </w:t>
      </w:r>
      <w:r>
        <w:rPr>
          <w:rFonts w:asciiTheme="majorBidi" w:eastAsia="Calibri" w:hAnsiTheme="majorBidi" w:cs="David" w:hint="cs"/>
          <w:sz w:val="24"/>
          <w:szCs w:val="24"/>
          <w:rtl/>
        </w:rPr>
        <w:t xml:space="preserve">בנק ישראל כלי מדיניות </w:t>
      </w:r>
      <w:r w:rsidR="00A833C0">
        <w:rPr>
          <w:rFonts w:asciiTheme="majorBidi" w:eastAsia="Calibri" w:hAnsiTheme="majorBidi" w:cs="David" w:hint="cs"/>
          <w:sz w:val="24"/>
          <w:szCs w:val="24"/>
          <w:rtl/>
        </w:rPr>
        <w:t xml:space="preserve">ממוקד </w:t>
      </w:r>
      <w:r>
        <w:rPr>
          <w:rFonts w:asciiTheme="majorBidi" w:eastAsia="Calibri" w:hAnsiTheme="majorBidi" w:cs="David" w:hint="cs"/>
          <w:sz w:val="24"/>
          <w:szCs w:val="24"/>
          <w:rtl/>
        </w:rPr>
        <w:t xml:space="preserve">נוסף, </w:t>
      </w:r>
      <w:r w:rsidR="00912867">
        <w:rPr>
          <w:rFonts w:asciiTheme="majorBidi" w:eastAsia="Calibri" w:hAnsiTheme="majorBidi" w:cs="David" w:hint="cs"/>
          <w:sz w:val="24"/>
          <w:szCs w:val="24"/>
          <w:rtl/>
        </w:rPr>
        <w:t>על</w:t>
      </w:r>
      <w:r>
        <w:rPr>
          <w:rFonts w:asciiTheme="majorBidi" w:eastAsia="Calibri" w:hAnsiTheme="majorBidi" w:cs="David" w:hint="cs"/>
          <w:sz w:val="24"/>
          <w:szCs w:val="24"/>
          <w:rtl/>
        </w:rPr>
        <w:t>-</w:t>
      </w:r>
      <w:r w:rsidR="00912867">
        <w:rPr>
          <w:rFonts w:asciiTheme="majorBidi" w:eastAsia="Calibri" w:hAnsiTheme="majorBidi" w:cs="David" w:hint="cs"/>
          <w:sz w:val="24"/>
          <w:szCs w:val="24"/>
          <w:rtl/>
        </w:rPr>
        <w:t xml:space="preserve">מנת </w:t>
      </w:r>
      <w:r w:rsidR="00E10497">
        <w:rPr>
          <w:rFonts w:asciiTheme="majorBidi" w:eastAsia="Calibri" w:hAnsiTheme="majorBidi" w:cs="David" w:hint="cs"/>
          <w:sz w:val="24"/>
          <w:szCs w:val="24"/>
          <w:rtl/>
        </w:rPr>
        <w:t>לסייע ל</w:t>
      </w:r>
      <w:r w:rsidR="00862CD9">
        <w:rPr>
          <w:rFonts w:asciiTheme="majorBidi" w:eastAsia="Calibri" w:hAnsiTheme="majorBidi" w:cs="David" w:hint="cs"/>
          <w:sz w:val="24"/>
          <w:szCs w:val="24"/>
          <w:rtl/>
        </w:rPr>
        <w:t>עסקים</w:t>
      </w:r>
      <w:r w:rsidR="00347B0A">
        <w:rPr>
          <w:rFonts w:asciiTheme="majorBidi" w:eastAsia="Calibri" w:hAnsiTheme="majorBidi" w:cs="David" w:hint="cs"/>
          <w:sz w:val="24"/>
          <w:szCs w:val="24"/>
          <w:rtl/>
        </w:rPr>
        <w:t xml:space="preserve"> </w:t>
      </w:r>
      <w:r w:rsidR="00D4671D">
        <w:rPr>
          <w:rFonts w:asciiTheme="majorBidi" w:eastAsia="Calibri" w:hAnsiTheme="majorBidi" w:cs="David" w:hint="cs"/>
          <w:sz w:val="24"/>
          <w:szCs w:val="24"/>
          <w:rtl/>
        </w:rPr>
        <w:t>קטנים וזעירים</w:t>
      </w:r>
      <w:r w:rsidR="00912867">
        <w:rPr>
          <w:rFonts w:asciiTheme="majorBidi" w:eastAsia="Calibri" w:hAnsiTheme="majorBidi" w:cs="David" w:hint="cs"/>
          <w:sz w:val="24"/>
          <w:szCs w:val="24"/>
          <w:rtl/>
        </w:rPr>
        <w:t xml:space="preserve"> שנפגעו כתוצאה מהמלחמה</w:t>
      </w:r>
      <w:r w:rsidR="00E10497">
        <w:rPr>
          <w:rFonts w:asciiTheme="majorBidi" w:eastAsia="Calibri" w:hAnsiTheme="majorBidi" w:cs="David" w:hint="cs"/>
          <w:sz w:val="24"/>
          <w:szCs w:val="24"/>
          <w:rtl/>
        </w:rPr>
        <w:t xml:space="preserve"> לצלוח תקופה זו</w:t>
      </w:r>
      <w:r w:rsidR="00347B0A">
        <w:rPr>
          <w:rFonts w:asciiTheme="majorBidi" w:eastAsia="Calibri" w:hAnsiTheme="majorBidi" w:cs="David" w:hint="cs"/>
          <w:sz w:val="24"/>
          <w:szCs w:val="24"/>
          <w:rtl/>
        </w:rPr>
        <w:t>,</w:t>
      </w:r>
      <w:r w:rsidR="00862CD9">
        <w:rPr>
          <w:rFonts w:asciiTheme="majorBidi" w:eastAsia="Calibri" w:hAnsiTheme="majorBidi" w:cs="David" w:hint="cs"/>
          <w:sz w:val="24"/>
          <w:szCs w:val="24"/>
          <w:rtl/>
        </w:rPr>
        <w:t xml:space="preserve"> </w:t>
      </w:r>
      <w:r w:rsidR="00E10497">
        <w:rPr>
          <w:rFonts w:asciiTheme="majorBidi" w:eastAsia="Calibri" w:hAnsiTheme="majorBidi" w:cs="David" w:hint="cs"/>
          <w:sz w:val="24"/>
          <w:szCs w:val="24"/>
          <w:rtl/>
        </w:rPr>
        <w:t xml:space="preserve">ולאפשר להם לקבל </w:t>
      </w:r>
      <w:r w:rsidR="00862CD9">
        <w:rPr>
          <w:rFonts w:asciiTheme="majorBidi" w:eastAsia="Calibri" w:hAnsiTheme="majorBidi" w:cs="David" w:hint="cs"/>
          <w:sz w:val="24"/>
          <w:szCs w:val="24"/>
          <w:rtl/>
        </w:rPr>
        <w:t xml:space="preserve">אשראי בתנאי ריבית </w:t>
      </w:r>
      <w:r w:rsidR="003D5CED">
        <w:rPr>
          <w:rFonts w:asciiTheme="majorBidi" w:eastAsia="Calibri" w:hAnsiTheme="majorBidi" w:cs="David" w:hint="cs"/>
          <w:sz w:val="24"/>
          <w:szCs w:val="24"/>
          <w:rtl/>
        </w:rPr>
        <w:t>משופרים</w:t>
      </w:r>
      <w:r w:rsidR="00A833C0">
        <w:rPr>
          <w:rFonts w:asciiTheme="majorBidi" w:eastAsia="Calibri" w:hAnsiTheme="majorBidi" w:cs="David" w:hint="cs"/>
          <w:sz w:val="24"/>
          <w:szCs w:val="24"/>
          <w:rtl/>
        </w:rPr>
        <w:t>,</w:t>
      </w:r>
      <w:r w:rsidR="00F725FA">
        <w:rPr>
          <w:rFonts w:asciiTheme="majorBidi" w:eastAsia="Calibri" w:hAnsiTheme="majorBidi" w:cs="David" w:hint="cs"/>
          <w:sz w:val="24"/>
          <w:szCs w:val="24"/>
          <w:rtl/>
        </w:rPr>
        <w:t xml:space="preserve"> על אף </w:t>
      </w:r>
      <w:r w:rsidR="00862CD9">
        <w:rPr>
          <w:rFonts w:asciiTheme="majorBidi" w:eastAsia="Calibri" w:hAnsiTheme="majorBidi" w:cs="David" w:hint="cs"/>
          <w:sz w:val="24"/>
          <w:szCs w:val="24"/>
          <w:rtl/>
        </w:rPr>
        <w:t xml:space="preserve">הסיכון הגלום במתן אשראי לעסקים </w:t>
      </w:r>
      <w:r w:rsidR="00F725FA">
        <w:rPr>
          <w:rFonts w:asciiTheme="majorBidi" w:eastAsia="Calibri" w:hAnsiTheme="majorBidi" w:cs="David" w:hint="cs"/>
          <w:sz w:val="24"/>
          <w:szCs w:val="24"/>
          <w:rtl/>
        </w:rPr>
        <w:t xml:space="preserve">אלו </w:t>
      </w:r>
      <w:r w:rsidR="00862CD9">
        <w:rPr>
          <w:rFonts w:asciiTheme="majorBidi" w:eastAsia="Calibri" w:hAnsiTheme="majorBidi" w:cs="David" w:hint="cs"/>
          <w:sz w:val="24"/>
          <w:szCs w:val="24"/>
          <w:rtl/>
        </w:rPr>
        <w:t>בעת הזו</w:t>
      </w:r>
      <w:r w:rsidR="00E10497">
        <w:rPr>
          <w:rFonts w:asciiTheme="majorBidi" w:eastAsia="Calibri" w:hAnsiTheme="majorBidi" w:cs="David" w:hint="cs"/>
          <w:sz w:val="24"/>
          <w:szCs w:val="24"/>
          <w:rtl/>
        </w:rPr>
        <w:t>.</w:t>
      </w:r>
      <w:r w:rsidR="00F725FA">
        <w:rPr>
          <w:rFonts w:asciiTheme="majorBidi" w:eastAsia="Calibri" w:hAnsiTheme="majorBidi" w:cs="David" w:hint="cs"/>
          <w:sz w:val="24"/>
          <w:szCs w:val="24"/>
          <w:rtl/>
        </w:rPr>
        <w:t xml:space="preserve"> </w:t>
      </w:r>
    </w:p>
    <w:p w:rsidR="00AD5510" w:rsidRDefault="00AD5510" w:rsidP="00787066">
      <w:pPr>
        <w:spacing w:line="360" w:lineRule="auto"/>
        <w:jc w:val="both"/>
        <w:rPr>
          <w:rFonts w:asciiTheme="majorBidi" w:eastAsia="Calibri" w:hAnsiTheme="majorBidi" w:cs="David"/>
          <w:b/>
          <w:bCs/>
          <w:sz w:val="24"/>
          <w:szCs w:val="24"/>
          <w:rtl/>
        </w:rPr>
      </w:pPr>
      <w:r>
        <w:rPr>
          <w:rFonts w:asciiTheme="majorBidi" w:eastAsia="Calibri" w:hAnsiTheme="majorBidi" w:cs="David" w:hint="cs"/>
          <w:sz w:val="24"/>
          <w:szCs w:val="24"/>
          <w:rtl/>
        </w:rPr>
        <w:t xml:space="preserve">הוועדה המוניטרית </w:t>
      </w:r>
      <w:r w:rsidR="00A833C0">
        <w:rPr>
          <w:rFonts w:asciiTheme="majorBidi" w:eastAsia="Calibri" w:hAnsiTheme="majorBidi" w:cs="David" w:hint="cs"/>
          <w:sz w:val="24"/>
          <w:szCs w:val="24"/>
          <w:rtl/>
        </w:rPr>
        <w:t xml:space="preserve">החליטה </w:t>
      </w:r>
      <w:r>
        <w:rPr>
          <w:rFonts w:asciiTheme="majorBidi" w:eastAsia="Calibri" w:hAnsiTheme="majorBidi" w:cs="David" w:hint="cs"/>
          <w:sz w:val="24"/>
          <w:szCs w:val="24"/>
          <w:rtl/>
        </w:rPr>
        <w:t xml:space="preserve">להפעיל </w:t>
      </w:r>
      <w:r w:rsidR="00BD7855">
        <w:rPr>
          <w:rFonts w:asciiTheme="majorBidi" w:eastAsia="Calibri" w:hAnsiTheme="majorBidi" w:cs="David" w:hint="cs"/>
          <w:b/>
          <w:bCs/>
          <w:sz w:val="24"/>
          <w:szCs w:val="24"/>
          <w:rtl/>
        </w:rPr>
        <w:t>תכנית להקלת האשראי לעסקים קטנים וזעירים ב</w:t>
      </w:r>
      <w:r w:rsidR="00347B0A" w:rsidRPr="00347B0A">
        <w:rPr>
          <w:rFonts w:asciiTheme="majorBidi" w:eastAsia="Calibri" w:hAnsiTheme="majorBidi" w:cs="David" w:hint="cs"/>
          <w:b/>
          <w:bCs/>
          <w:sz w:val="24"/>
          <w:szCs w:val="24"/>
          <w:rtl/>
        </w:rPr>
        <w:t xml:space="preserve">היקף של עד </w:t>
      </w:r>
      <w:r w:rsidR="00BB15FE" w:rsidRPr="00920E02">
        <w:rPr>
          <w:rFonts w:ascii="David" w:hAnsi="David" w:cs="David" w:hint="cs"/>
          <w:b/>
          <w:bCs/>
          <w:sz w:val="24"/>
          <w:szCs w:val="24"/>
          <w:rtl/>
        </w:rPr>
        <w:t>10</w:t>
      </w:r>
      <w:r w:rsidR="00BB15FE" w:rsidRPr="00347B0A">
        <w:rPr>
          <w:rFonts w:asciiTheme="majorBidi" w:eastAsia="Calibri" w:hAnsiTheme="majorBidi" w:cs="David" w:hint="cs"/>
          <w:b/>
          <w:bCs/>
          <w:sz w:val="24"/>
          <w:szCs w:val="24"/>
          <w:rtl/>
        </w:rPr>
        <w:t xml:space="preserve"> </w:t>
      </w:r>
      <w:r w:rsidR="00347B0A" w:rsidRPr="00347B0A">
        <w:rPr>
          <w:rFonts w:asciiTheme="majorBidi" w:eastAsia="Calibri" w:hAnsiTheme="majorBidi" w:cs="David" w:hint="cs"/>
          <w:b/>
          <w:bCs/>
          <w:sz w:val="24"/>
          <w:szCs w:val="24"/>
          <w:rtl/>
        </w:rPr>
        <w:t xml:space="preserve">מיליארד </w:t>
      </w:r>
      <w:r w:rsidR="00BD7855">
        <w:rPr>
          <w:rFonts w:asciiTheme="majorBidi" w:eastAsia="Calibri" w:hAnsiTheme="majorBidi" w:cs="David" w:hint="cs"/>
          <w:b/>
          <w:bCs/>
          <w:sz w:val="24"/>
          <w:szCs w:val="24"/>
          <w:rtl/>
        </w:rPr>
        <w:t>ש"ח</w:t>
      </w:r>
      <w:r w:rsidR="00347B0A" w:rsidRPr="00347B0A">
        <w:rPr>
          <w:rFonts w:asciiTheme="majorBidi" w:eastAsia="Calibri" w:hAnsiTheme="majorBidi" w:cs="David" w:hint="cs"/>
          <w:b/>
          <w:bCs/>
          <w:sz w:val="24"/>
          <w:szCs w:val="24"/>
          <w:rtl/>
        </w:rPr>
        <w:t xml:space="preserve"> ש</w:t>
      </w:r>
      <w:r w:rsidR="00A833C0">
        <w:rPr>
          <w:rFonts w:asciiTheme="majorBidi" w:eastAsia="Calibri" w:hAnsiTheme="majorBidi" w:cs="David" w:hint="cs"/>
          <w:b/>
          <w:bCs/>
          <w:sz w:val="24"/>
          <w:szCs w:val="24"/>
          <w:rtl/>
        </w:rPr>
        <w:t>ת</w:t>
      </w:r>
      <w:r w:rsidR="00347B0A" w:rsidRPr="00347B0A">
        <w:rPr>
          <w:rFonts w:asciiTheme="majorBidi" w:eastAsia="Calibri" w:hAnsiTheme="majorBidi" w:cs="David" w:hint="cs"/>
          <w:b/>
          <w:bCs/>
          <w:sz w:val="24"/>
          <w:szCs w:val="24"/>
          <w:rtl/>
        </w:rPr>
        <w:t xml:space="preserve">ופעל </w:t>
      </w:r>
      <w:r w:rsidR="00787066">
        <w:rPr>
          <w:rFonts w:asciiTheme="majorBidi" w:eastAsia="Calibri" w:hAnsiTheme="majorBidi" w:cs="David" w:hint="cs"/>
          <w:b/>
          <w:bCs/>
          <w:sz w:val="24"/>
          <w:szCs w:val="24"/>
          <w:rtl/>
        </w:rPr>
        <w:t>בגין אשראי שיינתן עד</w:t>
      </w:r>
      <w:r w:rsidR="00980B2E">
        <w:rPr>
          <w:rFonts w:asciiTheme="majorBidi" w:eastAsia="Calibri" w:hAnsiTheme="majorBidi" w:cs="David" w:hint="cs"/>
          <w:b/>
          <w:bCs/>
          <w:sz w:val="24"/>
          <w:szCs w:val="24"/>
          <w:rtl/>
        </w:rPr>
        <w:t xml:space="preserve"> סוף חודש </w:t>
      </w:r>
      <w:r w:rsidR="00980B2E" w:rsidRPr="00787066">
        <w:rPr>
          <w:rFonts w:asciiTheme="majorBidi" w:eastAsia="Calibri" w:hAnsiTheme="majorBidi" w:cs="David" w:hint="cs"/>
          <w:b/>
          <w:bCs/>
          <w:sz w:val="24"/>
          <w:szCs w:val="24"/>
          <w:rtl/>
        </w:rPr>
        <w:t>ינואר</w:t>
      </w:r>
      <w:r w:rsidR="00980B2E">
        <w:rPr>
          <w:rFonts w:asciiTheme="majorBidi" w:eastAsia="Calibri" w:hAnsiTheme="majorBidi" w:cs="David" w:hint="cs"/>
          <w:b/>
          <w:bCs/>
          <w:sz w:val="24"/>
          <w:szCs w:val="24"/>
          <w:rtl/>
        </w:rPr>
        <w:t xml:space="preserve"> 2024</w:t>
      </w:r>
      <w:r w:rsidR="00A833C0">
        <w:rPr>
          <w:rFonts w:asciiTheme="majorBidi" w:eastAsia="Calibri" w:hAnsiTheme="majorBidi" w:cs="David" w:hint="cs"/>
          <w:sz w:val="24"/>
          <w:szCs w:val="24"/>
          <w:rtl/>
        </w:rPr>
        <w:t>.</w:t>
      </w:r>
    </w:p>
    <w:p w:rsidR="00AD5510" w:rsidRDefault="00347B0A" w:rsidP="001F3A29">
      <w:pPr>
        <w:spacing w:line="360" w:lineRule="auto"/>
        <w:jc w:val="both"/>
        <w:rPr>
          <w:rFonts w:ascii="David" w:hAnsi="David" w:cs="David"/>
          <w:sz w:val="24"/>
          <w:szCs w:val="24"/>
          <w:rtl/>
        </w:rPr>
      </w:pPr>
      <w:r w:rsidRPr="00347B0A">
        <w:rPr>
          <w:rFonts w:asciiTheme="majorBidi" w:eastAsia="Calibri" w:hAnsiTheme="majorBidi" w:cs="David" w:hint="cs"/>
          <w:b/>
          <w:bCs/>
          <w:sz w:val="24"/>
          <w:szCs w:val="24"/>
          <w:rtl/>
        </w:rPr>
        <w:t xml:space="preserve">במסגרת התכנית, </w:t>
      </w:r>
      <w:r w:rsidRPr="00347B0A">
        <w:rPr>
          <w:rFonts w:ascii="David" w:hAnsi="David" w:cs="David"/>
          <w:b/>
          <w:bCs/>
          <w:sz w:val="24"/>
          <w:szCs w:val="24"/>
          <w:rtl/>
        </w:rPr>
        <w:t xml:space="preserve">בנק ישראל יספק למערכת הבנקאית הלוואות </w:t>
      </w:r>
      <w:r w:rsidR="00980B2E">
        <w:rPr>
          <w:rFonts w:ascii="David" w:hAnsi="David" w:cs="David" w:hint="cs"/>
          <w:b/>
          <w:bCs/>
          <w:sz w:val="24"/>
          <w:szCs w:val="24"/>
          <w:rtl/>
        </w:rPr>
        <w:t>מוניטריות</w:t>
      </w:r>
      <w:r w:rsidR="006220F5">
        <w:rPr>
          <w:rStyle w:val="ae"/>
          <w:rFonts w:ascii="David" w:hAnsi="David" w:cs="David"/>
          <w:b/>
          <w:bCs/>
          <w:sz w:val="24"/>
          <w:szCs w:val="24"/>
          <w:rtl/>
        </w:rPr>
        <w:footnoteReference w:id="1"/>
      </w:r>
      <w:r w:rsidR="00980B2E">
        <w:rPr>
          <w:rFonts w:ascii="David" w:hAnsi="David" w:cs="David" w:hint="cs"/>
          <w:b/>
          <w:bCs/>
          <w:sz w:val="24"/>
          <w:szCs w:val="24"/>
          <w:rtl/>
        </w:rPr>
        <w:t xml:space="preserve"> </w:t>
      </w:r>
      <w:r w:rsidR="0063065B">
        <w:rPr>
          <w:rFonts w:ascii="David" w:hAnsi="David" w:cs="David" w:hint="cs"/>
          <w:b/>
          <w:bCs/>
          <w:sz w:val="24"/>
          <w:szCs w:val="24"/>
          <w:rtl/>
        </w:rPr>
        <w:t xml:space="preserve">לתקופה של </w:t>
      </w:r>
      <w:r w:rsidR="00CF6FB2">
        <w:rPr>
          <w:rFonts w:ascii="David" w:hAnsi="David" w:cs="David" w:hint="cs"/>
          <w:b/>
          <w:bCs/>
          <w:sz w:val="24"/>
          <w:szCs w:val="24"/>
          <w:rtl/>
        </w:rPr>
        <w:t>שנתיים</w:t>
      </w:r>
      <w:r w:rsidR="002306AC">
        <w:rPr>
          <w:rFonts w:ascii="David" w:hAnsi="David" w:cs="David" w:hint="cs"/>
          <w:b/>
          <w:bCs/>
          <w:sz w:val="24"/>
          <w:szCs w:val="24"/>
          <w:rtl/>
        </w:rPr>
        <w:t xml:space="preserve"> </w:t>
      </w:r>
      <w:r w:rsidRPr="00347B0A">
        <w:rPr>
          <w:rFonts w:ascii="David" w:hAnsi="David" w:cs="David"/>
          <w:b/>
          <w:bCs/>
          <w:sz w:val="24"/>
          <w:szCs w:val="24"/>
          <w:rtl/>
        </w:rPr>
        <w:t xml:space="preserve">בריבית </w:t>
      </w:r>
      <w:r w:rsidR="00980B2E">
        <w:rPr>
          <w:rFonts w:ascii="David" w:hAnsi="David" w:cs="David" w:hint="cs"/>
          <w:b/>
          <w:bCs/>
          <w:sz w:val="24"/>
          <w:szCs w:val="24"/>
          <w:rtl/>
        </w:rPr>
        <w:t xml:space="preserve">משתנה </w:t>
      </w:r>
      <w:r w:rsidRPr="00347B0A">
        <w:rPr>
          <w:rFonts w:ascii="David" w:hAnsi="David" w:cs="David"/>
          <w:b/>
          <w:bCs/>
          <w:sz w:val="24"/>
          <w:szCs w:val="24"/>
          <w:rtl/>
        </w:rPr>
        <w:t xml:space="preserve">של </w:t>
      </w:r>
      <w:r w:rsidR="0063065B">
        <w:rPr>
          <w:rFonts w:ascii="David" w:hAnsi="David" w:cs="David" w:hint="cs"/>
          <w:b/>
          <w:bCs/>
          <w:sz w:val="24"/>
          <w:szCs w:val="24"/>
          <w:rtl/>
        </w:rPr>
        <w:t xml:space="preserve">ריבית בנק ישראל פחות </w:t>
      </w:r>
      <w:r w:rsidR="00787066">
        <w:rPr>
          <w:rFonts w:ascii="David" w:hAnsi="David" w:cs="David" w:hint="cs"/>
          <w:b/>
          <w:bCs/>
          <w:sz w:val="24"/>
          <w:szCs w:val="24"/>
          <w:rtl/>
        </w:rPr>
        <w:t>1.5</w:t>
      </w:r>
      <w:r w:rsidR="00980B2E">
        <w:rPr>
          <w:rFonts w:ascii="David" w:hAnsi="David" w:cs="David" w:hint="cs"/>
          <w:b/>
          <w:bCs/>
          <w:sz w:val="24"/>
          <w:szCs w:val="24"/>
          <w:rtl/>
        </w:rPr>
        <w:t xml:space="preserve"> </w:t>
      </w:r>
      <w:r w:rsidR="00C126B4">
        <w:rPr>
          <w:rFonts w:ascii="David" w:hAnsi="David" w:cs="David" w:hint="cs"/>
          <w:b/>
          <w:bCs/>
          <w:sz w:val="24"/>
          <w:szCs w:val="24"/>
          <w:rtl/>
        </w:rPr>
        <w:t xml:space="preserve">נקודות </w:t>
      </w:r>
      <w:r w:rsidR="00980B2E">
        <w:rPr>
          <w:rFonts w:ascii="David" w:hAnsi="David" w:cs="David" w:hint="cs"/>
          <w:b/>
          <w:bCs/>
          <w:sz w:val="24"/>
          <w:szCs w:val="24"/>
          <w:rtl/>
        </w:rPr>
        <w:t>אחוז</w:t>
      </w:r>
      <w:r w:rsidRPr="00347B0A">
        <w:rPr>
          <w:rFonts w:ascii="David" w:hAnsi="David" w:cs="David"/>
          <w:b/>
          <w:bCs/>
          <w:sz w:val="24"/>
          <w:szCs w:val="24"/>
          <w:rtl/>
        </w:rPr>
        <w:t>, כנגד הלוואות שהבנקים יעניקו לעסקים קטנים וזעירים</w:t>
      </w:r>
      <w:r w:rsidR="00AD5510">
        <w:rPr>
          <w:rFonts w:ascii="David" w:hAnsi="David" w:cs="David" w:hint="cs"/>
          <w:b/>
          <w:bCs/>
          <w:sz w:val="24"/>
          <w:szCs w:val="24"/>
          <w:rtl/>
        </w:rPr>
        <w:t xml:space="preserve"> </w:t>
      </w:r>
      <w:r w:rsidR="00C126B4">
        <w:rPr>
          <w:rFonts w:ascii="David" w:hAnsi="David" w:cs="David" w:hint="cs"/>
          <w:b/>
          <w:bCs/>
          <w:sz w:val="24"/>
          <w:szCs w:val="24"/>
          <w:rtl/>
        </w:rPr>
        <w:t xml:space="preserve">שפדיונם נפגע בשיעור </w:t>
      </w:r>
      <w:r w:rsidR="00C126B4" w:rsidRPr="00C126B4">
        <w:rPr>
          <w:rFonts w:ascii="David" w:hAnsi="David" w:cs="David" w:hint="cs"/>
          <w:b/>
          <w:bCs/>
          <w:sz w:val="24"/>
          <w:szCs w:val="24"/>
          <w:rtl/>
        </w:rPr>
        <w:t>של</w:t>
      </w:r>
      <w:r w:rsidR="00C126B4">
        <w:rPr>
          <w:rFonts w:ascii="David" w:hAnsi="David" w:cs="David" w:hint="cs"/>
          <w:b/>
          <w:bCs/>
          <w:sz w:val="24"/>
          <w:szCs w:val="24"/>
          <w:rtl/>
        </w:rPr>
        <w:t xml:space="preserve"> לפחות</w:t>
      </w:r>
      <w:r w:rsidR="00C126B4" w:rsidRPr="00C126B4">
        <w:rPr>
          <w:rFonts w:ascii="David" w:hAnsi="David" w:cs="David" w:hint="cs"/>
          <w:b/>
          <w:bCs/>
          <w:sz w:val="24"/>
          <w:szCs w:val="24"/>
          <w:rtl/>
        </w:rPr>
        <w:t xml:space="preserve"> 25 אחוזים</w:t>
      </w:r>
      <w:r w:rsidR="00C126B4">
        <w:rPr>
          <w:rStyle w:val="ae"/>
          <w:rFonts w:ascii="David" w:hAnsi="David" w:cs="David"/>
          <w:b/>
          <w:bCs/>
          <w:sz w:val="24"/>
          <w:szCs w:val="24"/>
          <w:rtl/>
        </w:rPr>
        <w:footnoteReference w:id="2"/>
      </w:r>
      <w:r w:rsidR="00C126B4">
        <w:rPr>
          <w:rFonts w:ascii="David" w:hAnsi="David" w:cs="David" w:hint="cs"/>
          <w:b/>
          <w:bCs/>
          <w:sz w:val="24"/>
          <w:szCs w:val="24"/>
          <w:rtl/>
        </w:rPr>
        <w:t xml:space="preserve"> </w:t>
      </w:r>
      <w:r w:rsidR="00AD5510">
        <w:rPr>
          <w:rFonts w:ascii="David" w:hAnsi="David" w:cs="David" w:hint="cs"/>
          <w:b/>
          <w:bCs/>
          <w:sz w:val="24"/>
          <w:szCs w:val="24"/>
          <w:rtl/>
        </w:rPr>
        <w:t>כתוצאה מהמלחמה</w:t>
      </w:r>
      <w:r w:rsidRPr="00347B0A">
        <w:rPr>
          <w:rFonts w:ascii="David" w:hAnsi="David" w:cs="David"/>
          <w:b/>
          <w:bCs/>
          <w:sz w:val="24"/>
          <w:szCs w:val="24"/>
          <w:rtl/>
        </w:rPr>
        <w:t xml:space="preserve">, </w:t>
      </w:r>
      <w:r w:rsidRPr="00347B0A">
        <w:rPr>
          <w:rFonts w:ascii="David" w:hAnsi="David" w:cs="David" w:hint="cs"/>
          <w:b/>
          <w:bCs/>
          <w:sz w:val="24"/>
          <w:szCs w:val="24"/>
          <w:rtl/>
        </w:rPr>
        <w:t>ובתנאי ש</w:t>
      </w:r>
      <w:r w:rsidR="00C126B4">
        <w:rPr>
          <w:rFonts w:ascii="David" w:hAnsi="David" w:cs="David" w:hint="cs"/>
          <w:b/>
          <w:bCs/>
          <w:sz w:val="24"/>
          <w:szCs w:val="24"/>
          <w:rtl/>
        </w:rPr>
        <w:t xml:space="preserve">ממוצע </w:t>
      </w:r>
      <w:r w:rsidRPr="00347B0A">
        <w:rPr>
          <w:rFonts w:ascii="David" w:hAnsi="David" w:cs="David" w:hint="cs"/>
          <w:b/>
          <w:bCs/>
          <w:sz w:val="24"/>
          <w:szCs w:val="24"/>
          <w:rtl/>
        </w:rPr>
        <w:t>הריבית על ההלוואות ל</w:t>
      </w:r>
      <w:r w:rsidR="00AD5510">
        <w:rPr>
          <w:rFonts w:ascii="David" w:hAnsi="David" w:cs="David" w:hint="cs"/>
          <w:b/>
          <w:bCs/>
          <w:sz w:val="24"/>
          <w:szCs w:val="24"/>
          <w:rtl/>
        </w:rPr>
        <w:t xml:space="preserve">אותם </w:t>
      </w:r>
      <w:r w:rsidRPr="00347B0A">
        <w:rPr>
          <w:rFonts w:ascii="David" w:hAnsi="David" w:cs="David" w:hint="cs"/>
          <w:b/>
          <w:bCs/>
          <w:sz w:val="24"/>
          <w:szCs w:val="24"/>
          <w:rtl/>
        </w:rPr>
        <w:t xml:space="preserve">עסקים </w:t>
      </w:r>
      <w:r w:rsidR="00F725FA">
        <w:rPr>
          <w:rFonts w:ascii="David" w:hAnsi="David" w:cs="David" w:hint="cs"/>
          <w:b/>
          <w:bCs/>
          <w:sz w:val="24"/>
          <w:szCs w:val="24"/>
          <w:rtl/>
        </w:rPr>
        <w:t xml:space="preserve">קטנים וזעירים </w:t>
      </w:r>
      <w:r w:rsidRPr="00347B0A">
        <w:rPr>
          <w:rFonts w:ascii="David" w:hAnsi="David" w:cs="David"/>
          <w:b/>
          <w:bCs/>
          <w:sz w:val="24"/>
          <w:szCs w:val="24"/>
          <w:rtl/>
        </w:rPr>
        <w:t xml:space="preserve">לא </w:t>
      </w:r>
      <w:r w:rsidR="001F3A29">
        <w:rPr>
          <w:rFonts w:ascii="David" w:hAnsi="David" w:cs="David" w:hint="cs"/>
          <w:b/>
          <w:bCs/>
          <w:sz w:val="24"/>
          <w:szCs w:val="24"/>
          <w:rtl/>
        </w:rPr>
        <w:t>י</w:t>
      </w:r>
      <w:r w:rsidRPr="00347B0A">
        <w:rPr>
          <w:rFonts w:ascii="David" w:hAnsi="David" w:cs="David"/>
          <w:b/>
          <w:bCs/>
          <w:sz w:val="24"/>
          <w:szCs w:val="24"/>
          <w:rtl/>
        </w:rPr>
        <w:t xml:space="preserve">עלה </w:t>
      </w:r>
      <w:r w:rsidRPr="00347B0A">
        <w:rPr>
          <w:rFonts w:ascii="David" w:hAnsi="David" w:cs="David" w:hint="cs"/>
          <w:b/>
          <w:bCs/>
          <w:sz w:val="24"/>
          <w:szCs w:val="24"/>
          <w:rtl/>
        </w:rPr>
        <w:t xml:space="preserve">על </w:t>
      </w:r>
      <w:r w:rsidR="00C126B4">
        <w:rPr>
          <w:rFonts w:ascii="David" w:hAnsi="David" w:cs="David" w:hint="cs"/>
          <w:b/>
          <w:bCs/>
          <w:sz w:val="24"/>
          <w:szCs w:val="24"/>
          <w:rtl/>
        </w:rPr>
        <w:t>ריבית פריים.</w:t>
      </w:r>
      <w:r>
        <w:rPr>
          <w:rFonts w:ascii="David" w:hAnsi="David" w:cs="David" w:hint="cs"/>
          <w:sz w:val="24"/>
          <w:szCs w:val="24"/>
          <w:rtl/>
        </w:rPr>
        <w:t xml:space="preserve"> </w:t>
      </w:r>
    </w:p>
    <w:p w:rsidR="009169B7" w:rsidRDefault="00AD5510" w:rsidP="007B127C">
      <w:pPr>
        <w:spacing w:line="360" w:lineRule="auto"/>
        <w:jc w:val="both"/>
        <w:rPr>
          <w:rFonts w:ascii="David" w:hAnsi="David" w:cs="David"/>
          <w:sz w:val="24"/>
          <w:szCs w:val="24"/>
          <w:rtl/>
        </w:rPr>
      </w:pPr>
      <w:r>
        <w:rPr>
          <w:rFonts w:ascii="David" w:hAnsi="David" w:cs="David" w:hint="cs"/>
          <w:sz w:val="24"/>
          <w:szCs w:val="24"/>
          <w:rtl/>
        </w:rPr>
        <w:t xml:space="preserve">צעד </w:t>
      </w:r>
      <w:r w:rsidR="00A833C0">
        <w:rPr>
          <w:rFonts w:ascii="David" w:hAnsi="David" w:cs="David" w:hint="cs"/>
          <w:sz w:val="24"/>
          <w:szCs w:val="24"/>
          <w:rtl/>
        </w:rPr>
        <w:t xml:space="preserve">זה </w:t>
      </w:r>
      <w:r w:rsidR="00C126B4">
        <w:rPr>
          <w:rFonts w:ascii="David" w:hAnsi="David" w:cs="David" w:hint="cs"/>
          <w:sz w:val="24"/>
          <w:szCs w:val="24"/>
          <w:rtl/>
        </w:rPr>
        <w:t>נועד לסייע לעסקים קטנים וזעירים לצלוח תקופה מאתגרת זו עד לשובם לפעילות עסקית מלאה, ו</w:t>
      </w:r>
      <w:r w:rsidR="00A833C0">
        <w:rPr>
          <w:rFonts w:ascii="David" w:hAnsi="David" w:cs="David" w:hint="cs"/>
          <w:sz w:val="24"/>
          <w:szCs w:val="24"/>
          <w:rtl/>
        </w:rPr>
        <w:t>מתווסף לשלל צעדים שננקטו עד כה</w:t>
      </w:r>
      <w:r w:rsidR="00C126B4">
        <w:rPr>
          <w:rFonts w:ascii="David" w:hAnsi="David" w:cs="David" w:hint="cs"/>
          <w:sz w:val="24"/>
          <w:szCs w:val="24"/>
          <w:rtl/>
        </w:rPr>
        <w:t xml:space="preserve"> בתחום האשראי</w:t>
      </w:r>
      <w:r w:rsidR="00A833C0">
        <w:rPr>
          <w:rFonts w:ascii="David" w:hAnsi="David" w:cs="David" w:hint="cs"/>
          <w:sz w:val="24"/>
          <w:szCs w:val="24"/>
          <w:rtl/>
        </w:rPr>
        <w:t>, ובראשם הפעלת המתווה הרוחבי שקידם הפיקוח על הבנקים לדחיית הלוואות למשקי בית של הבנקים וחברות כרטיסי האשראי.</w:t>
      </w:r>
      <w:r w:rsidR="002306AC">
        <w:rPr>
          <w:rFonts w:ascii="David" w:hAnsi="David" w:cs="David" w:hint="cs"/>
          <w:sz w:val="24"/>
          <w:szCs w:val="24"/>
          <w:rtl/>
        </w:rPr>
        <w:t xml:space="preserve"> </w:t>
      </w:r>
    </w:p>
    <w:p w:rsidR="00E511DF" w:rsidRPr="00E511DF" w:rsidRDefault="00E511DF" w:rsidP="007B127C">
      <w:pPr>
        <w:spacing w:line="360" w:lineRule="auto"/>
        <w:jc w:val="both"/>
        <w:rPr>
          <w:rFonts w:ascii="David" w:hAnsi="David" w:cs="David"/>
          <w:sz w:val="24"/>
          <w:szCs w:val="24"/>
          <w:rtl/>
        </w:rPr>
      </w:pPr>
      <w:r w:rsidRPr="00E511DF">
        <w:rPr>
          <w:rFonts w:ascii="David" w:hAnsi="David" w:cs="David"/>
          <w:sz w:val="24"/>
          <w:szCs w:val="24"/>
          <w:rtl/>
        </w:rPr>
        <w:t>ב-20.11 , הוועדה המוניטרית החליטה להרחיב את התנאים לתכנית המוניטרית להקלת האשראי לעסקים קטנים וזעירים באמצעות מערכת הבנקאות שפורסמה ב-6 בנובמבר 2023 ובמסגרת זו, בנק ישראל יעמיד מסלול נוסף להלוואות מוניטריות לטווח של 3 שנים בכפוף להעמדת אשראי לטווח של מעל לשנתיים לעסקים קטנים וזעירים שנפגעו כתוצאה מהמלחמה בכפוף ליתר תנאי התוכנית. היקף התכנית הכולל הינו ללא שינוי ויעמוד על עד 10 מיליארדי ש"ח. הפרטים המלאים יפורסמו למערכת בחוזר נפרד.</w:t>
      </w:r>
      <w:bookmarkStart w:id="0" w:name="_GoBack"/>
      <w:bookmarkEnd w:id="0"/>
    </w:p>
    <w:p w:rsidR="007B127C" w:rsidRPr="00A833C0" w:rsidRDefault="007B127C" w:rsidP="007B127C">
      <w:pPr>
        <w:spacing w:line="360" w:lineRule="auto"/>
        <w:jc w:val="both"/>
        <w:rPr>
          <w:rFonts w:ascii="David" w:hAnsi="David" w:cs="David"/>
          <w:sz w:val="24"/>
          <w:szCs w:val="24"/>
        </w:rPr>
      </w:pPr>
    </w:p>
    <w:p w:rsidR="00912867" w:rsidRPr="00504DD0" w:rsidRDefault="00912867" w:rsidP="00912867">
      <w:pPr>
        <w:pStyle w:val="a3"/>
        <w:numPr>
          <w:ilvl w:val="0"/>
          <w:numId w:val="2"/>
        </w:numPr>
        <w:spacing w:after="200" w:line="360" w:lineRule="auto"/>
        <w:ind w:right="-102"/>
        <w:jc w:val="both"/>
        <w:rPr>
          <w:rFonts w:ascii="David" w:hAnsi="David" w:cs="David"/>
          <w:color w:val="000000" w:themeColor="text1"/>
          <w:sz w:val="24"/>
          <w:szCs w:val="24"/>
          <w:shd w:val="clear" w:color="auto" w:fill="FFFFFF"/>
          <w:rtl/>
        </w:rPr>
      </w:pPr>
      <w:r w:rsidRPr="00504DD0">
        <w:rPr>
          <w:rFonts w:ascii="David" w:hAnsi="David" w:cs="David"/>
          <w:color w:val="000000" w:themeColor="text1"/>
          <w:sz w:val="24"/>
          <w:szCs w:val="24"/>
          <w:shd w:val="clear" w:color="auto" w:fill="FFFFFF"/>
          <w:rtl/>
        </w:rPr>
        <w:t>היחידה לפניות הציבור ולבקרה צרכנית בפיקוח על הבנקים: 02-6552680 או 9086*</w:t>
      </w:r>
    </w:p>
    <w:p w:rsidR="00912867" w:rsidRPr="00687CF4" w:rsidRDefault="00912867" w:rsidP="00912867">
      <w:pPr>
        <w:pStyle w:val="a3"/>
        <w:numPr>
          <w:ilvl w:val="0"/>
          <w:numId w:val="2"/>
        </w:numPr>
        <w:spacing w:after="200" w:line="360" w:lineRule="auto"/>
        <w:ind w:right="-102"/>
        <w:jc w:val="both"/>
        <w:rPr>
          <w:rFonts w:ascii="David" w:hAnsi="David" w:cs="David"/>
          <w:color w:val="000000" w:themeColor="text1"/>
          <w:sz w:val="24"/>
          <w:szCs w:val="24"/>
          <w:shd w:val="clear" w:color="auto" w:fill="FFFFFF"/>
        </w:rPr>
      </w:pPr>
      <w:r>
        <w:rPr>
          <w:rFonts w:ascii="David" w:hAnsi="David" w:cs="David" w:hint="cs"/>
          <w:color w:val="000000" w:themeColor="text1"/>
          <w:sz w:val="24"/>
          <w:szCs w:val="24"/>
          <w:shd w:val="clear" w:color="auto" w:fill="FFFFFF"/>
          <w:rtl/>
        </w:rPr>
        <w:t xml:space="preserve">מוקד הממונה על </w:t>
      </w:r>
      <w:r w:rsidRPr="00504DD0">
        <w:rPr>
          <w:rFonts w:ascii="David" w:hAnsi="David" w:cs="David"/>
          <w:color w:val="000000" w:themeColor="text1"/>
          <w:sz w:val="24"/>
          <w:szCs w:val="24"/>
          <w:shd w:val="clear" w:color="auto" w:fill="FFFFFF"/>
          <w:rtl/>
        </w:rPr>
        <w:t>נתוני אשראי</w:t>
      </w:r>
      <w:r>
        <w:rPr>
          <w:rFonts w:ascii="David" w:hAnsi="David" w:cs="David" w:hint="cs"/>
          <w:color w:val="000000" w:themeColor="text1"/>
          <w:sz w:val="24"/>
          <w:szCs w:val="24"/>
          <w:shd w:val="clear" w:color="auto" w:fill="FFFFFF"/>
          <w:rtl/>
        </w:rPr>
        <w:t xml:space="preserve"> בבנק ישראל</w:t>
      </w:r>
      <w:r w:rsidRPr="00504DD0">
        <w:rPr>
          <w:rFonts w:ascii="David" w:hAnsi="David" w:cs="David"/>
          <w:color w:val="000000" w:themeColor="text1"/>
          <w:sz w:val="24"/>
          <w:szCs w:val="24"/>
          <w:shd w:val="clear" w:color="auto" w:fill="FFFFFF"/>
          <w:rtl/>
        </w:rPr>
        <w:t>: 6194*</w:t>
      </w:r>
    </w:p>
    <w:p w:rsidR="00F725FA" w:rsidRDefault="00912867" w:rsidP="00A833C0">
      <w:pPr>
        <w:pStyle w:val="a3"/>
        <w:numPr>
          <w:ilvl w:val="0"/>
          <w:numId w:val="2"/>
        </w:numPr>
        <w:spacing w:after="200" w:line="360" w:lineRule="auto"/>
        <w:ind w:right="-102"/>
        <w:jc w:val="both"/>
        <w:rPr>
          <w:rFonts w:ascii="David" w:hAnsi="David" w:cs="David"/>
          <w:color w:val="000000" w:themeColor="text1"/>
          <w:sz w:val="24"/>
          <w:szCs w:val="24"/>
          <w:shd w:val="clear" w:color="auto" w:fill="FFFFFF"/>
        </w:rPr>
      </w:pPr>
      <w:r w:rsidRPr="00504DD0">
        <w:rPr>
          <w:rFonts w:ascii="David" w:hAnsi="David" w:cs="David" w:hint="cs"/>
          <w:color w:val="000000" w:themeColor="text1"/>
          <w:sz w:val="24"/>
          <w:szCs w:val="24"/>
          <w:shd w:val="clear" w:color="auto" w:fill="FFFFFF"/>
          <w:rtl/>
        </w:rPr>
        <w:t>לדף המידע לחירום ש</w:t>
      </w:r>
      <w:hyperlink r:id="rId9" w:history="1">
        <w:r w:rsidRPr="00687CF4">
          <w:rPr>
            <w:rStyle w:val="Hyperlink"/>
            <w:rFonts w:ascii="David" w:hAnsi="David" w:cs="David"/>
            <w:sz w:val="24"/>
            <w:szCs w:val="24"/>
            <w:shd w:val="clear" w:color="auto" w:fill="FFFFFF"/>
            <w:rtl/>
          </w:rPr>
          <w:t>באתר בנק ישראל</w:t>
        </w:r>
      </w:hyperlink>
      <w:r w:rsidRPr="00BC6700">
        <w:rPr>
          <w:rFonts w:ascii="David" w:hAnsi="David" w:cs="David"/>
          <w:color w:val="000000" w:themeColor="text1"/>
          <w:sz w:val="24"/>
          <w:szCs w:val="24"/>
          <w:shd w:val="clear" w:color="auto" w:fill="FFFFFF"/>
          <w:rtl/>
        </w:rPr>
        <w:t>.</w:t>
      </w:r>
      <w:r>
        <w:rPr>
          <w:rFonts w:ascii="David" w:hAnsi="David" w:cs="David" w:hint="cs"/>
          <w:color w:val="000000" w:themeColor="text1"/>
          <w:sz w:val="24"/>
          <w:szCs w:val="24"/>
          <w:shd w:val="clear" w:color="auto" w:fill="FFFFFF"/>
          <w:rtl/>
        </w:rPr>
        <w:t xml:space="preserve"> </w:t>
      </w:r>
    </w:p>
    <w:p w:rsidR="00787066" w:rsidRPr="00F00485" w:rsidRDefault="00787066" w:rsidP="00787066">
      <w:pPr>
        <w:spacing w:after="200" w:line="360" w:lineRule="auto"/>
        <w:ind w:right="-102"/>
        <w:jc w:val="both"/>
        <w:rPr>
          <w:rFonts w:ascii="David" w:hAnsi="David" w:cs="David"/>
          <w:color w:val="000000" w:themeColor="text1"/>
          <w:sz w:val="24"/>
          <w:szCs w:val="24"/>
          <w:shd w:val="clear" w:color="auto" w:fill="FFFFFF"/>
          <w:rtl/>
        </w:rPr>
      </w:pPr>
    </w:p>
    <w:sectPr w:rsidR="00787066" w:rsidRPr="00F00485" w:rsidSect="00140CB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1A" w:rsidRDefault="00142A1A" w:rsidP="002306AC">
      <w:pPr>
        <w:spacing w:after="0" w:line="240" w:lineRule="auto"/>
      </w:pPr>
      <w:r>
        <w:separator/>
      </w:r>
    </w:p>
  </w:endnote>
  <w:endnote w:type="continuationSeparator" w:id="0">
    <w:p w:rsidR="00142A1A" w:rsidRDefault="00142A1A" w:rsidP="0023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27" w:rsidRDefault="00A50D2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27" w:rsidRDefault="00A50D2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27" w:rsidRDefault="00A50D2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1A" w:rsidRDefault="00142A1A" w:rsidP="002306AC">
      <w:pPr>
        <w:spacing w:after="0" w:line="240" w:lineRule="auto"/>
      </w:pPr>
      <w:r>
        <w:separator/>
      </w:r>
    </w:p>
  </w:footnote>
  <w:footnote w:type="continuationSeparator" w:id="0">
    <w:p w:rsidR="00142A1A" w:rsidRDefault="00142A1A" w:rsidP="002306AC">
      <w:pPr>
        <w:spacing w:after="0" w:line="240" w:lineRule="auto"/>
      </w:pPr>
      <w:r>
        <w:continuationSeparator/>
      </w:r>
    </w:p>
  </w:footnote>
  <w:footnote w:id="1">
    <w:p w:rsidR="006220F5" w:rsidRDefault="006220F5" w:rsidP="006220F5">
      <w:pPr>
        <w:pStyle w:val="ac"/>
        <w:rPr>
          <w:rtl/>
        </w:rPr>
      </w:pPr>
      <w:r>
        <w:rPr>
          <w:rStyle w:val="ae"/>
        </w:rPr>
        <w:footnoteRef/>
      </w:r>
      <w:r>
        <w:rPr>
          <w:rtl/>
        </w:rPr>
        <w:t xml:space="preserve"> </w:t>
      </w:r>
      <w:r>
        <w:rPr>
          <w:rFonts w:hint="cs"/>
          <w:rtl/>
        </w:rPr>
        <w:t>יתר פרטי התכנית יופצו בחוזר נפרד למערכת הבנקאית ולציבור.</w:t>
      </w:r>
    </w:p>
  </w:footnote>
  <w:footnote w:id="2">
    <w:p w:rsidR="00C126B4" w:rsidRDefault="00C126B4" w:rsidP="00C126B4">
      <w:pPr>
        <w:pStyle w:val="ac"/>
        <w:rPr>
          <w:rtl/>
        </w:rPr>
      </w:pPr>
      <w:r>
        <w:rPr>
          <w:rStyle w:val="ae"/>
        </w:rPr>
        <w:footnoteRef/>
      </w:r>
      <w:r>
        <w:rPr>
          <w:rtl/>
        </w:rPr>
        <w:t xml:space="preserve"> </w:t>
      </w:r>
      <w:r w:rsidRPr="00C126B4">
        <w:rPr>
          <w:rFonts w:hint="cs"/>
          <w:rtl/>
        </w:rPr>
        <w:t xml:space="preserve">הפגיעה בפדיון היא של לפחות 25% </w:t>
      </w:r>
      <w:r>
        <w:rPr>
          <w:rFonts w:hint="cs"/>
          <w:rtl/>
        </w:rPr>
        <w:t xml:space="preserve">באחד מהחודשים </w:t>
      </w:r>
      <w:proofErr w:type="spellStart"/>
      <w:r>
        <w:rPr>
          <w:rFonts w:hint="cs"/>
          <w:rtl/>
        </w:rPr>
        <w:t>הקלנדריים</w:t>
      </w:r>
      <w:proofErr w:type="spellEnd"/>
      <w:r>
        <w:rPr>
          <w:rFonts w:hint="cs"/>
          <w:rtl/>
        </w:rPr>
        <w:t xml:space="preserve"> אוקטובר/נובמבר/דצמבר או יותר.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27" w:rsidRDefault="00A50D2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27" w:rsidRDefault="00A50D27">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27" w:rsidRDefault="00A50D2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69C"/>
    <w:multiLevelType w:val="hybridMultilevel"/>
    <w:tmpl w:val="B276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B3F9E"/>
    <w:multiLevelType w:val="hybridMultilevel"/>
    <w:tmpl w:val="F19A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61"/>
    <w:rsid w:val="000504C2"/>
    <w:rsid w:val="000B24C9"/>
    <w:rsid w:val="00140CB2"/>
    <w:rsid w:val="00142A1A"/>
    <w:rsid w:val="001F3A29"/>
    <w:rsid w:val="00202261"/>
    <w:rsid w:val="00204A38"/>
    <w:rsid w:val="002306AC"/>
    <w:rsid w:val="00247668"/>
    <w:rsid w:val="00322AA1"/>
    <w:rsid w:val="00345D49"/>
    <w:rsid w:val="00347B0A"/>
    <w:rsid w:val="0038625D"/>
    <w:rsid w:val="003D5CED"/>
    <w:rsid w:val="00431198"/>
    <w:rsid w:val="0044010C"/>
    <w:rsid w:val="00600B55"/>
    <w:rsid w:val="006220F5"/>
    <w:rsid w:val="0063065B"/>
    <w:rsid w:val="006704DA"/>
    <w:rsid w:val="006E2999"/>
    <w:rsid w:val="006F3AFD"/>
    <w:rsid w:val="00787066"/>
    <w:rsid w:val="007B127C"/>
    <w:rsid w:val="007D24E3"/>
    <w:rsid w:val="00862CD9"/>
    <w:rsid w:val="00885A36"/>
    <w:rsid w:val="00912867"/>
    <w:rsid w:val="009169B7"/>
    <w:rsid w:val="00920E02"/>
    <w:rsid w:val="00926FF4"/>
    <w:rsid w:val="00967536"/>
    <w:rsid w:val="00980B2E"/>
    <w:rsid w:val="00A50D27"/>
    <w:rsid w:val="00A833C0"/>
    <w:rsid w:val="00AD5510"/>
    <w:rsid w:val="00B46261"/>
    <w:rsid w:val="00BB15FE"/>
    <w:rsid w:val="00BD7855"/>
    <w:rsid w:val="00C126B4"/>
    <w:rsid w:val="00C14733"/>
    <w:rsid w:val="00CB1707"/>
    <w:rsid w:val="00CC0BF1"/>
    <w:rsid w:val="00CC2C06"/>
    <w:rsid w:val="00CF6FB2"/>
    <w:rsid w:val="00D417AE"/>
    <w:rsid w:val="00D4671D"/>
    <w:rsid w:val="00D74698"/>
    <w:rsid w:val="00E10497"/>
    <w:rsid w:val="00E34104"/>
    <w:rsid w:val="00E511DF"/>
    <w:rsid w:val="00F00485"/>
    <w:rsid w:val="00F14FE5"/>
    <w:rsid w:val="00F725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39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2261"/>
    <w:pPr>
      <w:ind w:left="720"/>
      <w:contextualSpacing/>
    </w:pPr>
  </w:style>
  <w:style w:type="paragraph" w:styleId="a5">
    <w:name w:val="Balloon Text"/>
    <w:basedOn w:val="a"/>
    <w:link w:val="a6"/>
    <w:uiPriority w:val="99"/>
    <w:semiHidden/>
    <w:unhideWhenUsed/>
    <w:rsid w:val="00202261"/>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202261"/>
    <w:rPr>
      <w:rFonts w:ascii="Tahoma" w:hAnsi="Tahoma" w:cs="Tahoma"/>
      <w:sz w:val="18"/>
      <w:szCs w:val="18"/>
    </w:rPr>
  </w:style>
  <w:style w:type="character" w:customStyle="1" w:styleId="default">
    <w:name w:val="default"/>
    <w:rsid w:val="00F725FA"/>
    <w:rPr>
      <w:rFonts w:ascii="Times New Roman" w:hAnsi="Times New Roman" w:cs="Times New Roman"/>
      <w:sz w:val="26"/>
      <w:szCs w:val="26"/>
    </w:rPr>
  </w:style>
  <w:style w:type="character" w:styleId="a7">
    <w:name w:val="annotation reference"/>
    <w:basedOn w:val="a0"/>
    <w:uiPriority w:val="99"/>
    <w:semiHidden/>
    <w:unhideWhenUsed/>
    <w:rsid w:val="00CC2C06"/>
    <w:rPr>
      <w:sz w:val="16"/>
      <w:szCs w:val="16"/>
    </w:rPr>
  </w:style>
  <w:style w:type="paragraph" w:styleId="a8">
    <w:name w:val="annotation text"/>
    <w:basedOn w:val="a"/>
    <w:link w:val="a9"/>
    <w:uiPriority w:val="99"/>
    <w:semiHidden/>
    <w:unhideWhenUsed/>
    <w:rsid w:val="00CC2C06"/>
    <w:pPr>
      <w:spacing w:line="240" w:lineRule="auto"/>
    </w:pPr>
    <w:rPr>
      <w:sz w:val="20"/>
      <w:szCs w:val="20"/>
    </w:rPr>
  </w:style>
  <w:style w:type="character" w:customStyle="1" w:styleId="a9">
    <w:name w:val="טקסט הערה תו"/>
    <w:basedOn w:val="a0"/>
    <w:link w:val="a8"/>
    <w:uiPriority w:val="99"/>
    <w:semiHidden/>
    <w:rsid w:val="00CC2C06"/>
    <w:rPr>
      <w:sz w:val="20"/>
      <w:szCs w:val="20"/>
    </w:rPr>
  </w:style>
  <w:style w:type="paragraph" w:styleId="aa">
    <w:name w:val="annotation subject"/>
    <w:basedOn w:val="a8"/>
    <w:next w:val="a8"/>
    <w:link w:val="ab"/>
    <w:uiPriority w:val="99"/>
    <w:semiHidden/>
    <w:unhideWhenUsed/>
    <w:rsid w:val="00CC2C06"/>
    <w:rPr>
      <w:b/>
      <w:bCs/>
    </w:rPr>
  </w:style>
  <w:style w:type="character" w:customStyle="1" w:styleId="ab">
    <w:name w:val="נושא הערה תו"/>
    <w:basedOn w:val="a9"/>
    <w:link w:val="aa"/>
    <w:uiPriority w:val="99"/>
    <w:semiHidden/>
    <w:rsid w:val="00CC2C06"/>
    <w:rPr>
      <w:b/>
      <w:bCs/>
      <w:sz w:val="20"/>
      <w:szCs w:val="20"/>
    </w:rPr>
  </w:style>
  <w:style w:type="character" w:styleId="Hyperlink">
    <w:name w:val="Hyperlink"/>
    <w:basedOn w:val="a0"/>
    <w:uiPriority w:val="99"/>
    <w:unhideWhenUsed/>
    <w:rsid w:val="00912867"/>
    <w:rPr>
      <w:color w:val="0563C1" w:themeColor="hyperlink"/>
      <w:u w:val="single"/>
    </w:rPr>
  </w:style>
  <w:style w:type="character" w:customStyle="1" w:styleId="a4">
    <w:name w:val="פיסקת רשימה תו"/>
    <w:basedOn w:val="a0"/>
    <w:link w:val="a3"/>
    <w:uiPriority w:val="34"/>
    <w:locked/>
    <w:rsid w:val="00912867"/>
  </w:style>
  <w:style w:type="paragraph" w:styleId="ac">
    <w:name w:val="footnote text"/>
    <w:basedOn w:val="a"/>
    <w:link w:val="ad"/>
    <w:uiPriority w:val="99"/>
    <w:semiHidden/>
    <w:unhideWhenUsed/>
    <w:rsid w:val="002306AC"/>
    <w:pPr>
      <w:spacing w:after="0" w:line="240" w:lineRule="auto"/>
    </w:pPr>
    <w:rPr>
      <w:sz w:val="20"/>
      <w:szCs w:val="20"/>
    </w:rPr>
  </w:style>
  <w:style w:type="character" w:customStyle="1" w:styleId="ad">
    <w:name w:val="טקסט הערת שוליים תו"/>
    <w:basedOn w:val="a0"/>
    <w:link w:val="ac"/>
    <w:uiPriority w:val="99"/>
    <w:semiHidden/>
    <w:rsid w:val="002306AC"/>
    <w:rPr>
      <w:sz w:val="20"/>
      <w:szCs w:val="20"/>
    </w:rPr>
  </w:style>
  <w:style w:type="character" w:styleId="ae">
    <w:name w:val="footnote reference"/>
    <w:basedOn w:val="a0"/>
    <w:uiPriority w:val="99"/>
    <w:semiHidden/>
    <w:unhideWhenUsed/>
    <w:rsid w:val="002306AC"/>
    <w:rPr>
      <w:vertAlign w:val="superscript"/>
    </w:rPr>
  </w:style>
  <w:style w:type="paragraph" w:styleId="af">
    <w:name w:val="header"/>
    <w:basedOn w:val="a"/>
    <w:link w:val="af0"/>
    <w:uiPriority w:val="99"/>
    <w:unhideWhenUsed/>
    <w:rsid w:val="00A50D27"/>
    <w:pPr>
      <w:tabs>
        <w:tab w:val="center" w:pos="4153"/>
        <w:tab w:val="right" w:pos="8306"/>
      </w:tabs>
      <w:spacing w:after="0" w:line="240" w:lineRule="auto"/>
    </w:pPr>
  </w:style>
  <w:style w:type="character" w:customStyle="1" w:styleId="af0">
    <w:name w:val="כותרת עליונה תו"/>
    <w:basedOn w:val="a0"/>
    <w:link w:val="af"/>
    <w:uiPriority w:val="99"/>
    <w:rsid w:val="00A50D27"/>
  </w:style>
  <w:style w:type="paragraph" w:styleId="af1">
    <w:name w:val="footer"/>
    <w:basedOn w:val="a"/>
    <w:link w:val="af2"/>
    <w:uiPriority w:val="99"/>
    <w:unhideWhenUsed/>
    <w:rsid w:val="00A50D27"/>
    <w:pPr>
      <w:tabs>
        <w:tab w:val="center" w:pos="4153"/>
        <w:tab w:val="right" w:pos="8306"/>
      </w:tabs>
      <w:spacing w:after="0" w:line="240" w:lineRule="auto"/>
    </w:pPr>
  </w:style>
  <w:style w:type="character" w:customStyle="1" w:styleId="af2">
    <w:name w:val="כותרת תחתונה תו"/>
    <w:basedOn w:val="a0"/>
    <w:link w:val="af1"/>
    <w:uiPriority w:val="99"/>
    <w:rsid w:val="00A5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i.org.il/bank-of-israel/iron-swords/"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8747-9E7B-4959-9395-4F96398E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1856</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2023-11-06T08:51:00Z</dcterms:created>
  <dcterms:modified xsi:type="dcterms:W3CDTF">2023-11-23T09:00:00Z</dcterms:modified>
</cp:coreProperties>
</file>