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12" w:rsidRPr="00E8008F" w:rsidRDefault="00EB64E3" w:rsidP="00B108AE">
      <w:pPr>
        <w:bidi w:val="0"/>
        <w:jc w:val="center"/>
        <w:rPr>
          <w:rtl/>
        </w:rPr>
      </w:pPr>
      <w:r>
        <w:rPr>
          <w:noProof/>
        </w:rPr>
        <w:drawing>
          <wp:inline distT="0" distB="0" distL="0" distR="0" wp14:anchorId="74971FE6" wp14:editId="64AF9E82">
            <wp:extent cx="772160" cy="769620"/>
            <wp:effectExtent l="0" t="0" r="8890" b="0"/>
            <wp:docPr id="2" name="תמונה 2" descr="Bank of Israel logo" title="Bank of Israel logo"/>
            <wp:cNvGraphicFramePr/>
            <a:graphic xmlns:a="http://schemas.openxmlformats.org/drawingml/2006/main">
              <a:graphicData uri="http://schemas.openxmlformats.org/drawingml/2006/picture">
                <pic:pic xmlns:pic="http://schemas.openxmlformats.org/drawingml/2006/picture">
                  <pic:nvPicPr>
                    <pic:cNvPr id="2" name="תמונה 2" descr="K:\Dover\תפעול לשכת הדובר\כלים\לוגו\boi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inline>
        </w:drawing>
      </w:r>
    </w:p>
    <w:p w:rsidR="008A7212" w:rsidRDefault="008A7212" w:rsidP="00B108AE">
      <w:pPr>
        <w:pStyle w:val="regpar"/>
        <w:spacing w:line="300" w:lineRule="atLeast"/>
        <w:ind w:firstLine="0"/>
        <w:jc w:val="center"/>
        <w:rPr>
          <w:b/>
        </w:rPr>
      </w:pPr>
    </w:p>
    <w:p w:rsidR="008A7212" w:rsidRPr="00000A06" w:rsidRDefault="008A7212" w:rsidP="00B108A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8A7212" w:rsidRPr="00000A06" w:rsidRDefault="008A7212" w:rsidP="00B108AE">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rsidR="00701B95" w:rsidRDefault="00701B95" w:rsidP="00701B95">
      <w:pPr>
        <w:bidi w:val="0"/>
        <w:jc w:val="center"/>
        <w:rPr>
          <w:rFonts w:cs="David"/>
          <w:b/>
          <w:bCs/>
          <w:sz w:val="26"/>
          <w:szCs w:val="26"/>
        </w:rPr>
      </w:pPr>
    </w:p>
    <w:p w:rsidR="00701B95" w:rsidRDefault="00701B95" w:rsidP="003F1C68">
      <w:pPr>
        <w:bidi w:val="0"/>
        <w:jc w:val="right"/>
      </w:pPr>
      <w:r>
        <w:t xml:space="preserve">December </w:t>
      </w:r>
      <w:r w:rsidR="003F1C68">
        <w:t>8</w:t>
      </w:r>
      <w:r w:rsidRPr="00A62731">
        <w:t>, 2016</w:t>
      </w:r>
    </w:p>
    <w:p w:rsidR="003F1C68" w:rsidRDefault="003F1C68" w:rsidP="00701B95">
      <w:pPr>
        <w:pStyle w:val="PressReleaseTitle"/>
      </w:pPr>
    </w:p>
    <w:p w:rsidR="00701B95" w:rsidRPr="003F1C68" w:rsidRDefault="00701B95" w:rsidP="00701B95">
      <w:pPr>
        <w:pStyle w:val="PressReleaseTitle"/>
        <w:rPr>
          <w:b w:val="0"/>
          <w:bCs w:val="0"/>
          <w:sz w:val="24"/>
          <w:szCs w:val="24"/>
        </w:rPr>
      </w:pPr>
      <w:r w:rsidRPr="003F1C68">
        <w:rPr>
          <w:b w:val="0"/>
          <w:bCs w:val="0"/>
          <w:sz w:val="24"/>
          <w:szCs w:val="24"/>
        </w:rPr>
        <w:t>Press Release</w:t>
      </w:r>
    </w:p>
    <w:p w:rsidR="00701B95" w:rsidRPr="0094738B" w:rsidRDefault="00701B95" w:rsidP="00701B95">
      <w:pPr>
        <w:pStyle w:val="PressReleaseTitle"/>
      </w:pPr>
    </w:p>
    <w:p w:rsidR="00701B95" w:rsidRPr="003F1C68" w:rsidRDefault="00701B95" w:rsidP="00701B95">
      <w:pPr>
        <w:pStyle w:val="PressReleaseTitle"/>
        <w:rPr>
          <w:sz w:val="28"/>
          <w:szCs w:val="28"/>
        </w:rPr>
      </w:pPr>
      <w:r w:rsidRPr="003F1C68">
        <w:rPr>
          <w:sz w:val="28"/>
          <w:szCs w:val="28"/>
        </w:rPr>
        <w:t xml:space="preserve">Israel’s foreign </w:t>
      </w:r>
      <w:bookmarkStart w:id="0" w:name="_GoBack"/>
      <w:r w:rsidRPr="003F1C68">
        <w:rPr>
          <w:sz w:val="28"/>
          <w:szCs w:val="28"/>
        </w:rPr>
        <w:t xml:space="preserve">currency market </w:t>
      </w:r>
      <w:bookmarkEnd w:id="0"/>
      <w:r w:rsidRPr="003F1C68">
        <w:rPr>
          <w:sz w:val="28"/>
          <w:szCs w:val="28"/>
        </w:rPr>
        <w:t>in November 2016</w:t>
      </w:r>
    </w:p>
    <w:p w:rsidR="00701B95" w:rsidRDefault="00701B95" w:rsidP="00701B95">
      <w:pPr>
        <w:bidi w:val="0"/>
        <w:spacing w:line="300" w:lineRule="exact"/>
        <w:jc w:val="both"/>
      </w:pPr>
    </w:p>
    <w:p w:rsidR="00701B95" w:rsidRDefault="00701B95" w:rsidP="00701B95">
      <w:pPr>
        <w:bidi w:val="0"/>
        <w:spacing w:line="300" w:lineRule="exact"/>
        <w:jc w:val="both"/>
        <w:rPr>
          <w:b/>
          <w:bCs/>
        </w:rPr>
      </w:pPr>
    </w:p>
    <w:p w:rsidR="00701B95" w:rsidRDefault="00701B95" w:rsidP="00701B95">
      <w:pPr>
        <w:bidi w:val="0"/>
        <w:spacing w:line="300" w:lineRule="exact"/>
        <w:jc w:val="both"/>
        <w:rPr>
          <w:b/>
          <w:bCs/>
        </w:rPr>
      </w:pPr>
      <w:r>
        <w:rPr>
          <w:b/>
          <w:bCs/>
        </w:rPr>
        <w:t>1. The Exchange Rate</w:t>
      </w:r>
    </w:p>
    <w:p w:rsidR="00701B95" w:rsidRDefault="00701B95" w:rsidP="00701B95">
      <w:pPr>
        <w:bidi w:val="0"/>
        <w:spacing w:line="300" w:lineRule="exact"/>
        <w:jc w:val="both"/>
        <w:rPr>
          <w:b/>
          <w:bCs/>
        </w:rPr>
      </w:pPr>
      <w:r>
        <w:rPr>
          <w:b/>
          <w:bCs/>
        </w:rPr>
        <w:t>Strengthening of the shekel against the euro and dollar, in contrast with a strengthening of the dollar worldwide.</w:t>
      </w:r>
    </w:p>
    <w:p w:rsidR="00701B95" w:rsidRDefault="00701B95" w:rsidP="00701B95">
      <w:pPr>
        <w:bidi w:val="0"/>
        <w:spacing w:line="300" w:lineRule="exact"/>
        <w:jc w:val="both"/>
      </w:pPr>
      <w:r>
        <w:t xml:space="preserve">In November, the shekel strengthened by about 0.3 percent against the dollar and by about 3.1 percent against the euro. </w:t>
      </w:r>
    </w:p>
    <w:p w:rsidR="00701B95" w:rsidRDefault="00701B95" w:rsidP="00701B95">
      <w:pPr>
        <w:bidi w:val="0"/>
        <w:spacing w:line="300" w:lineRule="exact"/>
        <w:jc w:val="both"/>
      </w:pPr>
      <w:r>
        <w:t xml:space="preserve">Against the currencies of Israel's main trading partners, in terms of the nominal effective exchange rate of the shekel (i.e., the trade-weighted </w:t>
      </w:r>
      <w:r w:rsidRPr="00DC2232">
        <w:t>average shekel exchange rate</w:t>
      </w:r>
      <w:r>
        <w:t xml:space="preserve"> against those currencies), the shekel strengthened by about 2.3 percent in November.</w:t>
      </w:r>
    </w:p>
    <w:p w:rsidR="00701B95" w:rsidRPr="00B963E5" w:rsidRDefault="00701B95" w:rsidP="00701B95">
      <w:pPr>
        <w:bidi w:val="0"/>
        <w:spacing w:line="300" w:lineRule="exact"/>
        <w:jc w:val="both"/>
      </w:pPr>
      <w:r>
        <w:t xml:space="preserve">Worldwide, the US dollar strengthened considerably against most major currencies in November.  The dollar strengthened by 2.9 percent against the euro, by 8 percent against the Japanese yen, and by 2.7 percent against the Swiss franc.  In contrast, the dollar weakened by 2.3 percent against the British pound. </w:t>
      </w:r>
    </w:p>
    <w:p w:rsidR="00B2455E" w:rsidRDefault="00B2455E" w:rsidP="00701B95">
      <w:pPr>
        <w:bidi w:val="0"/>
        <w:spacing w:line="300" w:lineRule="exact"/>
        <w:jc w:val="both"/>
        <w:rPr>
          <w:b/>
          <w:bCs/>
        </w:rPr>
      </w:pPr>
    </w:p>
    <w:p w:rsidR="00B2455E" w:rsidRDefault="00B2455E" w:rsidP="00B2455E">
      <w:pPr>
        <w:bidi w:val="0"/>
        <w:spacing w:line="300" w:lineRule="exact"/>
        <w:jc w:val="both"/>
        <w:rPr>
          <w:b/>
          <w:bCs/>
        </w:rPr>
      </w:pPr>
    </w:p>
    <w:p w:rsidR="00701B95" w:rsidRDefault="00701B95" w:rsidP="00B2455E">
      <w:pPr>
        <w:bidi w:val="0"/>
        <w:spacing w:line="300" w:lineRule="exact"/>
        <w:jc w:val="both"/>
        <w:rPr>
          <w:b/>
          <w:bCs/>
        </w:rPr>
      </w:pPr>
      <w:r>
        <w:rPr>
          <w:b/>
          <w:bCs/>
        </w:rPr>
        <w:t>2. Exchange Rate Volatility</w:t>
      </w:r>
    </w:p>
    <w:p w:rsidR="00701B95" w:rsidRDefault="00701B95" w:rsidP="00701B95">
      <w:pPr>
        <w:bidi w:val="0"/>
        <w:spacing w:line="300" w:lineRule="exact"/>
        <w:jc w:val="both"/>
        <w:rPr>
          <w:b/>
          <w:bCs/>
        </w:rPr>
      </w:pPr>
      <w:r w:rsidRPr="005B1BA1">
        <w:rPr>
          <w:b/>
          <w:bCs/>
        </w:rPr>
        <w:t>A</w:t>
      </w:r>
      <w:r>
        <w:rPr>
          <w:b/>
          <w:bCs/>
        </w:rPr>
        <w:t xml:space="preserve">n increase in actual volatility of the exchange rate in parallel with an increase in implied volatility. </w:t>
      </w:r>
    </w:p>
    <w:p w:rsidR="00701B95" w:rsidRDefault="00701B95" w:rsidP="00701B95">
      <w:pPr>
        <w:bidi w:val="0"/>
        <w:spacing w:line="300" w:lineRule="exact"/>
        <w:jc w:val="both"/>
      </w:pPr>
      <w:r>
        <w:t xml:space="preserve">The standard deviation of changes </w:t>
      </w:r>
      <w:r w:rsidRPr="00DF2C76">
        <w:t xml:space="preserve">in the </w:t>
      </w:r>
      <w:r w:rsidRPr="00116B89">
        <w:t>shekel-dollar exchange rate,</w:t>
      </w:r>
      <w:r>
        <w:t xml:space="preserve"> which represents its </w:t>
      </w:r>
      <w:r w:rsidRPr="00661AD3">
        <w:rPr>
          <w:b/>
          <w:bCs/>
        </w:rPr>
        <w:t>actual</w:t>
      </w:r>
      <w:r>
        <w:t xml:space="preserve"> volatility, decreased by about 1.6 percentage points in November, to 5.8 percent at the end of the month. </w:t>
      </w:r>
    </w:p>
    <w:p w:rsidR="00701B95" w:rsidRDefault="00701B95" w:rsidP="00701B95">
      <w:pPr>
        <w:bidi w:val="0"/>
        <w:spacing w:line="300" w:lineRule="exact"/>
        <w:jc w:val="both"/>
      </w:pPr>
      <w:r w:rsidRPr="0008141D">
        <w:t>The average level</w:t>
      </w:r>
      <w:r>
        <w:t xml:space="preserve"> of implied volatility in over the counter shekel-dollar options––</w:t>
      </w:r>
      <w:r w:rsidRPr="00E15596">
        <w:t xml:space="preserve">an indication of </w:t>
      </w:r>
      <w:r w:rsidRPr="00661AD3">
        <w:rPr>
          <w:b/>
          <w:bCs/>
        </w:rPr>
        <w:t>expected</w:t>
      </w:r>
      <w:r w:rsidRPr="00E15596">
        <w:t xml:space="preserve"> exchange rate volatility––</w:t>
      </w:r>
      <w:r>
        <w:t xml:space="preserve">increased by about 0.2 percentage points, to 7.3 percent at the </w:t>
      </w:r>
      <w:r w:rsidRPr="001C795C">
        <w:t xml:space="preserve">end of </w:t>
      </w:r>
      <w:r>
        <w:t>November</w:t>
      </w:r>
      <w:r w:rsidRPr="001C795C">
        <w:t>.</w:t>
      </w:r>
      <w:r>
        <w:t xml:space="preserve"> </w:t>
      </w:r>
    </w:p>
    <w:p w:rsidR="00701B95" w:rsidRDefault="00701B95" w:rsidP="00701B95">
      <w:pPr>
        <w:bidi w:val="0"/>
        <w:spacing w:line="300" w:lineRule="exact"/>
        <w:jc w:val="both"/>
      </w:pPr>
      <w:r>
        <w:t>In parallel, the i</w:t>
      </w:r>
      <w:r w:rsidRPr="00E017A8">
        <w:t>mplied volatili</w:t>
      </w:r>
      <w:r>
        <w:t>ty</w:t>
      </w:r>
      <w:r w:rsidRPr="00E017A8">
        <w:t xml:space="preserve"> </w:t>
      </w:r>
      <w:r>
        <w:t xml:space="preserve">in </w:t>
      </w:r>
      <w:r w:rsidRPr="00E017A8">
        <w:t xml:space="preserve">foreign exchange options </w:t>
      </w:r>
      <w:r>
        <w:t>in emerging markets also increased, to an average of about 11.6 percent, and the implied volatility in foreign exchange options in advanced economies also increased, to about 10.1 percent at the end of November</w:t>
      </w:r>
      <w:r w:rsidRPr="00D32DDD">
        <w:t xml:space="preserve"> (Figure 4).</w:t>
      </w:r>
    </w:p>
    <w:p w:rsidR="00701B95" w:rsidRDefault="00701B95" w:rsidP="00701B95">
      <w:pPr>
        <w:bidi w:val="0"/>
        <w:spacing w:line="300" w:lineRule="exact"/>
        <w:jc w:val="both"/>
      </w:pPr>
    </w:p>
    <w:p w:rsidR="00B2455E" w:rsidRDefault="00B2455E" w:rsidP="00B2455E">
      <w:pPr>
        <w:bidi w:val="0"/>
        <w:spacing w:line="300" w:lineRule="exact"/>
        <w:jc w:val="both"/>
      </w:pPr>
    </w:p>
    <w:p w:rsidR="003F1C68" w:rsidRDefault="003F1C68">
      <w:pPr>
        <w:bidi w:val="0"/>
        <w:rPr>
          <w:b/>
          <w:bCs/>
        </w:rPr>
      </w:pPr>
      <w:r>
        <w:rPr>
          <w:b/>
          <w:bCs/>
        </w:rPr>
        <w:br w:type="page"/>
      </w:r>
    </w:p>
    <w:p w:rsidR="00701B95" w:rsidRDefault="00701B95" w:rsidP="00701B95">
      <w:pPr>
        <w:bidi w:val="0"/>
        <w:spacing w:line="300" w:lineRule="exact"/>
        <w:jc w:val="both"/>
        <w:rPr>
          <w:b/>
          <w:bCs/>
        </w:rPr>
      </w:pPr>
      <w:r>
        <w:rPr>
          <w:b/>
          <w:bCs/>
        </w:rPr>
        <w:lastRenderedPageBreak/>
        <w:t xml:space="preserve">3. The Volume of Trade in the Foreign Currency Market </w:t>
      </w:r>
    </w:p>
    <w:p w:rsidR="00701B95" w:rsidRDefault="00701B95" w:rsidP="00701B95">
      <w:pPr>
        <w:bidi w:val="0"/>
        <w:spacing w:line="300" w:lineRule="exact"/>
        <w:jc w:val="both"/>
        <w:rPr>
          <w:b/>
          <w:bCs/>
        </w:rPr>
      </w:pPr>
      <w:r>
        <w:rPr>
          <w:b/>
          <w:bCs/>
        </w:rPr>
        <w:t>Total</w:t>
      </w:r>
      <w:r w:rsidRPr="00FB7F0A">
        <w:rPr>
          <w:b/>
          <w:bCs/>
        </w:rPr>
        <w:t xml:space="preserve"> trading </w:t>
      </w:r>
      <w:r w:rsidRPr="00A406BA">
        <w:rPr>
          <w:b/>
          <w:bCs/>
        </w:rPr>
        <w:t xml:space="preserve">volume </w:t>
      </w:r>
      <w:r>
        <w:rPr>
          <w:b/>
          <w:bCs/>
        </w:rPr>
        <w:t>increas</w:t>
      </w:r>
      <w:r w:rsidRPr="00A406BA">
        <w:rPr>
          <w:b/>
          <w:bCs/>
        </w:rPr>
        <w:t xml:space="preserve">ed, in parallel with an </w:t>
      </w:r>
      <w:r>
        <w:rPr>
          <w:b/>
          <w:bCs/>
        </w:rPr>
        <w:t>increase</w:t>
      </w:r>
      <w:r w:rsidRPr="00A406BA">
        <w:rPr>
          <w:b/>
          <w:bCs/>
        </w:rPr>
        <w:t xml:space="preserve"> in</w:t>
      </w:r>
      <w:r>
        <w:rPr>
          <w:b/>
          <w:bCs/>
        </w:rPr>
        <w:t xml:space="preserve"> nonresidents’ relative share of total trading volume.</w:t>
      </w:r>
    </w:p>
    <w:p w:rsidR="00701B95" w:rsidRDefault="00701B95" w:rsidP="00701B95">
      <w:pPr>
        <w:bidi w:val="0"/>
        <w:spacing w:line="300" w:lineRule="exact"/>
        <w:jc w:val="both"/>
        <w:rPr>
          <w:b/>
          <w:bCs/>
        </w:rPr>
      </w:pPr>
    </w:p>
    <w:p w:rsidR="00701B95" w:rsidRDefault="00701B95" w:rsidP="00701B95">
      <w:pPr>
        <w:bidi w:val="0"/>
        <w:spacing w:line="300" w:lineRule="exact"/>
        <w:jc w:val="both"/>
      </w:pPr>
      <w:r>
        <w:rPr>
          <w:b/>
          <w:bCs/>
        </w:rPr>
        <w:t>T</w:t>
      </w:r>
      <w:r w:rsidRPr="00B563E8">
        <w:rPr>
          <w:b/>
          <w:bCs/>
        </w:rPr>
        <w:t xml:space="preserve">otal </w:t>
      </w:r>
      <w:r>
        <w:rPr>
          <w:b/>
          <w:bCs/>
        </w:rPr>
        <w:t xml:space="preserve">trading </w:t>
      </w:r>
      <w:r w:rsidRPr="00B563E8">
        <w:rPr>
          <w:b/>
          <w:bCs/>
        </w:rPr>
        <w:t>volume in foreign currency</w:t>
      </w:r>
      <w:r w:rsidRPr="00B563E8">
        <w:t xml:space="preserve"> in </w:t>
      </w:r>
      <w:r>
        <w:t xml:space="preserve">November </w:t>
      </w:r>
      <w:r w:rsidRPr="00B563E8">
        <w:t>was about $</w:t>
      </w:r>
      <w:r>
        <w:t xml:space="preserve">160 </w:t>
      </w:r>
      <w:r w:rsidRPr="00B563E8">
        <w:t>billion</w:t>
      </w:r>
      <w:r>
        <w:t>, compared with about $107 billion in October</w:t>
      </w:r>
      <w:r w:rsidRPr="00FB7F0A">
        <w:t xml:space="preserve">. Average daily trading volume </w:t>
      </w:r>
      <w:r>
        <w:t xml:space="preserve">increased </w:t>
      </w:r>
      <w:r w:rsidRPr="00FB7F0A">
        <w:t xml:space="preserve">by about </w:t>
      </w:r>
      <w:r>
        <w:t xml:space="preserve">2 </w:t>
      </w:r>
      <w:r w:rsidRPr="00FB7F0A">
        <w:t>percent, to about $</w:t>
      </w:r>
      <w:r>
        <w:t>7.3</w:t>
      </w:r>
      <w:r w:rsidRPr="00FB7F0A">
        <w:t xml:space="preserve"> billion.</w:t>
      </w:r>
      <w:r>
        <w:t xml:space="preserve"> </w:t>
      </w:r>
    </w:p>
    <w:p w:rsidR="00701B95" w:rsidRDefault="00701B95" w:rsidP="00701B95">
      <w:pPr>
        <w:bidi w:val="0"/>
        <w:spacing w:line="300" w:lineRule="exact"/>
        <w:jc w:val="both"/>
      </w:pPr>
    </w:p>
    <w:p w:rsidR="00701B95" w:rsidRPr="000133C4" w:rsidRDefault="00701B95" w:rsidP="00701B95">
      <w:pPr>
        <w:bidi w:val="0"/>
        <w:spacing w:line="300" w:lineRule="exact"/>
        <w:jc w:val="both"/>
      </w:pPr>
      <w:r w:rsidRPr="000133C4">
        <w:rPr>
          <w:b/>
          <w:bCs/>
        </w:rPr>
        <w:t xml:space="preserve">The </w:t>
      </w:r>
      <w:r>
        <w:rPr>
          <w:b/>
          <w:bCs/>
        </w:rPr>
        <w:t xml:space="preserve">trading </w:t>
      </w:r>
      <w:r w:rsidRPr="000133C4">
        <w:rPr>
          <w:b/>
          <w:bCs/>
        </w:rPr>
        <w:t>volume in spot and forward transactions (conversions)</w:t>
      </w:r>
      <w:r w:rsidRPr="000133C4">
        <w:t xml:space="preserve"> was about $</w:t>
      </w:r>
      <w:r>
        <w:t xml:space="preserve">36 </w:t>
      </w:r>
      <w:r w:rsidRPr="006363F4">
        <w:t xml:space="preserve">billion in </w:t>
      </w:r>
      <w:r>
        <w:t>November</w:t>
      </w:r>
      <w:r w:rsidRPr="006363F4">
        <w:t>. Average</w:t>
      </w:r>
      <w:r w:rsidRPr="000133C4">
        <w:t xml:space="preserve"> daily trading volume in those transactions </w:t>
      </w:r>
      <w:r>
        <w:t xml:space="preserve">increased </w:t>
      </w:r>
      <w:r w:rsidRPr="000133C4">
        <w:t xml:space="preserve">in </w:t>
      </w:r>
      <w:r>
        <w:t>November</w:t>
      </w:r>
      <w:r w:rsidRPr="000133C4">
        <w:t xml:space="preserve"> by </w:t>
      </w:r>
      <w:r w:rsidRPr="005B3DCE">
        <w:t xml:space="preserve">about </w:t>
      </w:r>
      <w:r>
        <w:t xml:space="preserve">2 </w:t>
      </w:r>
      <w:r w:rsidRPr="005B3DCE">
        <w:t>percent compared</w:t>
      </w:r>
      <w:r w:rsidRPr="000133C4">
        <w:t xml:space="preserve"> with </w:t>
      </w:r>
      <w:r>
        <w:t>October.</w:t>
      </w:r>
      <w:r w:rsidRPr="000133C4">
        <w:t xml:space="preserve"> </w:t>
      </w:r>
    </w:p>
    <w:p w:rsidR="00701B95" w:rsidRPr="000133C4" w:rsidRDefault="00701B95" w:rsidP="00701B95">
      <w:pPr>
        <w:bidi w:val="0"/>
        <w:spacing w:line="300" w:lineRule="exact"/>
        <w:jc w:val="both"/>
      </w:pPr>
    </w:p>
    <w:p w:rsidR="00701B95" w:rsidRDefault="00701B95" w:rsidP="00701B95">
      <w:pPr>
        <w:bidi w:val="0"/>
        <w:spacing w:line="300" w:lineRule="exact"/>
        <w:jc w:val="both"/>
      </w:pPr>
      <w:r w:rsidRPr="000133C4">
        <w:rPr>
          <w:b/>
          <w:bCs/>
        </w:rPr>
        <w:t xml:space="preserve">The </w:t>
      </w:r>
      <w:r>
        <w:rPr>
          <w:b/>
          <w:bCs/>
        </w:rPr>
        <w:t xml:space="preserve">trading </w:t>
      </w:r>
      <w:r w:rsidRPr="000133C4">
        <w:rPr>
          <w:b/>
          <w:bCs/>
        </w:rPr>
        <w:t>volume in over the counter foreign currency options</w:t>
      </w:r>
      <w:r w:rsidRPr="000133C4">
        <w:t xml:space="preserve"> (which are not traded on the stock exchange) totaled about $</w:t>
      </w:r>
      <w:r>
        <w:t xml:space="preserve">4.9 </w:t>
      </w:r>
      <w:r w:rsidRPr="000133C4">
        <w:t xml:space="preserve">billion in </w:t>
      </w:r>
      <w:r>
        <w:t>November</w:t>
      </w:r>
      <w:r w:rsidRPr="000133C4">
        <w:t xml:space="preserve">. The average daily trading volume in those options </w:t>
      </w:r>
      <w:r>
        <w:t xml:space="preserve">increased compared with October, to </w:t>
      </w:r>
      <w:r w:rsidRPr="000133C4">
        <w:t>about $</w:t>
      </w:r>
      <w:r>
        <w:t xml:space="preserve">224 </w:t>
      </w:r>
      <w:r w:rsidRPr="000133C4">
        <w:t>million</w:t>
      </w:r>
      <w:r>
        <w:t>.</w:t>
      </w:r>
    </w:p>
    <w:p w:rsidR="00701B95" w:rsidRDefault="00701B95" w:rsidP="00701B95">
      <w:pPr>
        <w:bidi w:val="0"/>
        <w:spacing w:line="300" w:lineRule="exact"/>
        <w:jc w:val="both"/>
      </w:pPr>
    </w:p>
    <w:p w:rsidR="00701B95" w:rsidRDefault="00701B95" w:rsidP="00701B95">
      <w:pPr>
        <w:bidi w:val="0"/>
        <w:spacing w:line="300" w:lineRule="exact"/>
        <w:jc w:val="both"/>
      </w:pPr>
      <w:r>
        <w:rPr>
          <w:b/>
          <w:bCs/>
        </w:rPr>
        <w:t xml:space="preserve">The trading </w:t>
      </w:r>
      <w:r w:rsidRPr="007175A4">
        <w:rPr>
          <w:b/>
          <w:bCs/>
        </w:rPr>
        <w:t>volume of swap transactions</w:t>
      </w:r>
      <w:r>
        <w:t xml:space="preserve"> was about $119 billion in November, compared with about $80 billion in October. Average daily trading volume increased by about 2 percent from the previous month, to around $5.4 billion.</w:t>
      </w:r>
    </w:p>
    <w:p w:rsidR="00701B95" w:rsidRDefault="00701B95" w:rsidP="00701B95">
      <w:pPr>
        <w:bidi w:val="0"/>
        <w:spacing w:line="300" w:lineRule="exact"/>
        <w:jc w:val="both"/>
      </w:pPr>
    </w:p>
    <w:p w:rsidR="00701B95" w:rsidRPr="00256AEA" w:rsidRDefault="00701B95" w:rsidP="00701B95">
      <w:pPr>
        <w:bidi w:val="0"/>
        <w:spacing w:line="300" w:lineRule="exact"/>
        <w:jc w:val="both"/>
      </w:pPr>
      <w:r w:rsidRPr="00256AEA">
        <w:rPr>
          <w:b/>
          <w:bCs/>
        </w:rPr>
        <w:t xml:space="preserve">Nonresidents' share of total trade </w:t>
      </w:r>
      <w:r w:rsidRPr="00256AEA">
        <w:t>(spot and forward transactions, options and swaps)</w:t>
      </w:r>
      <w:r>
        <w:t xml:space="preserve"> increased to about 32.2 </w:t>
      </w:r>
      <w:r w:rsidRPr="00256AEA">
        <w:t>percent</w:t>
      </w:r>
      <w:r>
        <w:t xml:space="preserve"> at the end of November.  The increase derived from an increase in the volume of activity by nonresidents in conversion (spot and forward), swap and options transactions.</w:t>
      </w:r>
    </w:p>
    <w:p w:rsidR="00DE2E73" w:rsidRPr="00701B95" w:rsidRDefault="00DE2E73" w:rsidP="00DE2E73">
      <w:pPr>
        <w:jc w:val="both"/>
        <w:rPr>
          <w:sz w:val="20"/>
          <w:szCs w:val="20"/>
          <w:rtl/>
        </w:rPr>
      </w:pPr>
    </w:p>
    <w:p w:rsidR="00A62731" w:rsidRDefault="00A62731" w:rsidP="00DE2E73">
      <w:pPr>
        <w:jc w:val="both"/>
        <w:rPr>
          <w:sz w:val="20"/>
          <w:szCs w:val="20"/>
          <w:rtl/>
        </w:rPr>
      </w:pPr>
    </w:p>
    <w:p w:rsidR="00C869D7" w:rsidRDefault="00C869D7" w:rsidP="00DE2E73">
      <w:pPr>
        <w:jc w:val="both"/>
        <w:rPr>
          <w:sz w:val="20"/>
          <w:szCs w:val="20"/>
          <w:rtl/>
        </w:rPr>
      </w:pPr>
    </w:p>
    <w:p w:rsidR="00C869D7" w:rsidRDefault="00C869D7" w:rsidP="00DE2E73">
      <w:pPr>
        <w:jc w:val="both"/>
        <w:rPr>
          <w:sz w:val="20"/>
          <w:szCs w:val="20"/>
          <w:rtl/>
        </w:rPr>
      </w:pPr>
    </w:p>
    <w:p w:rsidR="00D65BAC" w:rsidRDefault="00D65BAC" w:rsidP="00DE2E73">
      <w:pPr>
        <w:jc w:val="both"/>
        <w:rPr>
          <w:sz w:val="20"/>
          <w:szCs w:val="20"/>
          <w:rtl/>
        </w:rPr>
      </w:pPr>
    </w:p>
    <w:p w:rsidR="00D65BAC" w:rsidRDefault="00D65BAC" w:rsidP="00DE2E73">
      <w:pPr>
        <w:jc w:val="both"/>
        <w:rPr>
          <w:sz w:val="20"/>
          <w:szCs w:val="20"/>
          <w:rtl/>
        </w:rPr>
      </w:pPr>
    </w:p>
    <w:p w:rsidR="00A62731" w:rsidRDefault="00A62731" w:rsidP="00DE2E73">
      <w:pPr>
        <w:jc w:val="both"/>
        <w:rPr>
          <w:sz w:val="20"/>
          <w:szCs w:val="20"/>
          <w:rtl/>
        </w:rPr>
      </w:pPr>
    </w:p>
    <w:p w:rsidR="00A62731" w:rsidRDefault="00A62731" w:rsidP="00DE2E73">
      <w:pPr>
        <w:jc w:val="both"/>
        <w:rPr>
          <w:sz w:val="20"/>
          <w:szCs w:val="20"/>
          <w:rtl/>
        </w:rPr>
      </w:pPr>
    </w:p>
    <w:p w:rsidR="00A62731" w:rsidRDefault="00A62731" w:rsidP="00DE2E73">
      <w:pPr>
        <w:jc w:val="both"/>
        <w:rPr>
          <w:sz w:val="20"/>
          <w:szCs w:val="20"/>
          <w:rtl/>
        </w:rPr>
      </w:pPr>
    </w:p>
    <w:p w:rsidR="00D65BAC" w:rsidRDefault="00D65BAC" w:rsidP="00DE2E73">
      <w:pPr>
        <w:jc w:val="both"/>
        <w:rPr>
          <w:sz w:val="20"/>
          <w:szCs w:val="20"/>
          <w:rtl/>
        </w:rPr>
      </w:pPr>
    </w:p>
    <w:p w:rsidR="00D65BAC" w:rsidRDefault="00D65BAC" w:rsidP="00DE2E73">
      <w:pPr>
        <w:jc w:val="both"/>
        <w:rPr>
          <w:sz w:val="20"/>
          <w:szCs w:val="20"/>
          <w:rtl/>
        </w:rPr>
      </w:pPr>
    </w:p>
    <w:p w:rsidR="00D65BAC" w:rsidRDefault="00D65BAC" w:rsidP="00DE2E73">
      <w:pPr>
        <w:jc w:val="both"/>
        <w:rPr>
          <w:sz w:val="20"/>
          <w:szCs w:val="20"/>
          <w:rtl/>
        </w:rPr>
      </w:pPr>
    </w:p>
    <w:p w:rsidR="00A62731" w:rsidRDefault="00A62731" w:rsidP="00DE2E73">
      <w:pPr>
        <w:jc w:val="both"/>
        <w:rPr>
          <w:sz w:val="20"/>
          <w:szCs w:val="20"/>
          <w:rtl/>
        </w:rPr>
      </w:pPr>
    </w:p>
    <w:p w:rsidR="00A62731" w:rsidRDefault="00D65BAC" w:rsidP="00F94E2E">
      <w:pPr>
        <w:bidi w:val="0"/>
        <w:jc w:val="both"/>
        <w:rPr>
          <w:sz w:val="20"/>
          <w:szCs w:val="20"/>
          <w:rtl/>
        </w:rPr>
      </w:pPr>
      <w:r>
        <w:rPr>
          <w:noProof/>
          <w:sz w:val="20"/>
          <w:szCs w:val="20"/>
        </w:rPr>
        <w:lastRenderedPageBreak/>
        <w:drawing>
          <wp:inline distT="0" distB="0" distL="0" distR="0" wp14:anchorId="303B6933" wp14:editId="723F955A">
            <wp:extent cx="5644614" cy="3444277"/>
            <wp:effectExtent l="38100" t="38100" r="89535" b="99060"/>
            <wp:docPr id="6" name="תמונה 6" descr="Figure 1: Index of NIS/$ exchange rate, and the nominal effective exchange rate" title="Figure 1: Index of NIS/$ exchange rate, and the nominal effective exchang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7574" cy="3446083"/>
                    </a:xfrm>
                    <a:prstGeom prst="rect">
                      <a:avLst/>
                    </a:prstGeom>
                    <a:noFill/>
                    <a:effectLst>
                      <a:outerShdw blurRad="50800" dist="38100" dir="2700000" algn="tl" rotWithShape="0">
                        <a:prstClr val="black">
                          <a:alpha val="40000"/>
                        </a:prstClr>
                      </a:outerShdw>
                    </a:effectLst>
                  </pic:spPr>
                </pic:pic>
              </a:graphicData>
            </a:graphic>
          </wp:inline>
        </w:drawing>
      </w:r>
    </w:p>
    <w:p w:rsidR="00A62731" w:rsidRDefault="00A62731" w:rsidP="00DE2E73">
      <w:pPr>
        <w:jc w:val="both"/>
        <w:rPr>
          <w:sz w:val="20"/>
          <w:szCs w:val="20"/>
          <w:rtl/>
        </w:rPr>
      </w:pPr>
    </w:p>
    <w:p w:rsidR="00C869D7" w:rsidRDefault="00C869D7" w:rsidP="00DE2E73">
      <w:pPr>
        <w:jc w:val="both"/>
        <w:rPr>
          <w:sz w:val="20"/>
          <w:szCs w:val="20"/>
          <w:rtl/>
        </w:rPr>
      </w:pPr>
    </w:p>
    <w:p w:rsidR="00A62731" w:rsidRDefault="00A62731" w:rsidP="00DE2E73">
      <w:pPr>
        <w:jc w:val="both"/>
        <w:rPr>
          <w:noProof/>
          <w:sz w:val="20"/>
          <w:szCs w:val="20"/>
          <w:rtl/>
        </w:rPr>
      </w:pPr>
    </w:p>
    <w:p w:rsidR="00C869D7" w:rsidRDefault="00D272DB" w:rsidP="00DE2E73">
      <w:pPr>
        <w:jc w:val="both"/>
        <w:rPr>
          <w:sz w:val="20"/>
          <w:szCs w:val="20"/>
          <w:rtl/>
        </w:rPr>
      </w:pPr>
      <w:r>
        <w:rPr>
          <w:noProof/>
          <w:sz w:val="20"/>
          <w:szCs w:val="20"/>
        </w:rPr>
        <w:drawing>
          <wp:anchor distT="0" distB="0" distL="114300" distR="114300" simplePos="0" relativeHeight="251675648" behindDoc="0" locked="0" layoutInCell="1" allowOverlap="1" wp14:anchorId="590199C5" wp14:editId="2D750710">
            <wp:simplePos x="0" y="0"/>
            <wp:positionH relativeFrom="margin">
              <wp:posOffset>36195</wp:posOffset>
            </wp:positionH>
            <wp:positionV relativeFrom="margin">
              <wp:posOffset>4392295</wp:posOffset>
            </wp:positionV>
            <wp:extent cx="5685155" cy="3870960"/>
            <wp:effectExtent l="38100" t="38100" r="86995" b="91440"/>
            <wp:wrapSquare wrapText="bothSides"/>
            <wp:docPr id="1" name="תמונה 1" descr="Figure 2: Rate of change of exchange rates of various currencies against the dollar* November 2016&#10;" title="Figure 2: Rate of change of exchange rates of various currencies against the dollar* Novem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5155" cy="3870960"/>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A62731" w:rsidRDefault="00A62731" w:rsidP="00DE2E73">
      <w:pPr>
        <w:jc w:val="both"/>
        <w:rPr>
          <w:sz w:val="20"/>
          <w:szCs w:val="20"/>
          <w:rtl/>
        </w:rPr>
      </w:pPr>
    </w:p>
    <w:p w:rsidR="00A62731" w:rsidRDefault="00A62731" w:rsidP="00DE2E73">
      <w:pPr>
        <w:jc w:val="both"/>
        <w:rPr>
          <w:sz w:val="20"/>
          <w:szCs w:val="20"/>
          <w:rtl/>
        </w:rPr>
      </w:pPr>
    </w:p>
    <w:p w:rsidR="00C869D7" w:rsidRDefault="00C869D7" w:rsidP="00DE2E73">
      <w:pPr>
        <w:jc w:val="both"/>
        <w:rPr>
          <w:noProof/>
          <w:sz w:val="20"/>
          <w:szCs w:val="20"/>
          <w:rtl/>
        </w:rPr>
      </w:pPr>
    </w:p>
    <w:p w:rsidR="00A62731" w:rsidRDefault="00A62731" w:rsidP="00DE2E73">
      <w:pPr>
        <w:jc w:val="both"/>
        <w:rPr>
          <w:sz w:val="20"/>
          <w:szCs w:val="20"/>
          <w:rtl/>
        </w:rPr>
      </w:pPr>
    </w:p>
    <w:p w:rsidR="00A62731" w:rsidRDefault="00A62731" w:rsidP="00DE2E73">
      <w:pPr>
        <w:jc w:val="both"/>
        <w:rPr>
          <w:sz w:val="20"/>
          <w:szCs w:val="20"/>
          <w:rtl/>
        </w:rPr>
      </w:pPr>
    </w:p>
    <w:p w:rsidR="00C869D7" w:rsidRDefault="00C869D7" w:rsidP="004247DA">
      <w:pPr>
        <w:jc w:val="both"/>
        <w:rPr>
          <w:noProof/>
          <w:rtl/>
        </w:rPr>
      </w:pPr>
    </w:p>
    <w:p w:rsidR="00C869D7" w:rsidRDefault="00C869D7" w:rsidP="004247DA">
      <w:pPr>
        <w:jc w:val="both"/>
        <w:rPr>
          <w:sz w:val="20"/>
          <w:szCs w:val="20"/>
          <w:rtl/>
        </w:rPr>
      </w:pPr>
    </w:p>
    <w:p w:rsidR="00C869D7" w:rsidRDefault="00C869D7" w:rsidP="004247DA">
      <w:pPr>
        <w:jc w:val="both"/>
        <w:rPr>
          <w:sz w:val="20"/>
          <w:szCs w:val="20"/>
          <w:rtl/>
        </w:rPr>
      </w:pPr>
    </w:p>
    <w:p w:rsidR="00C869D7" w:rsidRDefault="00C869D7" w:rsidP="004247DA">
      <w:pPr>
        <w:jc w:val="both"/>
        <w:rPr>
          <w:sz w:val="20"/>
          <w:szCs w:val="20"/>
          <w:rtl/>
        </w:rPr>
      </w:pPr>
    </w:p>
    <w:p w:rsidR="00C869D7" w:rsidRDefault="00D65BAC" w:rsidP="004247DA">
      <w:pPr>
        <w:jc w:val="both"/>
        <w:rPr>
          <w:sz w:val="20"/>
          <w:szCs w:val="20"/>
          <w:rtl/>
        </w:rPr>
      </w:pPr>
      <w:r>
        <w:rPr>
          <w:noProof/>
          <w:sz w:val="20"/>
          <w:szCs w:val="20"/>
        </w:rPr>
        <w:drawing>
          <wp:anchor distT="0" distB="0" distL="114300" distR="114300" simplePos="0" relativeHeight="251672576" behindDoc="0" locked="0" layoutInCell="1" allowOverlap="1">
            <wp:simplePos x="607060" y="804545"/>
            <wp:positionH relativeFrom="margin">
              <wp:align>center</wp:align>
            </wp:positionH>
            <wp:positionV relativeFrom="margin">
              <wp:align>top</wp:align>
            </wp:positionV>
            <wp:extent cx="5720080" cy="3489960"/>
            <wp:effectExtent l="38100" t="38100" r="90170" b="91440"/>
            <wp:wrapSquare wrapText="bothSides"/>
            <wp:docPr id="9" name="תמונה 9" descr="Standard devision " title="Standard de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080" cy="3489960"/>
                    </a:xfrm>
                    <a:prstGeom prst="rect">
                      <a:avLst/>
                    </a:prstGeom>
                    <a:noFill/>
                    <a:effectLst>
                      <a:outerShdw blurRad="50800" dist="38100" dir="2700000" algn="tl" rotWithShape="0">
                        <a:prstClr val="black">
                          <a:alpha val="40000"/>
                        </a:prstClr>
                      </a:outerShdw>
                    </a:effectLst>
                  </pic:spPr>
                </pic:pic>
              </a:graphicData>
            </a:graphic>
          </wp:anchor>
        </w:drawing>
      </w:r>
    </w:p>
    <w:p w:rsidR="00C869D7" w:rsidRDefault="00C869D7" w:rsidP="004247DA">
      <w:pPr>
        <w:jc w:val="both"/>
        <w:rPr>
          <w:sz w:val="20"/>
          <w:szCs w:val="20"/>
          <w:rtl/>
        </w:rPr>
      </w:pPr>
    </w:p>
    <w:p w:rsidR="00C869D7" w:rsidRDefault="00C869D7" w:rsidP="00F94E2E">
      <w:pPr>
        <w:bidi w:val="0"/>
        <w:jc w:val="both"/>
        <w:rPr>
          <w:sz w:val="20"/>
          <w:szCs w:val="20"/>
          <w:rtl/>
        </w:rPr>
      </w:pPr>
    </w:p>
    <w:p w:rsidR="00C869D7" w:rsidRDefault="00D65BAC" w:rsidP="004247DA">
      <w:pPr>
        <w:jc w:val="both"/>
        <w:rPr>
          <w:sz w:val="20"/>
          <w:szCs w:val="20"/>
          <w:rtl/>
        </w:rPr>
      </w:pPr>
      <w:r>
        <w:rPr>
          <w:noProof/>
          <w:sz w:val="20"/>
          <w:szCs w:val="20"/>
        </w:rPr>
        <w:drawing>
          <wp:anchor distT="0" distB="0" distL="114300" distR="114300" simplePos="0" relativeHeight="251673600" behindDoc="0" locked="0" layoutInCell="1" allowOverlap="1" wp14:anchorId="3C297978" wp14:editId="1E25C7AA">
            <wp:simplePos x="0" y="0"/>
            <wp:positionH relativeFrom="margin">
              <wp:posOffset>-182245</wp:posOffset>
            </wp:positionH>
            <wp:positionV relativeFrom="margin">
              <wp:posOffset>4547870</wp:posOffset>
            </wp:positionV>
            <wp:extent cx="5651500" cy="3450590"/>
            <wp:effectExtent l="38100" t="38100" r="101600" b="92710"/>
            <wp:wrapSquare wrapText="bothSides"/>
            <wp:docPr id="10" name="תמונה 10" descr="Figure 4: International comparison of implied volatility of shekel/dollar options&#10;" title="Figure 4: International comparison of implied volatility of shekel/dolla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1500" cy="3450590"/>
                    </a:xfrm>
                    <a:prstGeom prst="rect">
                      <a:avLst/>
                    </a:prstGeom>
                    <a:noFill/>
                    <a:effectLst>
                      <a:outerShdw blurRad="50800" dist="38100" dir="2700000" algn="tl" rotWithShape="0">
                        <a:prstClr val="black">
                          <a:alpha val="40000"/>
                        </a:prstClr>
                      </a:outerShdw>
                    </a:effectLst>
                  </pic:spPr>
                </pic:pic>
              </a:graphicData>
            </a:graphic>
          </wp:anchor>
        </w:drawing>
      </w:r>
    </w:p>
    <w:p w:rsidR="00C869D7" w:rsidRPr="00B04FB0" w:rsidRDefault="00D65BAC" w:rsidP="004247DA">
      <w:pPr>
        <w:jc w:val="both"/>
        <w:rPr>
          <w:sz w:val="20"/>
          <w:szCs w:val="20"/>
          <w:rtl/>
        </w:rPr>
        <w:sectPr w:rsidR="00C869D7" w:rsidRPr="00B04FB0" w:rsidSect="00965E80">
          <w:headerReference w:type="default" r:id="rId14"/>
          <w:footerReference w:type="default" r:id="rId15"/>
          <w:pgSz w:w="11906" w:h="16838"/>
          <w:pgMar w:top="851" w:right="1797" w:bottom="964" w:left="1797" w:header="709" w:footer="170" w:gutter="0"/>
          <w:cols w:space="708"/>
          <w:docGrid w:linePitch="360"/>
        </w:sectPr>
      </w:pPr>
      <w:r>
        <w:rPr>
          <w:noProof/>
          <w:sz w:val="20"/>
          <w:szCs w:val="20"/>
        </w:rPr>
        <w:lastRenderedPageBreak/>
        <w:drawing>
          <wp:inline distT="0" distB="0" distL="0" distR="0" wp14:anchorId="69C21BAA">
            <wp:extent cx="5380941" cy="3664915"/>
            <wp:effectExtent l="38100" t="38100" r="86995" b="88265"/>
            <wp:docPr id="11" name="תמונה 11" descr="Figure 5: Nonresidents' share of total trading volume &#10;" title="Figure 5: Nonresidents' share of total trading volu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0941" cy="3664915"/>
                    </a:xfrm>
                    <a:prstGeom prst="rect">
                      <a:avLst/>
                    </a:prstGeom>
                    <a:noFill/>
                    <a:effectLst>
                      <a:outerShdw blurRad="50800" dist="38100" dir="2700000" algn="tl" rotWithShape="0">
                        <a:prstClr val="black">
                          <a:alpha val="40000"/>
                        </a:prstClr>
                      </a:outerShdw>
                    </a:effectLst>
                  </pic:spPr>
                </pic:pic>
              </a:graphicData>
            </a:graphic>
          </wp:inline>
        </w:drawing>
      </w:r>
    </w:p>
    <w:p w:rsidR="0074341E" w:rsidRPr="00A87DC1" w:rsidRDefault="00D65BAC" w:rsidP="00556116">
      <w:r w:rsidRPr="00D65BAC">
        <w:rPr>
          <w:noProof/>
          <w:rtl/>
        </w:rPr>
        <w:lastRenderedPageBreak/>
        <w:drawing>
          <wp:anchor distT="0" distB="0" distL="114300" distR="114300" simplePos="0" relativeHeight="251674624" behindDoc="0" locked="0" layoutInCell="1" allowOverlap="1">
            <wp:simplePos x="-87630" y="424180"/>
            <wp:positionH relativeFrom="margin">
              <wp:align>center</wp:align>
            </wp:positionH>
            <wp:positionV relativeFrom="margin">
              <wp:align>top</wp:align>
            </wp:positionV>
            <wp:extent cx="6610350" cy="6810375"/>
            <wp:effectExtent l="0" t="0" r="0" b="0"/>
            <wp:wrapSquare wrapText="bothSides"/>
            <wp:docPr id="13" name="תמונה 13" descr="Forex transactions with domestic banks, by instruments and derivatives ($ million)" title="Forex transactions with domestic banks, by instruments and derivatives ($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0709" cy="681058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4341E" w:rsidRPr="00A87DC1" w:rsidSect="00FC2A67">
      <w:footerReference w:type="default" r:id="rId18"/>
      <w:pgSz w:w="11906" w:h="16838"/>
      <w:pgMar w:top="510" w:right="1797" w:bottom="624" w:left="1797"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8D" w:rsidRDefault="009B3F8D" w:rsidP="00E64B36">
      <w:r>
        <w:separator/>
      </w:r>
    </w:p>
  </w:endnote>
  <w:endnote w:type="continuationSeparator" w:id="0">
    <w:p w:rsidR="009B3F8D" w:rsidRDefault="009B3F8D"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98259"/>
      <w:docPartObj>
        <w:docPartGallery w:val="Page Numbers (Bottom of Page)"/>
        <w:docPartUnique/>
      </w:docPartObj>
    </w:sdtPr>
    <w:sdtEndPr>
      <w:rPr>
        <w:cs/>
      </w:rPr>
    </w:sdtEndPr>
    <w:sdtContent>
      <w:sdt>
        <w:sdtPr>
          <w:id w:val="-628547931"/>
          <w:docPartObj>
            <w:docPartGallery w:val="Page Numbers (Top of Page)"/>
            <w:docPartUnique/>
          </w:docPartObj>
        </w:sdtPr>
        <w:sdtEndPr/>
        <w:sdtContent>
          <w:p w:rsidR="00BE7ED4" w:rsidRPr="00540991" w:rsidRDefault="00BE7ED4" w:rsidP="003F1C68">
            <w:pPr>
              <w:pStyle w:val="a6"/>
              <w:bidi w:val="0"/>
              <w:rPr>
                <w:rtl/>
                <w:cs/>
              </w:rPr>
            </w:pPr>
            <w:r w:rsidRPr="00540991">
              <w:t xml:space="preserve">Bank of Israel - Israel’s foreign currency market in </w:t>
            </w:r>
            <w:r w:rsidR="003F1C68">
              <w:t>November</w:t>
            </w:r>
            <w:r w:rsidRPr="00540991">
              <w:t xml:space="preserve"> 2016</w:t>
            </w:r>
            <w:r w:rsidRPr="00540991">
              <w:tab/>
              <w:t>Page</w:t>
            </w:r>
            <w:r w:rsidRPr="00540991">
              <w:rPr>
                <w:rtl/>
                <w:cs/>
                <w:lang w:val="he-IL"/>
              </w:rPr>
              <w:t xml:space="preserve"> </w:t>
            </w:r>
            <w:r w:rsidRPr="00540991">
              <w:rPr>
                <w:b/>
                <w:bCs/>
              </w:rPr>
              <w:fldChar w:fldCharType="begin"/>
            </w:r>
            <w:r w:rsidRPr="00540991">
              <w:rPr>
                <w:b/>
                <w:bCs/>
                <w:rtl/>
                <w:cs/>
              </w:rPr>
              <w:instrText>PAGE</w:instrText>
            </w:r>
            <w:r w:rsidRPr="00540991">
              <w:rPr>
                <w:b/>
                <w:bCs/>
              </w:rPr>
              <w:fldChar w:fldCharType="separate"/>
            </w:r>
            <w:r w:rsidR="003F1C68">
              <w:rPr>
                <w:b/>
                <w:bCs/>
                <w:noProof/>
              </w:rPr>
              <w:t>1</w:t>
            </w:r>
            <w:r w:rsidRPr="00540991">
              <w:rPr>
                <w:b/>
                <w:bCs/>
              </w:rPr>
              <w:fldChar w:fldCharType="end"/>
            </w:r>
            <w:r w:rsidRPr="00540991">
              <w:rPr>
                <w:rtl/>
                <w:cs/>
                <w:lang w:val="he-IL"/>
              </w:rPr>
              <w:t xml:space="preserve"> </w:t>
            </w:r>
            <w:r w:rsidRPr="00540991">
              <w:t>Of</w:t>
            </w:r>
            <w:r w:rsidRPr="00540991">
              <w:rPr>
                <w:rtl/>
                <w:cs/>
                <w:lang w:val="he-IL"/>
              </w:rPr>
              <w:t xml:space="preserve"> </w:t>
            </w:r>
            <w:r w:rsidRPr="00540991">
              <w:rPr>
                <w:b/>
                <w:bCs/>
              </w:rPr>
              <w:fldChar w:fldCharType="begin"/>
            </w:r>
            <w:r w:rsidRPr="00540991">
              <w:rPr>
                <w:b/>
                <w:bCs/>
                <w:rtl/>
                <w:cs/>
              </w:rPr>
              <w:instrText>NUMPAGES</w:instrText>
            </w:r>
            <w:r w:rsidRPr="00540991">
              <w:rPr>
                <w:b/>
                <w:bCs/>
              </w:rPr>
              <w:fldChar w:fldCharType="separate"/>
            </w:r>
            <w:r w:rsidR="003F1C68">
              <w:rPr>
                <w:b/>
                <w:bCs/>
                <w:noProof/>
              </w:rPr>
              <w:t>6</w:t>
            </w:r>
            <w:r w:rsidRPr="00540991">
              <w:rPr>
                <w:b/>
                <w:bCs/>
              </w:rPr>
              <w:fldChar w:fldCharType="end"/>
            </w:r>
          </w:p>
        </w:sdtContent>
      </w:sdt>
    </w:sdtContent>
  </w:sdt>
  <w:p w:rsidR="00BE7ED4" w:rsidRDefault="00BE7E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2759"/>
      <w:docPartObj>
        <w:docPartGallery w:val="Page Numbers (Bottom of Page)"/>
        <w:docPartUnique/>
      </w:docPartObj>
    </w:sdtPr>
    <w:sdtEndPr>
      <w:rPr>
        <w:cs/>
      </w:rPr>
    </w:sdtEndPr>
    <w:sdtContent>
      <w:sdt>
        <w:sdtPr>
          <w:id w:val="449049550"/>
          <w:docPartObj>
            <w:docPartGallery w:val="Page Numbers (Top of Page)"/>
            <w:docPartUnique/>
          </w:docPartObj>
        </w:sdtPr>
        <w:sdtContent>
          <w:p w:rsidR="00A749E1" w:rsidRPr="00B96022" w:rsidRDefault="003F1C68" w:rsidP="003F1C68">
            <w:pPr>
              <w:pStyle w:val="a6"/>
              <w:bidi w:val="0"/>
              <w:rPr>
                <w:rFonts w:hint="cs"/>
                <w:rtl/>
              </w:rPr>
            </w:pPr>
            <w:r w:rsidRPr="00540991">
              <w:t xml:space="preserve">Bank of Israel - Israel’s foreign currency market in </w:t>
            </w:r>
            <w:r>
              <w:t>November</w:t>
            </w:r>
            <w:r w:rsidRPr="00540991">
              <w:t xml:space="preserve"> 2016</w:t>
            </w:r>
            <w:r w:rsidRPr="00540991">
              <w:tab/>
              <w:t>Page</w:t>
            </w:r>
            <w:r w:rsidRPr="00540991">
              <w:rPr>
                <w:rtl/>
                <w:cs/>
                <w:lang w:val="he-IL"/>
              </w:rPr>
              <w:t xml:space="preserve"> </w:t>
            </w:r>
            <w:r w:rsidRPr="00540991">
              <w:rPr>
                <w:b/>
                <w:bCs/>
              </w:rPr>
              <w:fldChar w:fldCharType="begin"/>
            </w:r>
            <w:r w:rsidRPr="00540991">
              <w:rPr>
                <w:b/>
                <w:bCs/>
                <w:rtl/>
                <w:cs/>
              </w:rPr>
              <w:instrText>PAGE</w:instrText>
            </w:r>
            <w:r w:rsidRPr="00540991">
              <w:rPr>
                <w:b/>
                <w:bCs/>
              </w:rPr>
              <w:fldChar w:fldCharType="separate"/>
            </w:r>
            <w:r>
              <w:rPr>
                <w:b/>
                <w:bCs/>
                <w:noProof/>
              </w:rPr>
              <w:t>6</w:t>
            </w:r>
            <w:r w:rsidRPr="00540991">
              <w:rPr>
                <w:b/>
                <w:bCs/>
              </w:rPr>
              <w:fldChar w:fldCharType="end"/>
            </w:r>
            <w:r w:rsidRPr="00540991">
              <w:rPr>
                <w:rtl/>
                <w:cs/>
                <w:lang w:val="he-IL"/>
              </w:rPr>
              <w:t xml:space="preserve"> </w:t>
            </w:r>
            <w:r w:rsidRPr="00540991">
              <w:t>Of</w:t>
            </w:r>
            <w:r w:rsidRPr="00540991">
              <w:rPr>
                <w:rtl/>
                <w:cs/>
                <w:lang w:val="he-IL"/>
              </w:rPr>
              <w:t xml:space="preserve"> </w:t>
            </w:r>
            <w:r w:rsidRPr="00540991">
              <w:rPr>
                <w:b/>
                <w:bCs/>
              </w:rPr>
              <w:fldChar w:fldCharType="begin"/>
            </w:r>
            <w:r w:rsidRPr="00540991">
              <w:rPr>
                <w:b/>
                <w:bCs/>
                <w:rtl/>
                <w:cs/>
              </w:rPr>
              <w:instrText>NUMPAGES</w:instrText>
            </w:r>
            <w:r w:rsidRPr="00540991">
              <w:rPr>
                <w:b/>
                <w:bCs/>
              </w:rPr>
              <w:fldChar w:fldCharType="separate"/>
            </w:r>
            <w:r>
              <w:rPr>
                <w:b/>
                <w:bCs/>
                <w:noProof/>
              </w:rPr>
              <w:t>6</w:t>
            </w:r>
            <w:r w:rsidRPr="00540991">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8D" w:rsidRDefault="009B3F8D" w:rsidP="00E64B36">
      <w:r>
        <w:separator/>
      </w:r>
    </w:p>
  </w:footnote>
  <w:footnote w:type="continuationSeparator" w:id="0">
    <w:p w:rsidR="009B3F8D" w:rsidRDefault="009B3F8D" w:rsidP="00E6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D4" w:rsidRDefault="00BE7ED4" w:rsidP="00A15B69">
    <w:pPr>
      <w:pStyle w:val="a3"/>
      <w:tabs>
        <w:tab w:val="clear" w:pos="4153"/>
        <w:tab w:val="clear" w:pos="8306"/>
        <w:tab w:val="left" w:pos="4843"/>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3C4"/>
    <w:rsid w:val="0001385E"/>
    <w:rsid w:val="0001413F"/>
    <w:rsid w:val="00031541"/>
    <w:rsid w:val="00034686"/>
    <w:rsid w:val="000526A0"/>
    <w:rsid w:val="0005726E"/>
    <w:rsid w:val="00064641"/>
    <w:rsid w:val="00074802"/>
    <w:rsid w:val="0008141D"/>
    <w:rsid w:val="000A2172"/>
    <w:rsid w:val="000A2D52"/>
    <w:rsid w:val="000A520E"/>
    <w:rsid w:val="000B66D6"/>
    <w:rsid w:val="000C5557"/>
    <w:rsid w:val="000C5EF4"/>
    <w:rsid w:val="000D22EB"/>
    <w:rsid w:val="000D4B4A"/>
    <w:rsid w:val="000E1A34"/>
    <w:rsid w:val="000E2845"/>
    <w:rsid w:val="000E5335"/>
    <w:rsid w:val="000E6E53"/>
    <w:rsid w:val="000F5EA6"/>
    <w:rsid w:val="001001A2"/>
    <w:rsid w:val="00101B55"/>
    <w:rsid w:val="00115645"/>
    <w:rsid w:val="001204D4"/>
    <w:rsid w:val="00130245"/>
    <w:rsid w:val="001428C4"/>
    <w:rsid w:val="00143F3A"/>
    <w:rsid w:val="00151140"/>
    <w:rsid w:val="0015175D"/>
    <w:rsid w:val="00153DE6"/>
    <w:rsid w:val="00154D08"/>
    <w:rsid w:val="00160B25"/>
    <w:rsid w:val="00165EE7"/>
    <w:rsid w:val="00170192"/>
    <w:rsid w:val="001707E0"/>
    <w:rsid w:val="00171B30"/>
    <w:rsid w:val="001721C7"/>
    <w:rsid w:val="0017718E"/>
    <w:rsid w:val="0019782B"/>
    <w:rsid w:val="001B1084"/>
    <w:rsid w:val="001B2122"/>
    <w:rsid w:val="001B4D8F"/>
    <w:rsid w:val="001B4E73"/>
    <w:rsid w:val="001C1BC1"/>
    <w:rsid w:val="001C1FA3"/>
    <w:rsid w:val="001C2790"/>
    <w:rsid w:val="001C388F"/>
    <w:rsid w:val="001C64AE"/>
    <w:rsid w:val="001C71E8"/>
    <w:rsid w:val="001D0AB4"/>
    <w:rsid w:val="001D2EB5"/>
    <w:rsid w:val="001D7072"/>
    <w:rsid w:val="001F7971"/>
    <w:rsid w:val="0021327F"/>
    <w:rsid w:val="0021704D"/>
    <w:rsid w:val="00237CE5"/>
    <w:rsid w:val="00242823"/>
    <w:rsid w:val="00264C17"/>
    <w:rsid w:val="00280A66"/>
    <w:rsid w:val="00280E43"/>
    <w:rsid w:val="00281C70"/>
    <w:rsid w:val="00282F65"/>
    <w:rsid w:val="00294ABA"/>
    <w:rsid w:val="00295F5E"/>
    <w:rsid w:val="00297AC8"/>
    <w:rsid w:val="002A00BC"/>
    <w:rsid w:val="002A0D2A"/>
    <w:rsid w:val="002B48CC"/>
    <w:rsid w:val="002B763A"/>
    <w:rsid w:val="002D7BBC"/>
    <w:rsid w:val="002E4AB3"/>
    <w:rsid w:val="002F0525"/>
    <w:rsid w:val="003004FD"/>
    <w:rsid w:val="0030279B"/>
    <w:rsid w:val="00303015"/>
    <w:rsid w:val="003129D6"/>
    <w:rsid w:val="003136EE"/>
    <w:rsid w:val="00316664"/>
    <w:rsid w:val="00340E06"/>
    <w:rsid w:val="0034638A"/>
    <w:rsid w:val="003549F0"/>
    <w:rsid w:val="003617D2"/>
    <w:rsid w:val="00362D57"/>
    <w:rsid w:val="003663BD"/>
    <w:rsid w:val="003727EE"/>
    <w:rsid w:val="003772AF"/>
    <w:rsid w:val="00385CB3"/>
    <w:rsid w:val="00387840"/>
    <w:rsid w:val="00387DD7"/>
    <w:rsid w:val="0039059D"/>
    <w:rsid w:val="00390CA5"/>
    <w:rsid w:val="00392CE6"/>
    <w:rsid w:val="003A335C"/>
    <w:rsid w:val="003A3813"/>
    <w:rsid w:val="003B0F1E"/>
    <w:rsid w:val="003B715F"/>
    <w:rsid w:val="003B7DC3"/>
    <w:rsid w:val="003C063B"/>
    <w:rsid w:val="003C44AE"/>
    <w:rsid w:val="003C45F4"/>
    <w:rsid w:val="003C7815"/>
    <w:rsid w:val="003D23B5"/>
    <w:rsid w:val="003D6F31"/>
    <w:rsid w:val="003D7088"/>
    <w:rsid w:val="003D7860"/>
    <w:rsid w:val="003D7C2F"/>
    <w:rsid w:val="003F1C68"/>
    <w:rsid w:val="00411BA4"/>
    <w:rsid w:val="00412846"/>
    <w:rsid w:val="004137E7"/>
    <w:rsid w:val="004147FC"/>
    <w:rsid w:val="00416E0A"/>
    <w:rsid w:val="0041749E"/>
    <w:rsid w:val="00424296"/>
    <w:rsid w:val="004247DA"/>
    <w:rsid w:val="004357B2"/>
    <w:rsid w:val="00445B15"/>
    <w:rsid w:val="004506C0"/>
    <w:rsid w:val="00467FFB"/>
    <w:rsid w:val="004710A5"/>
    <w:rsid w:val="0047295E"/>
    <w:rsid w:val="00492391"/>
    <w:rsid w:val="00497B95"/>
    <w:rsid w:val="004A0425"/>
    <w:rsid w:val="004A20A5"/>
    <w:rsid w:val="004A548C"/>
    <w:rsid w:val="004B0CEA"/>
    <w:rsid w:val="004B3F3D"/>
    <w:rsid w:val="004C61F9"/>
    <w:rsid w:val="004C6A99"/>
    <w:rsid w:val="004D32A7"/>
    <w:rsid w:val="004D5D6F"/>
    <w:rsid w:val="004E4AEC"/>
    <w:rsid w:val="004E66D9"/>
    <w:rsid w:val="005007E2"/>
    <w:rsid w:val="0050183E"/>
    <w:rsid w:val="00512DA3"/>
    <w:rsid w:val="005135B6"/>
    <w:rsid w:val="0051643E"/>
    <w:rsid w:val="00520ADA"/>
    <w:rsid w:val="00525B10"/>
    <w:rsid w:val="005316D2"/>
    <w:rsid w:val="005331E3"/>
    <w:rsid w:val="005406F8"/>
    <w:rsid w:val="00540991"/>
    <w:rsid w:val="00540B03"/>
    <w:rsid w:val="00541838"/>
    <w:rsid w:val="005439FF"/>
    <w:rsid w:val="00544758"/>
    <w:rsid w:val="005462D0"/>
    <w:rsid w:val="00546392"/>
    <w:rsid w:val="00556116"/>
    <w:rsid w:val="005613C1"/>
    <w:rsid w:val="00565786"/>
    <w:rsid w:val="005713A8"/>
    <w:rsid w:val="00587598"/>
    <w:rsid w:val="0059277F"/>
    <w:rsid w:val="0059583A"/>
    <w:rsid w:val="005965B3"/>
    <w:rsid w:val="00596FB4"/>
    <w:rsid w:val="00597398"/>
    <w:rsid w:val="00597EED"/>
    <w:rsid w:val="005B1BA1"/>
    <w:rsid w:val="005B3DCE"/>
    <w:rsid w:val="005B3EEA"/>
    <w:rsid w:val="005D7130"/>
    <w:rsid w:val="005F3E47"/>
    <w:rsid w:val="0060215A"/>
    <w:rsid w:val="00602CBA"/>
    <w:rsid w:val="006050B1"/>
    <w:rsid w:val="0061530A"/>
    <w:rsid w:val="0061692C"/>
    <w:rsid w:val="006216F9"/>
    <w:rsid w:val="00621BB5"/>
    <w:rsid w:val="00623A3E"/>
    <w:rsid w:val="0062658F"/>
    <w:rsid w:val="00642252"/>
    <w:rsid w:val="006425AC"/>
    <w:rsid w:val="0064703F"/>
    <w:rsid w:val="00652D53"/>
    <w:rsid w:val="0065569A"/>
    <w:rsid w:val="006558DE"/>
    <w:rsid w:val="0066534F"/>
    <w:rsid w:val="00672104"/>
    <w:rsid w:val="006730BD"/>
    <w:rsid w:val="006777B7"/>
    <w:rsid w:val="006778D4"/>
    <w:rsid w:val="006942C4"/>
    <w:rsid w:val="006B37A4"/>
    <w:rsid w:val="006B679C"/>
    <w:rsid w:val="006C070A"/>
    <w:rsid w:val="006C1C18"/>
    <w:rsid w:val="006C6B43"/>
    <w:rsid w:val="006D3582"/>
    <w:rsid w:val="006D3D86"/>
    <w:rsid w:val="006F20E9"/>
    <w:rsid w:val="0070039B"/>
    <w:rsid w:val="00701B95"/>
    <w:rsid w:val="00707AC7"/>
    <w:rsid w:val="00716379"/>
    <w:rsid w:val="0072067C"/>
    <w:rsid w:val="00721560"/>
    <w:rsid w:val="007218B0"/>
    <w:rsid w:val="007326B5"/>
    <w:rsid w:val="0073283D"/>
    <w:rsid w:val="00736B67"/>
    <w:rsid w:val="0073750A"/>
    <w:rsid w:val="0074341E"/>
    <w:rsid w:val="00750EC7"/>
    <w:rsid w:val="00751F08"/>
    <w:rsid w:val="00756100"/>
    <w:rsid w:val="00757A52"/>
    <w:rsid w:val="00757B9D"/>
    <w:rsid w:val="007621F1"/>
    <w:rsid w:val="00766664"/>
    <w:rsid w:val="007666A8"/>
    <w:rsid w:val="007764CA"/>
    <w:rsid w:val="00785BD2"/>
    <w:rsid w:val="007876B0"/>
    <w:rsid w:val="00793399"/>
    <w:rsid w:val="00794D46"/>
    <w:rsid w:val="007A2DE7"/>
    <w:rsid w:val="007B74E7"/>
    <w:rsid w:val="007C6400"/>
    <w:rsid w:val="007D57EE"/>
    <w:rsid w:val="007E38F9"/>
    <w:rsid w:val="007F0CCC"/>
    <w:rsid w:val="007F6F44"/>
    <w:rsid w:val="007F7993"/>
    <w:rsid w:val="00805221"/>
    <w:rsid w:val="0081026B"/>
    <w:rsid w:val="008403F1"/>
    <w:rsid w:val="008412E8"/>
    <w:rsid w:val="00842BAF"/>
    <w:rsid w:val="008507C5"/>
    <w:rsid w:val="00856F9B"/>
    <w:rsid w:val="00864C55"/>
    <w:rsid w:val="008659EE"/>
    <w:rsid w:val="00872640"/>
    <w:rsid w:val="00875999"/>
    <w:rsid w:val="00886CC2"/>
    <w:rsid w:val="008872F8"/>
    <w:rsid w:val="00892E93"/>
    <w:rsid w:val="008960F7"/>
    <w:rsid w:val="008A7212"/>
    <w:rsid w:val="008B0D77"/>
    <w:rsid w:val="008B4273"/>
    <w:rsid w:val="008B7464"/>
    <w:rsid w:val="008C0C91"/>
    <w:rsid w:val="008D1A2C"/>
    <w:rsid w:val="008D58D4"/>
    <w:rsid w:val="008D6FB6"/>
    <w:rsid w:val="008E7D15"/>
    <w:rsid w:val="008F1D45"/>
    <w:rsid w:val="008F2476"/>
    <w:rsid w:val="0091307F"/>
    <w:rsid w:val="00915D25"/>
    <w:rsid w:val="00923347"/>
    <w:rsid w:val="009338FA"/>
    <w:rsid w:val="00933EF4"/>
    <w:rsid w:val="0093574D"/>
    <w:rsid w:val="009438E2"/>
    <w:rsid w:val="009609FA"/>
    <w:rsid w:val="00961BD6"/>
    <w:rsid w:val="009651F0"/>
    <w:rsid w:val="00967248"/>
    <w:rsid w:val="0097278E"/>
    <w:rsid w:val="00973016"/>
    <w:rsid w:val="009744A0"/>
    <w:rsid w:val="00976781"/>
    <w:rsid w:val="009844A2"/>
    <w:rsid w:val="009846A7"/>
    <w:rsid w:val="00984FBD"/>
    <w:rsid w:val="00985B16"/>
    <w:rsid w:val="00997FAC"/>
    <w:rsid w:val="009B15DB"/>
    <w:rsid w:val="009B1778"/>
    <w:rsid w:val="009B3F8D"/>
    <w:rsid w:val="009B51A5"/>
    <w:rsid w:val="009C21B3"/>
    <w:rsid w:val="009C2C42"/>
    <w:rsid w:val="009C3529"/>
    <w:rsid w:val="009C7BCD"/>
    <w:rsid w:val="009D7CDF"/>
    <w:rsid w:val="009E3D4E"/>
    <w:rsid w:val="009E6150"/>
    <w:rsid w:val="00A0590C"/>
    <w:rsid w:val="00A06ACF"/>
    <w:rsid w:val="00A117D2"/>
    <w:rsid w:val="00A23DBE"/>
    <w:rsid w:val="00A32D0E"/>
    <w:rsid w:val="00A367C5"/>
    <w:rsid w:val="00A37869"/>
    <w:rsid w:val="00A406BA"/>
    <w:rsid w:val="00A41B9A"/>
    <w:rsid w:val="00A44A88"/>
    <w:rsid w:val="00A46934"/>
    <w:rsid w:val="00A501F6"/>
    <w:rsid w:val="00A5201A"/>
    <w:rsid w:val="00A5307A"/>
    <w:rsid w:val="00A56F78"/>
    <w:rsid w:val="00A60725"/>
    <w:rsid w:val="00A62731"/>
    <w:rsid w:val="00A71713"/>
    <w:rsid w:val="00A72122"/>
    <w:rsid w:val="00A73A47"/>
    <w:rsid w:val="00A74752"/>
    <w:rsid w:val="00A749E1"/>
    <w:rsid w:val="00A74B6D"/>
    <w:rsid w:val="00A811CE"/>
    <w:rsid w:val="00A81355"/>
    <w:rsid w:val="00A81B6C"/>
    <w:rsid w:val="00A82B0D"/>
    <w:rsid w:val="00A87DC1"/>
    <w:rsid w:val="00A9162A"/>
    <w:rsid w:val="00A94775"/>
    <w:rsid w:val="00A97D03"/>
    <w:rsid w:val="00AA4329"/>
    <w:rsid w:val="00AB52DC"/>
    <w:rsid w:val="00AB75B4"/>
    <w:rsid w:val="00AC0B5C"/>
    <w:rsid w:val="00AC1143"/>
    <w:rsid w:val="00AD0339"/>
    <w:rsid w:val="00AD57E4"/>
    <w:rsid w:val="00AD7CC8"/>
    <w:rsid w:val="00AE645F"/>
    <w:rsid w:val="00AF32A3"/>
    <w:rsid w:val="00AF6B3A"/>
    <w:rsid w:val="00B04FB0"/>
    <w:rsid w:val="00B05353"/>
    <w:rsid w:val="00B108AE"/>
    <w:rsid w:val="00B13C9D"/>
    <w:rsid w:val="00B21CC0"/>
    <w:rsid w:val="00B2455E"/>
    <w:rsid w:val="00B2783E"/>
    <w:rsid w:val="00B3066D"/>
    <w:rsid w:val="00B37116"/>
    <w:rsid w:val="00B37430"/>
    <w:rsid w:val="00B40E49"/>
    <w:rsid w:val="00B46E33"/>
    <w:rsid w:val="00B47112"/>
    <w:rsid w:val="00B47729"/>
    <w:rsid w:val="00B75E66"/>
    <w:rsid w:val="00B76B5D"/>
    <w:rsid w:val="00B84789"/>
    <w:rsid w:val="00B85769"/>
    <w:rsid w:val="00B87F00"/>
    <w:rsid w:val="00B903FA"/>
    <w:rsid w:val="00B96022"/>
    <w:rsid w:val="00BB77A2"/>
    <w:rsid w:val="00BC43BA"/>
    <w:rsid w:val="00BC71FF"/>
    <w:rsid w:val="00BC7D84"/>
    <w:rsid w:val="00BD443F"/>
    <w:rsid w:val="00BE27B4"/>
    <w:rsid w:val="00BE480B"/>
    <w:rsid w:val="00BE4B58"/>
    <w:rsid w:val="00BE52BF"/>
    <w:rsid w:val="00BE7ED4"/>
    <w:rsid w:val="00BF2D7E"/>
    <w:rsid w:val="00BF428E"/>
    <w:rsid w:val="00BF4848"/>
    <w:rsid w:val="00C13F51"/>
    <w:rsid w:val="00C15121"/>
    <w:rsid w:val="00C171FF"/>
    <w:rsid w:val="00C21009"/>
    <w:rsid w:val="00C21C2F"/>
    <w:rsid w:val="00C25F53"/>
    <w:rsid w:val="00C26558"/>
    <w:rsid w:val="00C270C6"/>
    <w:rsid w:val="00C3350A"/>
    <w:rsid w:val="00C37129"/>
    <w:rsid w:val="00C47F00"/>
    <w:rsid w:val="00C52FC2"/>
    <w:rsid w:val="00C6128E"/>
    <w:rsid w:val="00C61C43"/>
    <w:rsid w:val="00C62D37"/>
    <w:rsid w:val="00C74190"/>
    <w:rsid w:val="00C76E10"/>
    <w:rsid w:val="00C81A02"/>
    <w:rsid w:val="00C869D7"/>
    <w:rsid w:val="00CA01A1"/>
    <w:rsid w:val="00CA2CA0"/>
    <w:rsid w:val="00CC2ABA"/>
    <w:rsid w:val="00CC58F8"/>
    <w:rsid w:val="00CC6D30"/>
    <w:rsid w:val="00CD01C3"/>
    <w:rsid w:val="00CD70B6"/>
    <w:rsid w:val="00CE0B40"/>
    <w:rsid w:val="00CF0D7A"/>
    <w:rsid w:val="00CF5CEA"/>
    <w:rsid w:val="00D005EC"/>
    <w:rsid w:val="00D10AE3"/>
    <w:rsid w:val="00D110EB"/>
    <w:rsid w:val="00D12941"/>
    <w:rsid w:val="00D17014"/>
    <w:rsid w:val="00D1753D"/>
    <w:rsid w:val="00D211FE"/>
    <w:rsid w:val="00D272DB"/>
    <w:rsid w:val="00D313DC"/>
    <w:rsid w:val="00D31E5D"/>
    <w:rsid w:val="00D32D46"/>
    <w:rsid w:val="00D32DDD"/>
    <w:rsid w:val="00D37632"/>
    <w:rsid w:val="00D43C5B"/>
    <w:rsid w:val="00D43E2E"/>
    <w:rsid w:val="00D46A6F"/>
    <w:rsid w:val="00D554DA"/>
    <w:rsid w:val="00D60BFC"/>
    <w:rsid w:val="00D60FF3"/>
    <w:rsid w:val="00D65BAC"/>
    <w:rsid w:val="00D67C46"/>
    <w:rsid w:val="00D906D3"/>
    <w:rsid w:val="00D907A2"/>
    <w:rsid w:val="00D914B7"/>
    <w:rsid w:val="00DB291D"/>
    <w:rsid w:val="00DB3BD6"/>
    <w:rsid w:val="00DE01A0"/>
    <w:rsid w:val="00DE0699"/>
    <w:rsid w:val="00DE2E73"/>
    <w:rsid w:val="00DF4CC2"/>
    <w:rsid w:val="00DF5143"/>
    <w:rsid w:val="00DF6966"/>
    <w:rsid w:val="00E00873"/>
    <w:rsid w:val="00E020E5"/>
    <w:rsid w:val="00E04222"/>
    <w:rsid w:val="00E04D4F"/>
    <w:rsid w:val="00E13283"/>
    <w:rsid w:val="00E2493A"/>
    <w:rsid w:val="00E25475"/>
    <w:rsid w:val="00E3503F"/>
    <w:rsid w:val="00E3560C"/>
    <w:rsid w:val="00E37851"/>
    <w:rsid w:val="00E42C0F"/>
    <w:rsid w:val="00E5462E"/>
    <w:rsid w:val="00E64B36"/>
    <w:rsid w:val="00E660F1"/>
    <w:rsid w:val="00E673F0"/>
    <w:rsid w:val="00E71475"/>
    <w:rsid w:val="00E8005F"/>
    <w:rsid w:val="00E8008F"/>
    <w:rsid w:val="00E809A4"/>
    <w:rsid w:val="00E85DB1"/>
    <w:rsid w:val="00EA035A"/>
    <w:rsid w:val="00EB0DEC"/>
    <w:rsid w:val="00EB44F5"/>
    <w:rsid w:val="00EB64E3"/>
    <w:rsid w:val="00EB669A"/>
    <w:rsid w:val="00EC13FB"/>
    <w:rsid w:val="00EC1C00"/>
    <w:rsid w:val="00EC48D4"/>
    <w:rsid w:val="00ED477C"/>
    <w:rsid w:val="00ED5226"/>
    <w:rsid w:val="00ED5B65"/>
    <w:rsid w:val="00EE1511"/>
    <w:rsid w:val="00EE17C2"/>
    <w:rsid w:val="00EE2AA0"/>
    <w:rsid w:val="00EF0372"/>
    <w:rsid w:val="00EF1AC2"/>
    <w:rsid w:val="00EF71C5"/>
    <w:rsid w:val="00F04C09"/>
    <w:rsid w:val="00F0508D"/>
    <w:rsid w:val="00F06E4F"/>
    <w:rsid w:val="00F101FA"/>
    <w:rsid w:val="00F15E93"/>
    <w:rsid w:val="00F307FA"/>
    <w:rsid w:val="00F43537"/>
    <w:rsid w:val="00F53236"/>
    <w:rsid w:val="00F56917"/>
    <w:rsid w:val="00F576F6"/>
    <w:rsid w:val="00F6263E"/>
    <w:rsid w:val="00F806F6"/>
    <w:rsid w:val="00F82AC5"/>
    <w:rsid w:val="00F94E2E"/>
    <w:rsid w:val="00FA13BA"/>
    <w:rsid w:val="00FA28D4"/>
    <w:rsid w:val="00FA4531"/>
    <w:rsid w:val="00FA4548"/>
    <w:rsid w:val="00FB0D59"/>
    <w:rsid w:val="00FB7F0A"/>
    <w:rsid w:val="00FC2A67"/>
    <w:rsid w:val="00FD18A0"/>
    <w:rsid w:val="00FE5D3B"/>
    <w:rsid w:val="00FF1C5A"/>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ressReleaseTitle">
    <w:name w:val="Press Release Title"/>
    <w:basedOn w:val="a"/>
    <w:link w:val="PressReleaseTitleChar"/>
    <w:qFormat/>
    <w:rsid w:val="00DE2E73"/>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DE2E73"/>
    <w:rPr>
      <w:rFonts w:cs="David"/>
      <w:b/>
      <w:bCs/>
      <w:sz w:val="26"/>
      <w:szCs w:val="26"/>
    </w:rPr>
  </w:style>
  <w:style w:type="paragraph" w:styleId="ae">
    <w:name w:val="Title"/>
    <w:basedOn w:val="a"/>
    <w:next w:val="a"/>
    <w:link w:val="af"/>
    <w:qFormat/>
    <w:rsid w:val="00FA28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FA28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ressReleaseTitle">
    <w:name w:val="Press Release Title"/>
    <w:basedOn w:val="a"/>
    <w:link w:val="PressReleaseTitleChar"/>
    <w:qFormat/>
    <w:rsid w:val="00DE2E73"/>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DE2E73"/>
    <w:rPr>
      <w:rFonts w:cs="David"/>
      <w:b/>
      <w:bCs/>
      <w:sz w:val="26"/>
      <w:szCs w:val="26"/>
    </w:rPr>
  </w:style>
  <w:style w:type="paragraph" w:styleId="ae">
    <w:name w:val="Title"/>
    <w:basedOn w:val="a"/>
    <w:next w:val="a"/>
    <w:link w:val="af"/>
    <w:qFormat/>
    <w:rsid w:val="00FA28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FA28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01CD-EA74-456B-98CC-29C702499765}"/>
</file>

<file path=customXml/itemProps2.xml><?xml version="1.0" encoding="utf-8"?>
<ds:datastoreItem xmlns:ds="http://schemas.openxmlformats.org/officeDocument/2006/customXml" ds:itemID="{A5BF5DA6-5C04-4563-AE6C-187829A855E7}"/>
</file>

<file path=customXml/itemProps3.xml><?xml version="1.0" encoding="utf-8"?>
<ds:datastoreItem xmlns:ds="http://schemas.openxmlformats.org/officeDocument/2006/customXml" ds:itemID="{F95B2132-6CD3-495C-917B-0AB97A3205E6}"/>
</file>

<file path=customXml/itemProps4.xml><?xml version="1.0" encoding="utf-8"?>
<ds:datastoreItem xmlns:ds="http://schemas.openxmlformats.org/officeDocument/2006/customXml" ds:itemID="{80CC3DBE-096C-4FC9-8B28-B876E6273F32}"/>
</file>

<file path=docProps/app.xml><?xml version="1.0" encoding="utf-8"?>
<Properties xmlns="http://schemas.openxmlformats.org/officeDocument/2006/extended-properties" xmlns:vt="http://schemas.openxmlformats.org/officeDocument/2006/docPropsVTypes">
  <Template>Normal.dotm</Template>
  <TotalTime>0</TotalTime>
  <Pages>6</Pages>
  <Words>492</Words>
  <Characters>2752</Characters>
  <Application>Microsoft Office Word</Application>
  <DocSecurity>4</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3238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2016-12-08T07:11:00Z</dcterms:created>
  <dcterms:modified xsi:type="dcterms:W3CDTF">2016-12-08T07:11:00Z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