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4F591EDA" wp14:editId="290178F9">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4A5826">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4A5826">
              <w:rPr>
                <w:rFonts w:cs="David" w:hint="cs"/>
                <w:sz w:val="24"/>
                <w:szCs w:val="24"/>
                <w:rtl/>
              </w:rPr>
              <w:t>ט"ו</w:t>
            </w:r>
            <w:r w:rsidR="008B5665">
              <w:rPr>
                <w:rFonts w:cs="David" w:hint="cs"/>
                <w:sz w:val="24"/>
                <w:szCs w:val="24"/>
                <w:rtl/>
              </w:rPr>
              <w:t xml:space="preserve"> בטבת</w:t>
            </w:r>
            <w:r w:rsidR="004625EB">
              <w:rPr>
                <w:rFonts w:cs="David"/>
                <w:sz w:val="24"/>
                <w:szCs w:val="24"/>
                <w:rtl/>
              </w:rPr>
              <w:t xml:space="preserve"> </w:t>
            </w:r>
            <w:proofErr w:type="spellStart"/>
            <w:r w:rsidR="00614095">
              <w:rPr>
                <w:rFonts w:cs="David" w:hint="cs"/>
                <w:sz w:val="24"/>
                <w:szCs w:val="24"/>
                <w:rtl/>
              </w:rPr>
              <w:t>ה</w:t>
            </w:r>
            <w:r w:rsidR="004625EB">
              <w:rPr>
                <w:rFonts w:cs="David"/>
                <w:sz w:val="24"/>
                <w:szCs w:val="24"/>
                <w:rtl/>
              </w:rPr>
              <w:t>תשע"</w:t>
            </w:r>
            <w:r w:rsidR="004625EB">
              <w:rPr>
                <w:rFonts w:cs="David" w:hint="cs"/>
                <w:sz w:val="24"/>
                <w:szCs w:val="24"/>
                <w:rtl/>
              </w:rPr>
              <w:t>ד</w:t>
            </w:r>
            <w:proofErr w:type="spellEnd"/>
          </w:p>
          <w:p w:rsidR="00DD5923" w:rsidRPr="00DF107C" w:rsidRDefault="00DD5923" w:rsidP="004A5826">
            <w:pPr>
              <w:bidi/>
              <w:spacing w:line="480" w:lineRule="auto"/>
              <w:jc w:val="right"/>
              <w:rPr>
                <w:rFonts w:cs="David"/>
                <w:sz w:val="24"/>
                <w:szCs w:val="24"/>
              </w:rPr>
            </w:pPr>
            <w:r>
              <w:rPr>
                <w:rFonts w:cs="David" w:hint="eastAsia"/>
                <w:sz w:val="24"/>
                <w:szCs w:val="24"/>
                <w:rtl/>
              </w:rPr>
              <w:t>‏‏</w:t>
            </w:r>
            <w:r w:rsidR="004A5826">
              <w:rPr>
                <w:rFonts w:cs="David" w:hint="cs"/>
                <w:sz w:val="24"/>
                <w:szCs w:val="24"/>
                <w:rtl/>
              </w:rPr>
              <w:t>18</w:t>
            </w:r>
            <w:r w:rsidR="00F75061">
              <w:rPr>
                <w:rFonts w:cs="David" w:hint="cs"/>
                <w:sz w:val="24"/>
                <w:szCs w:val="24"/>
                <w:rtl/>
              </w:rPr>
              <w:t xml:space="preserve"> בדצמבר</w:t>
            </w:r>
            <w:r>
              <w:rPr>
                <w:rFonts w:cs="David"/>
                <w:sz w:val="24"/>
                <w:szCs w:val="24"/>
                <w:rtl/>
              </w:rPr>
              <w:t xml:space="preserve"> 2013</w:t>
            </w:r>
          </w:p>
        </w:tc>
      </w:tr>
    </w:tbl>
    <w:p w:rsidR="00FE034E" w:rsidRDefault="00FE034E" w:rsidP="00BD5207">
      <w:pPr>
        <w:bidi/>
        <w:rPr>
          <w:rtl/>
        </w:rPr>
      </w:pPr>
    </w:p>
    <w:p w:rsidR="007E18EE" w:rsidRDefault="007E18EE" w:rsidP="00BD5207">
      <w:pPr>
        <w:bidi/>
        <w:spacing w:line="360" w:lineRule="auto"/>
        <w:ind w:right="-101"/>
        <w:rPr>
          <w:rFonts w:cs="David"/>
          <w:sz w:val="24"/>
          <w:szCs w:val="24"/>
          <w:rtl/>
        </w:rPr>
      </w:pPr>
      <w:r w:rsidRPr="007E18EE">
        <w:rPr>
          <w:rFonts w:cs="David" w:hint="cs"/>
          <w:sz w:val="24"/>
          <w:szCs w:val="24"/>
          <w:rtl/>
        </w:rPr>
        <w:t>הודעה לעיתונות:</w:t>
      </w:r>
    </w:p>
    <w:p w:rsidR="00DC6FE8" w:rsidRDefault="00DC6FE8" w:rsidP="00DC6FE8">
      <w:pPr>
        <w:bidi/>
        <w:jc w:val="center"/>
        <w:rPr>
          <w:rFonts w:cs="David"/>
          <w:b/>
          <w:bCs/>
          <w:sz w:val="28"/>
          <w:szCs w:val="28"/>
          <w:rtl/>
        </w:rPr>
      </w:pPr>
    </w:p>
    <w:p w:rsidR="009250E1" w:rsidRDefault="009250E1" w:rsidP="00DC6FE8">
      <w:pPr>
        <w:bidi/>
        <w:jc w:val="center"/>
        <w:rPr>
          <w:rFonts w:cs="David"/>
          <w:b/>
          <w:bCs/>
          <w:sz w:val="28"/>
          <w:szCs w:val="28"/>
          <w:rtl/>
        </w:rPr>
      </w:pPr>
      <w:r>
        <w:rPr>
          <w:rFonts w:cs="David"/>
          <w:b/>
          <w:bCs/>
          <w:sz w:val="28"/>
          <w:szCs w:val="28"/>
          <w:rtl/>
        </w:rPr>
        <w:t xml:space="preserve">ההתפתחויות </w:t>
      </w:r>
      <w:r>
        <w:rPr>
          <w:rFonts w:cs="David" w:hint="cs"/>
          <w:b/>
          <w:bCs/>
          <w:sz w:val="28"/>
          <w:szCs w:val="28"/>
          <w:rtl/>
        </w:rPr>
        <w:t>הכלכליות בחודשים האחרונים: אפריל עד ספטמבר 2013</w:t>
      </w:r>
    </w:p>
    <w:p w:rsidR="00DC6FE8" w:rsidRDefault="00DC6FE8" w:rsidP="00DC6FE8">
      <w:pPr>
        <w:bidi/>
        <w:jc w:val="center"/>
        <w:rPr>
          <w:rFonts w:cs="David"/>
          <w:b/>
          <w:bCs/>
          <w:sz w:val="28"/>
          <w:szCs w:val="28"/>
        </w:rPr>
      </w:pPr>
    </w:p>
    <w:p w:rsidR="009250E1" w:rsidRPr="00943BE3" w:rsidRDefault="009250E1" w:rsidP="009250E1">
      <w:pPr>
        <w:numPr>
          <w:ilvl w:val="0"/>
          <w:numId w:val="1"/>
        </w:numPr>
        <w:bidi/>
        <w:spacing w:before="120" w:line="360" w:lineRule="auto"/>
        <w:ind w:left="357" w:hanging="357"/>
        <w:jc w:val="both"/>
        <w:rPr>
          <w:rFonts w:ascii="Arial" w:hAnsi="Arial" w:cs="David"/>
          <w:sz w:val="24"/>
          <w:szCs w:val="24"/>
        </w:rPr>
      </w:pPr>
      <w:r w:rsidRPr="00943BE3">
        <w:rPr>
          <w:rFonts w:ascii="Arial" w:hAnsi="Arial" w:cs="David" w:hint="cs"/>
          <w:sz w:val="24"/>
          <w:szCs w:val="24"/>
          <w:rtl/>
        </w:rPr>
        <w:t>הצמיחה במשק היית</w:t>
      </w:r>
      <w:r w:rsidRPr="00943BE3">
        <w:rPr>
          <w:rFonts w:ascii="Arial" w:hAnsi="Arial" w:cs="David" w:hint="eastAsia"/>
          <w:sz w:val="24"/>
          <w:szCs w:val="24"/>
          <w:rtl/>
        </w:rPr>
        <w:t>ה</w:t>
      </w:r>
      <w:r w:rsidRPr="00943BE3">
        <w:rPr>
          <w:rFonts w:ascii="Arial" w:hAnsi="Arial" w:cs="David" w:hint="cs"/>
          <w:sz w:val="24"/>
          <w:szCs w:val="24"/>
          <w:rtl/>
        </w:rPr>
        <w:t xml:space="preserve"> מתונה במהלך התקופה הנסקרת. ברבע השני של השנה התוצר צמח בקצב גבוה, אך זאת בהשפעת תחילת השימוש בגז טבעי מקומי. עם מיצויה של השפעה זו, ועל רקע החולשה המתמשכת של היצוא הישראלי, נרשמה ברבע השלישי צמיחה נמוכה יותר. </w:t>
      </w:r>
    </w:p>
    <w:p w:rsidR="009250E1" w:rsidRPr="00943BE3" w:rsidRDefault="009250E1" w:rsidP="009250E1">
      <w:pPr>
        <w:pStyle w:val="a9"/>
        <w:numPr>
          <w:ilvl w:val="0"/>
          <w:numId w:val="1"/>
        </w:numPr>
        <w:spacing w:line="360" w:lineRule="auto"/>
        <w:jc w:val="both"/>
        <w:rPr>
          <w:rFonts w:cs="David"/>
          <w:sz w:val="24"/>
          <w:szCs w:val="24"/>
        </w:rPr>
      </w:pPr>
      <w:r w:rsidRPr="00943BE3">
        <w:rPr>
          <w:rFonts w:cs="David" w:hint="cs"/>
          <w:sz w:val="24"/>
          <w:szCs w:val="24"/>
          <w:rtl/>
        </w:rPr>
        <w:t>בחמש השנים האחרונות התרחב הפער בין תקציב סל הבריאות לבין העלויות הכרוכות באספקת התרופות והשירותים שבסל, וההתרחבות תרמה לגידול בגירעונות של קופות החולים ובתי החולים. במאי האחרון הממשלה החליטה לשנות את מנגנון העדכון של תקציב הסל, והתוספת השנתית לתקציב זה תגדל. אולם גם לאחר השינוי צפוי כי פער התקצוב ימשיך להתרחב בשנים הקרובות. הפער מאפשר לשמר לחץ לריסון הוצאות במערכת הבריאות, אך בהיעדר תקציבים משלימים נוספים, התרחבותו תפגע בשירות לתושבים.</w:t>
      </w:r>
    </w:p>
    <w:p w:rsidR="009250E1" w:rsidRPr="00943BE3" w:rsidRDefault="009250E1" w:rsidP="009250E1">
      <w:pPr>
        <w:pStyle w:val="a9"/>
        <w:numPr>
          <w:ilvl w:val="0"/>
          <w:numId w:val="1"/>
        </w:numPr>
        <w:spacing w:line="360" w:lineRule="auto"/>
        <w:jc w:val="both"/>
        <w:rPr>
          <w:rFonts w:ascii="Times New Roman" w:hAnsi="Times New Roman" w:cs="David"/>
          <w:sz w:val="24"/>
          <w:szCs w:val="24"/>
          <w:rtl/>
        </w:rPr>
      </w:pPr>
      <w:r w:rsidRPr="00943BE3">
        <w:rPr>
          <w:rFonts w:ascii="Times New Roman" w:hAnsi="Times New Roman" w:cs="David" w:hint="cs"/>
          <w:sz w:val="24"/>
          <w:szCs w:val="24"/>
          <w:rtl/>
        </w:rPr>
        <w:t xml:space="preserve">ההסכמים הקיבוציים נפוצים בענפים ציבוריים </w:t>
      </w:r>
      <w:r w:rsidRPr="00943BE3">
        <w:rPr>
          <w:rFonts w:ascii="Times New Roman" w:hAnsi="Times New Roman" w:cs="David"/>
          <w:sz w:val="24"/>
          <w:szCs w:val="24"/>
          <w:rtl/>
        </w:rPr>
        <w:t>–</w:t>
      </w:r>
      <w:r w:rsidRPr="00943BE3">
        <w:rPr>
          <w:rFonts w:ascii="Times New Roman" w:hAnsi="Times New Roman" w:cs="David" w:hint="cs"/>
          <w:sz w:val="24"/>
          <w:szCs w:val="24"/>
          <w:rtl/>
        </w:rPr>
        <w:t xml:space="preserve"> במיוחד בקרב משכילים ובעלי שכר גבוה (למעלה מ-14 אלף שקל) </w:t>
      </w:r>
      <w:r w:rsidRPr="00943BE3">
        <w:rPr>
          <w:rFonts w:ascii="Times New Roman" w:hAnsi="Times New Roman" w:cs="David"/>
          <w:sz w:val="24"/>
          <w:szCs w:val="24"/>
          <w:rtl/>
        </w:rPr>
        <w:t>–</w:t>
      </w:r>
      <w:r w:rsidRPr="00943BE3">
        <w:rPr>
          <w:rFonts w:ascii="Times New Roman" w:hAnsi="Times New Roman" w:cs="David" w:hint="cs"/>
          <w:sz w:val="24"/>
          <w:szCs w:val="24"/>
          <w:rtl/>
        </w:rPr>
        <w:t xml:space="preserve"> וכן בענפים עסקיים ריכוזיים. בענפים אלה השכר גבוה יותר מאשר בענפים שבהם יש שיעור נמוך של כיסוי בהסכם קיבוצי. השכר הגבוה של עובדים מכוסים בענפים הציבוריים נובע בחלקו מהתשואה להשכלה של עובדים אלו, הגבוהה מהתשואה להשכלה בקרב עובדים בלתי מכוסים בענפים הציבוריים או בקרב עובדים בענפים העסקיים. </w:t>
      </w:r>
    </w:p>
    <w:p w:rsidR="009250E1" w:rsidRPr="00943BE3" w:rsidRDefault="009250E1" w:rsidP="00943BE3">
      <w:pPr>
        <w:bidi/>
        <w:spacing w:line="360" w:lineRule="auto"/>
        <w:jc w:val="both"/>
        <w:rPr>
          <w:rFonts w:cs="David"/>
          <w:sz w:val="24"/>
          <w:szCs w:val="24"/>
          <w:rtl/>
        </w:rPr>
      </w:pPr>
      <w:r w:rsidRPr="00943BE3">
        <w:rPr>
          <w:rFonts w:cs="David" w:hint="cs"/>
          <w:sz w:val="24"/>
          <w:szCs w:val="24"/>
          <w:rtl/>
        </w:rPr>
        <w:t>סקירת ההתפתחויות הכלכליות באפריל</w:t>
      </w:r>
      <w:r w:rsidRPr="00943BE3">
        <w:rPr>
          <w:rFonts w:cs="David"/>
          <w:sz w:val="24"/>
          <w:szCs w:val="24"/>
          <w:rtl/>
        </w:rPr>
        <w:t xml:space="preserve"> </w:t>
      </w:r>
      <w:r w:rsidRPr="00943BE3">
        <w:rPr>
          <w:rFonts w:cs="David" w:hint="cs"/>
          <w:sz w:val="24"/>
          <w:szCs w:val="24"/>
          <w:rtl/>
        </w:rPr>
        <w:t>עד</w:t>
      </w:r>
      <w:r w:rsidRPr="00943BE3">
        <w:rPr>
          <w:rFonts w:cs="David"/>
          <w:sz w:val="24"/>
          <w:szCs w:val="24"/>
          <w:rtl/>
        </w:rPr>
        <w:t xml:space="preserve"> </w:t>
      </w:r>
      <w:r w:rsidRPr="00943BE3">
        <w:rPr>
          <w:rFonts w:cs="David" w:hint="cs"/>
          <w:sz w:val="24"/>
          <w:szCs w:val="24"/>
          <w:rtl/>
        </w:rPr>
        <w:t>ספטמבר</w:t>
      </w:r>
      <w:r w:rsidRPr="00943BE3">
        <w:rPr>
          <w:rFonts w:cs="David"/>
          <w:sz w:val="24"/>
          <w:szCs w:val="24"/>
          <w:rtl/>
        </w:rPr>
        <w:t xml:space="preserve"> 2013</w:t>
      </w:r>
      <w:r w:rsidRPr="00943BE3">
        <w:rPr>
          <w:rFonts w:cs="David" w:hint="cs"/>
          <w:sz w:val="24"/>
          <w:szCs w:val="24"/>
          <w:rtl/>
        </w:rPr>
        <w:t>, שבנק ישראל מפרסם היום, עוסקת בתקופה שבמהלכה נרשמה התמתנות בצמיחה במשק</w:t>
      </w:r>
      <w:r w:rsidRPr="00943BE3">
        <w:rPr>
          <w:rFonts w:cs="David"/>
          <w:sz w:val="24"/>
          <w:szCs w:val="24"/>
          <w:rtl/>
        </w:rPr>
        <w:t xml:space="preserve">. </w:t>
      </w:r>
      <w:r w:rsidRPr="00943BE3">
        <w:rPr>
          <w:rFonts w:cs="David" w:hint="cs"/>
          <w:sz w:val="24"/>
          <w:szCs w:val="24"/>
          <w:rtl/>
        </w:rPr>
        <w:t>ברבע</w:t>
      </w:r>
      <w:r w:rsidRPr="00943BE3">
        <w:rPr>
          <w:rFonts w:cs="David"/>
          <w:sz w:val="24"/>
          <w:szCs w:val="24"/>
          <w:rtl/>
        </w:rPr>
        <w:t xml:space="preserve"> </w:t>
      </w:r>
      <w:r w:rsidRPr="00943BE3">
        <w:rPr>
          <w:rFonts w:cs="David" w:hint="cs"/>
          <w:sz w:val="24"/>
          <w:szCs w:val="24"/>
          <w:rtl/>
        </w:rPr>
        <w:t>השני</w:t>
      </w:r>
      <w:r w:rsidRPr="00943BE3">
        <w:rPr>
          <w:rFonts w:cs="David"/>
          <w:sz w:val="24"/>
          <w:szCs w:val="24"/>
          <w:rtl/>
        </w:rPr>
        <w:t xml:space="preserve"> </w:t>
      </w:r>
      <w:r w:rsidRPr="00943BE3">
        <w:rPr>
          <w:rFonts w:cs="David" w:hint="cs"/>
          <w:sz w:val="24"/>
          <w:szCs w:val="24"/>
          <w:rtl/>
        </w:rPr>
        <w:t>של</w:t>
      </w:r>
      <w:r w:rsidRPr="00943BE3">
        <w:rPr>
          <w:rFonts w:cs="David"/>
          <w:sz w:val="24"/>
          <w:szCs w:val="24"/>
          <w:rtl/>
        </w:rPr>
        <w:t xml:space="preserve"> </w:t>
      </w:r>
      <w:r w:rsidRPr="00943BE3">
        <w:rPr>
          <w:rFonts w:cs="David" w:hint="cs"/>
          <w:sz w:val="24"/>
          <w:szCs w:val="24"/>
          <w:rtl/>
        </w:rPr>
        <w:t>השנה</w:t>
      </w:r>
      <w:r w:rsidRPr="00943BE3">
        <w:rPr>
          <w:rFonts w:cs="David"/>
          <w:sz w:val="24"/>
          <w:szCs w:val="24"/>
          <w:rtl/>
        </w:rPr>
        <w:t xml:space="preserve"> </w:t>
      </w:r>
      <w:r w:rsidRPr="00943BE3">
        <w:rPr>
          <w:rFonts w:cs="David" w:hint="cs"/>
          <w:sz w:val="24"/>
          <w:szCs w:val="24"/>
          <w:rtl/>
        </w:rPr>
        <w:t>התוצר</w:t>
      </w:r>
      <w:r w:rsidRPr="00943BE3">
        <w:rPr>
          <w:rFonts w:cs="David"/>
          <w:sz w:val="24"/>
          <w:szCs w:val="24"/>
          <w:rtl/>
        </w:rPr>
        <w:t xml:space="preserve"> </w:t>
      </w:r>
      <w:r w:rsidRPr="00943BE3">
        <w:rPr>
          <w:rFonts w:cs="David" w:hint="cs"/>
          <w:sz w:val="24"/>
          <w:szCs w:val="24"/>
          <w:rtl/>
        </w:rPr>
        <w:t>אמנם צמח בקצב</w:t>
      </w:r>
      <w:r w:rsidRPr="00943BE3">
        <w:rPr>
          <w:rFonts w:cs="David"/>
          <w:sz w:val="24"/>
          <w:szCs w:val="24"/>
          <w:rtl/>
        </w:rPr>
        <w:t xml:space="preserve"> </w:t>
      </w:r>
      <w:r w:rsidRPr="00943BE3">
        <w:rPr>
          <w:rFonts w:cs="David" w:hint="cs"/>
          <w:sz w:val="24"/>
          <w:szCs w:val="24"/>
          <w:rtl/>
        </w:rPr>
        <w:t>מהיר</w:t>
      </w:r>
      <w:r w:rsidRPr="00943BE3">
        <w:rPr>
          <w:rFonts w:cs="David"/>
          <w:sz w:val="24"/>
          <w:szCs w:val="24"/>
          <w:rtl/>
        </w:rPr>
        <w:t xml:space="preserve"> (4.6 </w:t>
      </w:r>
      <w:r w:rsidRPr="00943BE3">
        <w:rPr>
          <w:rFonts w:cs="David" w:hint="cs"/>
          <w:sz w:val="24"/>
          <w:szCs w:val="24"/>
          <w:rtl/>
        </w:rPr>
        <w:t>אחוזים</w:t>
      </w:r>
      <w:r w:rsidRPr="00943BE3">
        <w:rPr>
          <w:rFonts w:cs="David"/>
          <w:sz w:val="24"/>
          <w:szCs w:val="24"/>
          <w:rtl/>
        </w:rPr>
        <w:t xml:space="preserve"> </w:t>
      </w:r>
      <w:r w:rsidRPr="00943BE3">
        <w:rPr>
          <w:rFonts w:cs="David" w:hint="cs"/>
          <w:sz w:val="24"/>
          <w:szCs w:val="24"/>
          <w:rtl/>
        </w:rPr>
        <w:t>בקצב</w:t>
      </w:r>
      <w:r w:rsidRPr="00943BE3">
        <w:rPr>
          <w:rFonts w:cs="David"/>
          <w:sz w:val="24"/>
          <w:szCs w:val="24"/>
          <w:rtl/>
        </w:rPr>
        <w:t xml:space="preserve"> </w:t>
      </w:r>
      <w:r w:rsidRPr="00943BE3">
        <w:rPr>
          <w:rFonts w:cs="David" w:hint="cs"/>
          <w:sz w:val="24"/>
          <w:szCs w:val="24"/>
          <w:rtl/>
        </w:rPr>
        <w:t>שנתי</w:t>
      </w:r>
      <w:r w:rsidRPr="00943BE3">
        <w:rPr>
          <w:rFonts w:cs="David"/>
          <w:sz w:val="24"/>
          <w:szCs w:val="24"/>
          <w:rtl/>
        </w:rPr>
        <w:t xml:space="preserve">), </w:t>
      </w:r>
      <w:r w:rsidRPr="00943BE3">
        <w:rPr>
          <w:rFonts w:cs="David" w:hint="cs"/>
          <w:sz w:val="24"/>
          <w:szCs w:val="24"/>
          <w:rtl/>
        </w:rPr>
        <w:t>אך</w:t>
      </w:r>
      <w:r w:rsidRPr="00943BE3">
        <w:rPr>
          <w:rFonts w:cs="David"/>
          <w:sz w:val="24"/>
          <w:szCs w:val="24"/>
          <w:rtl/>
        </w:rPr>
        <w:t xml:space="preserve"> </w:t>
      </w:r>
      <w:r w:rsidRPr="00943BE3">
        <w:rPr>
          <w:rFonts w:cs="David" w:hint="cs"/>
          <w:sz w:val="24"/>
          <w:szCs w:val="24"/>
          <w:rtl/>
        </w:rPr>
        <w:t>צמיחה</w:t>
      </w:r>
      <w:r w:rsidRPr="00943BE3">
        <w:rPr>
          <w:rFonts w:cs="David"/>
          <w:sz w:val="24"/>
          <w:szCs w:val="24"/>
          <w:rtl/>
        </w:rPr>
        <w:t xml:space="preserve"> </w:t>
      </w:r>
      <w:r w:rsidRPr="00943BE3">
        <w:rPr>
          <w:rFonts w:cs="David" w:hint="cs"/>
          <w:sz w:val="24"/>
          <w:szCs w:val="24"/>
          <w:rtl/>
        </w:rPr>
        <w:t>זו</w:t>
      </w:r>
      <w:r w:rsidRPr="00943BE3">
        <w:rPr>
          <w:rFonts w:cs="David"/>
          <w:sz w:val="24"/>
          <w:szCs w:val="24"/>
          <w:rtl/>
        </w:rPr>
        <w:t xml:space="preserve"> </w:t>
      </w:r>
      <w:r w:rsidRPr="00943BE3">
        <w:rPr>
          <w:rFonts w:cs="David" w:hint="cs"/>
          <w:sz w:val="24"/>
          <w:szCs w:val="24"/>
          <w:rtl/>
        </w:rPr>
        <w:t>הושפעה</w:t>
      </w:r>
      <w:r w:rsidRPr="00943BE3">
        <w:rPr>
          <w:rFonts w:cs="David"/>
          <w:sz w:val="24"/>
          <w:szCs w:val="24"/>
          <w:rtl/>
        </w:rPr>
        <w:t xml:space="preserve"> </w:t>
      </w:r>
      <w:r w:rsidRPr="00943BE3">
        <w:rPr>
          <w:rFonts w:cs="David" w:hint="cs"/>
          <w:sz w:val="24"/>
          <w:szCs w:val="24"/>
          <w:rtl/>
        </w:rPr>
        <w:t>מתחילת</w:t>
      </w:r>
      <w:r w:rsidRPr="00943BE3">
        <w:rPr>
          <w:rFonts w:cs="David"/>
          <w:sz w:val="24"/>
          <w:szCs w:val="24"/>
          <w:rtl/>
        </w:rPr>
        <w:t xml:space="preserve"> </w:t>
      </w:r>
      <w:r w:rsidRPr="00943BE3">
        <w:rPr>
          <w:rFonts w:cs="David" w:hint="cs"/>
          <w:sz w:val="24"/>
          <w:szCs w:val="24"/>
          <w:rtl/>
        </w:rPr>
        <w:t>השימוש</w:t>
      </w:r>
      <w:r w:rsidRPr="00943BE3">
        <w:rPr>
          <w:rFonts w:cs="David"/>
          <w:sz w:val="24"/>
          <w:szCs w:val="24"/>
          <w:rtl/>
        </w:rPr>
        <w:t xml:space="preserve"> </w:t>
      </w:r>
      <w:r w:rsidRPr="00943BE3">
        <w:rPr>
          <w:rFonts w:cs="David" w:hint="cs"/>
          <w:sz w:val="24"/>
          <w:szCs w:val="24"/>
          <w:rtl/>
        </w:rPr>
        <w:t>בגז</w:t>
      </w:r>
      <w:r w:rsidRPr="00943BE3">
        <w:rPr>
          <w:rFonts w:cs="David"/>
          <w:sz w:val="24"/>
          <w:szCs w:val="24"/>
          <w:rtl/>
        </w:rPr>
        <w:t xml:space="preserve"> </w:t>
      </w:r>
      <w:r w:rsidRPr="00943BE3">
        <w:rPr>
          <w:rFonts w:cs="David" w:hint="cs"/>
          <w:sz w:val="24"/>
          <w:szCs w:val="24"/>
          <w:rtl/>
        </w:rPr>
        <w:t>הטבעי</w:t>
      </w:r>
      <w:r w:rsidRPr="00943BE3">
        <w:rPr>
          <w:rFonts w:cs="David"/>
          <w:sz w:val="24"/>
          <w:szCs w:val="24"/>
          <w:rtl/>
        </w:rPr>
        <w:t xml:space="preserve"> </w:t>
      </w:r>
      <w:r w:rsidRPr="00943BE3">
        <w:rPr>
          <w:rFonts w:cs="David" w:hint="cs"/>
          <w:sz w:val="24"/>
          <w:szCs w:val="24"/>
          <w:rtl/>
        </w:rPr>
        <w:t>שהופק</w:t>
      </w:r>
      <w:r w:rsidRPr="00943BE3">
        <w:rPr>
          <w:rFonts w:cs="David"/>
          <w:sz w:val="24"/>
          <w:szCs w:val="24"/>
          <w:rtl/>
        </w:rPr>
        <w:t xml:space="preserve"> </w:t>
      </w:r>
      <w:r w:rsidRPr="00943BE3">
        <w:rPr>
          <w:rFonts w:cs="David" w:hint="cs"/>
          <w:sz w:val="24"/>
          <w:szCs w:val="24"/>
          <w:rtl/>
        </w:rPr>
        <w:t>בישראל</w:t>
      </w:r>
      <w:r w:rsidRPr="00943BE3">
        <w:rPr>
          <w:rFonts w:cs="David"/>
          <w:sz w:val="24"/>
          <w:szCs w:val="24"/>
          <w:rtl/>
        </w:rPr>
        <w:t xml:space="preserve">, </w:t>
      </w:r>
      <w:r w:rsidRPr="00943BE3">
        <w:rPr>
          <w:rFonts w:cs="David" w:hint="cs"/>
          <w:sz w:val="24"/>
          <w:szCs w:val="24"/>
          <w:rtl/>
        </w:rPr>
        <w:t>ובניכוי</w:t>
      </w:r>
      <w:r w:rsidRPr="00943BE3">
        <w:rPr>
          <w:rFonts w:cs="David"/>
          <w:sz w:val="24"/>
          <w:szCs w:val="24"/>
          <w:rtl/>
        </w:rPr>
        <w:t xml:space="preserve"> </w:t>
      </w:r>
      <w:r w:rsidRPr="00943BE3">
        <w:rPr>
          <w:rFonts w:cs="David" w:hint="cs"/>
          <w:sz w:val="24"/>
          <w:szCs w:val="24"/>
          <w:rtl/>
        </w:rPr>
        <w:t>השפעתה</w:t>
      </w:r>
      <w:r w:rsidRPr="00943BE3">
        <w:rPr>
          <w:rFonts w:cs="David"/>
          <w:sz w:val="24"/>
          <w:szCs w:val="24"/>
          <w:rtl/>
        </w:rPr>
        <w:t xml:space="preserve"> </w:t>
      </w:r>
      <w:r w:rsidRPr="00943BE3">
        <w:rPr>
          <w:rFonts w:cs="David" w:hint="cs"/>
          <w:sz w:val="24"/>
          <w:szCs w:val="24"/>
          <w:rtl/>
        </w:rPr>
        <w:t>קצב</w:t>
      </w:r>
      <w:r w:rsidRPr="00943BE3">
        <w:rPr>
          <w:rFonts w:cs="David"/>
          <w:sz w:val="24"/>
          <w:szCs w:val="24"/>
          <w:rtl/>
        </w:rPr>
        <w:t xml:space="preserve"> </w:t>
      </w:r>
      <w:r w:rsidRPr="00943BE3">
        <w:rPr>
          <w:rFonts w:cs="David" w:hint="cs"/>
          <w:sz w:val="24"/>
          <w:szCs w:val="24"/>
          <w:rtl/>
        </w:rPr>
        <w:t>הצמיחה</w:t>
      </w:r>
      <w:r w:rsidRPr="00943BE3">
        <w:rPr>
          <w:rFonts w:cs="David"/>
          <w:sz w:val="24"/>
          <w:szCs w:val="24"/>
          <w:rtl/>
        </w:rPr>
        <w:t xml:space="preserve"> </w:t>
      </w:r>
      <w:r w:rsidRPr="00943BE3">
        <w:rPr>
          <w:rFonts w:cs="David" w:hint="cs"/>
          <w:sz w:val="24"/>
          <w:szCs w:val="24"/>
          <w:rtl/>
        </w:rPr>
        <w:t>היה איטי</w:t>
      </w:r>
      <w:r w:rsidRPr="00943BE3">
        <w:rPr>
          <w:rFonts w:cs="David"/>
          <w:sz w:val="24"/>
          <w:szCs w:val="24"/>
          <w:rtl/>
        </w:rPr>
        <w:t xml:space="preserve"> </w:t>
      </w:r>
      <w:r w:rsidRPr="00943BE3">
        <w:rPr>
          <w:rFonts w:cs="David" w:hint="cs"/>
          <w:sz w:val="24"/>
          <w:szCs w:val="24"/>
          <w:rtl/>
        </w:rPr>
        <w:t>יותר</w:t>
      </w:r>
      <w:r w:rsidRPr="00943BE3">
        <w:rPr>
          <w:rFonts w:cs="David"/>
          <w:sz w:val="24"/>
          <w:szCs w:val="24"/>
          <w:rtl/>
        </w:rPr>
        <w:t xml:space="preserve">. </w:t>
      </w:r>
      <w:r w:rsidRPr="00943BE3">
        <w:rPr>
          <w:rFonts w:cs="David" w:hint="cs"/>
          <w:sz w:val="24"/>
          <w:szCs w:val="24"/>
          <w:rtl/>
        </w:rPr>
        <w:t>עם</w:t>
      </w:r>
      <w:r w:rsidRPr="00943BE3">
        <w:rPr>
          <w:rFonts w:cs="David"/>
          <w:sz w:val="24"/>
          <w:szCs w:val="24"/>
          <w:rtl/>
        </w:rPr>
        <w:t xml:space="preserve"> </w:t>
      </w:r>
      <w:r w:rsidRPr="00943BE3">
        <w:rPr>
          <w:rFonts w:cs="David" w:hint="cs"/>
          <w:sz w:val="24"/>
          <w:szCs w:val="24"/>
          <w:rtl/>
        </w:rPr>
        <w:t>מיצויה</w:t>
      </w:r>
      <w:r w:rsidRPr="00943BE3">
        <w:rPr>
          <w:rFonts w:cs="David"/>
          <w:sz w:val="24"/>
          <w:szCs w:val="24"/>
          <w:rtl/>
        </w:rPr>
        <w:t xml:space="preserve"> </w:t>
      </w:r>
      <w:r w:rsidRPr="00943BE3">
        <w:rPr>
          <w:rFonts w:cs="David" w:hint="cs"/>
          <w:sz w:val="24"/>
          <w:szCs w:val="24"/>
          <w:rtl/>
        </w:rPr>
        <w:t>של</w:t>
      </w:r>
      <w:r w:rsidRPr="00943BE3">
        <w:rPr>
          <w:rFonts w:cs="David"/>
          <w:sz w:val="24"/>
          <w:szCs w:val="24"/>
          <w:rtl/>
        </w:rPr>
        <w:t xml:space="preserve"> </w:t>
      </w:r>
      <w:r w:rsidRPr="00943BE3">
        <w:rPr>
          <w:rFonts w:cs="David" w:hint="cs"/>
          <w:sz w:val="24"/>
          <w:szCs w:val="24"/>
          <w:rtl/>
        </w:rPr>
        <w:t>השפעת</w:t>
      </w:r>
      <w:r w:rsidRPr="00943BE3">
        <w:rPr>
          <w:rFonts w:cs="David"/>
          <w:sz w:val="24"/>
          <w:szCs w:val="24"/>
          <w:rtl/>
        </w:rPr>
        <w:t xml:space="preserve"> </w:t>
      </w:r>
      <w:r w:rsidRPr="00943BE3">
        <w:rPr>
          <w:rFonts w:cs="David" w:hint="cs"/>
          <w:sz w:val="24"/>
          <w:szCs w:val="24"/>
          <w:rtl/>
        </w:rPr>
        <w:t>הגז</w:t>
      </w:r>
      <w:r w:rsidRPr="00943BE3">
        <w:rPr>
          <w:rFonts w:cs="David"/>
          <w:sz w:val="24"/>
          <w:szCs w:val="24"/>
          <w:rtl/>
        </w:rPr>
        <w:t xml:space="preserve">, </w:t>
      </w:r>
      <w:r w:rsidRPr="00943BE3">
        <w:rPr>
          <w:rFonts w:cs="David" w:hint="cs"/>
          <w:sz w:val="24"/>
          <w:szCs w:val="24"/>
          <w:rtl/>
        </w:rPr>
        <w:t>ובעיקר</w:t>
      </w:r>
      <w:r w:rsidRPr="00943BE3">
        <w:rPr>
          <w:rFonts w:cs="David"/>
          <w:sz w:val="24"/>
          <w:szCs w:val="24"/>
          <w:rtl/>
        </w:rPr>
        <w:t xml:space="preserve"> </w:t>
      </w:r>
      <w:r w:rsidRPr="00943BE3">
        <w:rPr>
          <w:rFonts w:cs="David" w:hint="cs"/>
          <w:sz w:val="24"/>
          <w:szCs w:val="24"/>
          <w:rtl/>
        </w:rPr>
        <w:t>על</w:t>
      </w:r>
      <w:r w:rsidRPr="00943BE3">
        <w:rPr>
          <w:rFonts w:cs="David"/>
          <w:sz w:val="24"/>
          <w:szCs w:val="24"/>
          <w:rtl/>
        </w:rPr>
        <w:t xml:space="preserve"> </w:t>
      </w:r>
      <w:r w:rsidRPr="00943BE3">
        <w:rPr>
          <w:rFonts w:cs="David" w:hint="cs"/>
          <w:sz w:val="24"/>
          <w:szCs w:val="24"/>
          <w:rtl/>
        </w:rPr>
        <w:t>רקע</w:t>
      </w:r>
      <w:r w:rsidRPr="00943BE3">
        <w:rPr>
          <w:rFonts w:cs="David"/>
          <w:sz w:val="24"/>
          <w:szCs w:val="24"/>
          <w:rtl/>
        </w:rPr>
        <w:t xml:space="preserve"> </w:t>
      </w:r>
      <w:r w:rsidRPr="00943BE3">
        <w:rPr>
          <w:rFonts w:cs="David" w:hint="cs"/>
          <w:sz w:val="24"/>
          <w:szCs w:val="24"/>
          <w:rtl/>
        </w:rPr>
        <w:t>החולשה</w:t>
      </w:r>
      <w:r w:rsidRPr="00943BE3">
        <w:rPr>
          <w:rFonts w:cs="David"/>
          <w:sz w:val="24"/>
          <w:szCs w:val="24"/>
          <w:rtl/>
        </w:rPr>
        <w:t xml:space="preserve"> </w:t>
      </w:r>
      <w:r w:rsidRPr="00943BE3">
        <w:rPr>
          <w:rFonts w:cs="David" w:hint="cs"/>
          <w:sz w:val="24"/>
          <w:szCs w:val="24"/>
          <w:rtl/>
        </w:rPr>
        <w:t>המתמשכת</w:t>
      </w:r>
      <w:r w:rsidRPr="00943BE3">
        <w:rPr>
          <w:rFonts w:cs="David"/>
          <w:sz w:val="24"/>
          <w:szCs w:val="24"/>
          <w:rtl/>
        </w:rPr>
        <w:t xml:space="preserve"> </w:t>
      </w:r>
      <w:r w:rsidRPr="00943BE3">
        <w:rPr>
          <w:rFonts w:cs="David" w:hint="cs"/>
          <w:sz w:val="24"/>
          <w:szCs w:val="24"/>
          <w:rtl/>
        </w:rPr>
        <w:t>של</w:t>
      </w:r>
      <w:r w:rsidRPr="00943BE3">
        <w:rPr>
          <w:rFonts w:cs="David"/>
          <w:sz w:val="24"/>
          <w:szCs w:val="24"/>
          <w:rtl/>
        </w:rPr>
        <w:t xml:space="preserve"> </w:t>
      </w:r>
      <w:r w:rsidRPr="00943BE3">
        <w:rPr>
          <w:rFonts w:cs="David" w:hint="cs"/>
          <w:sz w:val="24"/>
          <w:szCs w:val="24"/>
          <w:rtl/>
        </w:rPr>
        <w:t>היצוא</w:t>
      </w:r>
      <w:r w:rsidRPr="00943BE3">
        <w:rPr>
          <w:rFonts w:cs="David"/>
          <w:sz w:val="24"/>
          <w:szCs w:val="24"/>
          <w:rtl/>
        </w:rPr>
        <w:t xml:space="preserve"> </w:t>
      </w:r>
      <w:r w:rsidRPr="00943BE3">
        <w:rPr>
          <w:rFonts w:cs="David" w:hint="cs"/>
          <w:sz w:val="24"/>
          <w:szCs w:val="24"/>
          <w:rtl/>
        </w:rPr>
        <w:t>הישראלי</w:t>
      </w:r>
      <w:r w:rsidRPr="00943BE3">
        <w:rPr>
          <w:rFonts w:cs="David"/>
          <w:sz w:val="24"/>
          <w:szCs w:val="24"/>
          <w:rtl/>
        </w:rPr>
        <w:t xml:space="preserve">, </w:t>
      </w:r>
      <w:r w:rsidRPr="00943BE3">
        <w:rPr>
          <w:rFonts w:cs="David" w:hint="cs"/>
          <w:sz w:val="24"/>
          <w:szCs w:val="24"/>
          <w:rtl/>
        </w:rPr>
        <w:t>נרשמה</w:t>
      </w:r>
      <w:r w:rsidRPr="00943BE3">
        <w:rPr>
          <w:rFonts w:cs="David"/>
          <w:sz w:val="24"/>
          <w:szCs w:val="24"/>
          <w:rtl/>
        </w:rPr>
        <w:t xml:space="preserve"> </w:t>
      </w:r>
      <w:r w:rsidRPr="00943BE3">
        <w:rPr>
          <w:rFonts w:cs="David" w:hint="cs"/>
          <w:sz w:val="24"/>
          <w:szCs w:val="24"/>
          <w:rtl/>
        </w:rPr>
        <w:t>ברבע</w:t>
      </w:r>
      <w:r w:rsidRPr="00943BE3">
        <w:rPr>
          <w:rFonts w:cs="David"/>
          <w:sz w:val="24"/>
          <w:szCs w:val="24"/>
          <w:rtl/>
        </w:rPr>
        <w:t xml:space="preserve"> </w:t>
      </w:r>
      <w:r w:rsidRPr="00943BE3">
        <w:rPr>
          <w:rFonts w:cs="David" w:hint="cs"/>
          <w:sz w:val="24"/>
          <w:szCs w:val="24"/>
          <w:rtl/>
        </w:rPr>
        <w:t>השלישי</w:t>
      </w:r>
      <w:r w:rsidRPr="00943BE3">
        <w:rPr>
          <w:rFonts w:cs="David"/>
          <w:sz w:val="24"/>
          <w:szCs w:val="24"/>
          <w:rtl/>
        </w:rPr>
        <w:t xml:space="preserve"> </w:t>
      </w:r>
      <w:r w:rsidRPr="00943BE3">
        <w:rPr>
          <w:rFonts w:cs="David" w:hint="cs"/>
          <w:sz w:val="24"/>
          <w:szCs w:val="24"/>
          <w:rtl/>
        </w:rPr>
        <w:t>של</w:t>
      </w:r>
      <w:r w:rsidRPr="00943BE3">
        <w:rPr>
          <w:rFonts w:cs="David"/>
          <w:sz w:val="24"/>
          <w:szCs w:val="24"/>
          <w:rtl/>
        </w:rPr>
        <w:t xml:space="preserve"> </w:t>
      </w:r>
      <w:r w:rsidRPr="00943BE3">
        <w:rPr>
          <w:rFonts w:cs="David" w:hint="cs"/>
          <w:sz w:val="24"/>
          <w:szCs w:val="24"/>
          <w:rtl/>
        </w:rPr>
        <w:t>השנה</w:t>
      </w:r>
      <w:r w:rsidRPr="00943BE3">
        <w:rPr>
          <w:rFonts w:cs="David"/>
          <w:sz w:val="24"/>
          <w:szCs w:val="24"/>
          <w:rtl/>
        </w:rPr>
        <w:t xml:space="preserve"> </w:t>
      </w:r>
      <w:r w:rsidRPr="00943BE3">
        <w:rPr>
          <w:rFonts w:cs="David" w:hint="cs"/>
          <w:sz w:val="24"/>
          <w:szCs w:val="24"/>
          <w:rtl/>
        </w:rPr>
        <w:t>צמיחה</w:t>
      </w:r>
      <w:r w:rsidRPr="00943BE3">
        <w:rPr>
          <w:rFonts w:cs="David"/>
          <w:sz w:val="24"/>
          <w:szCs w:val="24"/>
          <w:rtl/>
        </w:rPr>
        <w:t xml:space="preserve"> </w:t>
      </w:r>
      <w:r w:rsidRPr="00943BE3">
        <w:rPr>
          <w:rFonts w:cs="David" w:hint="cs"/>
          <w:sz w:val="24"/>
          <w:szCs w:val="24"/>
          <w:rtl/>
        </w:rPr>
        <w:t>מתונה</w:t>
      </w:r>
      <w:r w:rsidRPr="00943BE3">
        <w:rPr>
          <w:rFonts w:cs="David"/>
          <w:sz w:val="24"/>
          <w:szCs w:val="24"/>
          <w:rtl/>
        </w:rPr>
        <w:t xml:space="preserve"> </w:t>
      </w:r>
      <w:r w:rsidRPr="00943BE3">
        <w:rPr>
          <w:rFonts w:cs="David" w:hint="cs"/>
          <w:sz w:val="24"/>
          <w:szCs w:val="24"/>
          <w:rtl/>
        </w:rPr>
        <w:t>של</w:t>
      </w:r>
      <w:r w:rsidRPr="00943BE3">
        <w:rPr>
          <w:rFonts w:cs="David"/>
          <w:sz w:val="24"/>
          <w:szCs w:val="24"/>
          <w:rtl/>
        </w:rPr>
        <w:t xml:space="preserve"> 2.2 </w:t>
      </w:r>
      <w:r w:rsidRPr="00943BE3">
        <w:rPr>
          <w:rFonts w:cs="David" w:hint="cs"/>
          <w:sz w:val="24"/>
          <w:szCs w:val="24"/>
          <w:rtl/>
        </w:rPr>
        <w:t>אחוזים</w:t>
      </w:r>
      <w:r w:rsidRPr="00943BE3">
        <w:rPr>
          <w:rFonts w:cs="David"/>
          <w:sz w:val="24"/>
          <w:szCs w:val="24"/>
          <w:rtl/>
        </w:rPr>
        <w:t>.</w:t>
      </w:r>
      <w:r w:rsidRPr="00943BE3">
        <w:rPr>
          <w:rFonts w:cs="David" w:hint="cs"/>
          <w:sz w:val="24"/>
          <w:szCs w:val="24"/>
          <w:rtl/>
        </w:rPr>
        <w:t xml:space="preserve"> הירידה בהיקף היצוא והגידול ביבוא העבירו את חשבון הסחורות והשירותים במאזן התשלומים מעודף לגירעון, והם הושפעו גם ממגמת הייסוף בשער החליפין של השקל, אשר נמשכה בתקופה הנסקרת. הצמיחה המתונה אינה ניכרת בנתונים המצרפיים על שוק העבודה, והם המשיכו להשתפר, אך תוספת המועסקים במשק נבעה ברובה מהשירותים הציבוריים. בשוק ההון הושפעו שערי המניות ואיגרות החוב מההתפתחויות</w:t>
      </w:r>
      <w:r w:rsidRPr="00943BE3">
        <w:rPr>
          <w:rFonts w:cs="David"/>
          <w:sz w:val="24"/>
          <w:szCs w:val="24"/>
          <w:rtl/>
        </w:rPr>
        <w:t xml:space="preserve"> </w:t>
      </w:r>
      <w:proofErr w:type="spellStart"/>
      <w:r w:rsidRPr="00943BE3">
        <w:rPr>
          <w:rFonts w:cs="David" w:hint="cs"/>
          <w:sz w:val="24"/>
          <w:szCs w:val="24"/>
          <w:rtl/>
        </w:rPr>
        <w:t>הגיאו</w:t>
      </w:r>
      <w:proofErr w:type="spellEnd"/>
      <w:r w:rsidRPr="00943BE3">
        <w:rPr>
          <w:rFonts w:cs="David"/>
          <w:sz w:val="24"/>
          <w:szCs w:val="24"/>
          <w:rtl/>
        </w:rPr>
        <w:t>-</w:t>
      </w:r>
      <w:r w:rsidRPr="00943BE3">
        <w:rPr>
          <w:rFonts w:cs="David" w:hint="cs"/>
          <w:sz w:val="24"/>
          <w:szCs w:val="24"/>
          <w:rtl/>
        </w:rPr>
        <w:t>פוליטיות</w:t>
      </w:r>
      <w:r w:rsidRPr="00943BE3">
        <w:rPr>
          <w:rFonts w:cs="David"/>
          <w:sz w:val="24"/>
          <w:szCs w:val="24"/>
          <w:rtl/>
        </w:rPr>
        <w:t xml:space="preserve"> </w:t>
      </w:r>
      <w:r w:rsidRPr="00943BE3">
        <w:rPr>
          <w:rFonts w:cs="David" w:hint="cs"/>
          <w:sz w:val="24"/>
          <w:szCs w:val="24"/>
          <w:rtl/>
        </w:rPr>
        <w:t>ומחוסר</w:t>
      </w:r>
      <w:r w:rsidRPr="00943BE3">
        <w:rPr>
          <w:rFonts w:cs="David"/>
          <w:sz w:val="24"/>
          <w:szCs w:val="24"/>
          <w:rtl/>
        </w:rPr>
        <w:t xml:space="preserve"> </w:t>
      </w:r>
      <w:r w:rsidRPr="00943BE3">
        <w:rPr>
          <w:rFonts w:cs="David" w:hint="cs"/>
          <w:sz w:val="24"/>
          <w:szCs w:val="24"/>
          <w:rtl/>
        </w:rPr>
        <w:t>הוודאות</w:t>
      </w:r>
      <w:r w:rsidRPr="00943BE3">
        <w:rPr>
          <w:rFonts w:cs="David"/>
          <w:sz w:val="24"/>
          <w:szCs w:val="24"/>
          <w:rtl/>
        </w:rPr>
        <w:t xml:space="preserve"> </w:t>
      </w:r>
      <w:r w:rsidRPr="00943BE3">
        <w:rPr>
          <w:rFonts w:cs="David" w:hint="cs"/>
          <w:sz w:val="24"/>
          <w:szCs w:val="24"/>
          <w:rtl/>
        </w:rPr>
        <w:t>בנוגע</w:t>
      </w:r>
      <w:r w:rsidRPr="00943BE3">
        <w:rPr>
          <w:rFonts w:cs="David"/>
          <w:sz w:val="24"/>
          <w:szCs w:val="24"/>
          <w:rtl/>
        </w:rPr>
        <w:t xml:space="preserve"> </w:t>
      </w:r>
      <w:r w:rsidRPr="00943BE3">
        <w:rPr>
          <w:rFonts w:cs="David" w:hint="cs"/>
          <w:sz w:val="24"/>
          <w:szCs w:val="24"/>
          <w:rtl/>
        </w:rPr>
        <w:t>למועד</w:t>
      </w:r>
      <w:r w:rsidRPr="00943BE3">
        <w:rPr>
          <w:rFonts w:cs="David"/>
          <w:sz w:val="24"/>
          <w:szCs w:val="24"/>
          <w:rtl/>
        </w:rPr>
        <w:t xml:space="preserve"> </w:t>
      </w:r>
      <w:r w:rsidRPr="00943BE3">
        <w:rPr>
          <w:rFonts w:cs="David" w:hint="cs"/>
          <w:sz w:val="24"/>
          <w:szCs w:val="24"/>
          <w:rtl/>
        </w:rPr>
        <w:t>שבו</w:t>
      </w:r>
      <w:r w:rsidRPr="00943BE3">
        <w:rPr>
          <w:rFonts w:cs="David"/>
          <w:sz w:val="24"/>
          <w:szCs w:val="24"/>
          <w:rtl/>
        </w:rPr>
        <w:t xml:space="preserve"> </w:t>
      </w:r>
      <w:r w:rsidRPr="00943BE3">
        <w:rPr>
          <w:rFonts w:cs="David" w:hint="cs"/>
          <w:sz w:val="24"/>
          <w:szCs w:val="24"/>
          <w:rtl/>
        </w:rPr>
        <w:t>יחל</w:t>
      </w:r>
      <w:r w:rsidRPr="00943BE3">
        <w:rPr>
          <w:rFonts w:cs="David"/>
          <w:sz w:val="24"/>
          <w:szCs w:val="24"/>
          <w:rtl/>
        </w:rPr>
        <w:t xml:space="preserve"> </w:t>
      </w:r>
      <w:r w:rsidRPr="00943BE3">
        <w:rPr>
          <w:rFonts w:cs="David" w:hint="cs"/>
          <w:sz w:val="24"/>
          <w:szCs w:val="24"/>
          <w:rtl/>
        </w:rPr>
        <w:t>הבנק</w:t>
      </w:r>
      <w:r w:rsidRPr="00943BE3">
        <w:rPr>
          <w:rFonts w:cs="David"/>
          <w:sz w:val="24"/>
          <w:szCs w:val="24"/>
          <w:rtl/>
        </w:rPr>
        <w:t xml:space="preserve"> </w:t>
      </w:r>
      <w:r w:rsidRPr="00943BE3">
        <w:rPr>
          <w:rFonts w:cs="David" w:hint="cs"/>
          <w:sz w:val="24"/>
          <w:szCs w:val="24"/>
          <w:rtl/>
        </w:rPr>
        <w:t>המרכזי</w:t>
      </w:r>
      <w:r w:rsidRPr="00943BE3">
        <w:rPr>
          <w:rFonts w:cs="David"/>
          <w:sz w:val="24"/>
          <w:szCs w:val="24"/>
          <w:rtl/>
        </w:rPr>
        <w:t xml:space="preserve"> </w:t>
      </w:r>
      <w:r w:rsidRPr="00943BE3">
        <w:rPr>
          <w:rFonts w:cs="David" w:hint="cs"/>
          <w:sz w:val="24"/>
          <w:szCs w:val="24"/>
          <w:rtl/>
        </w:rPr>
        <w:t>בארה</w:t>
      </w:r>
      <w:r w:rsidRPr="00943BE3">
        <w:rPr>
          <w:rFonts w:cs="David"/>
          <w:sz w:val="24"/>
          <w:szCs w:val="24"/>
          <w:rtl/>
        </w:rPr>
        <w:t>"</w:t>
      </w:r>
      <w:r w:rsidRPr="00943BE3">
        <w:rPr>
          <w:rFonts w:cs="David" w:hint="cs"/>
          <w:sz w:val="24"/>
          <w:szCs w:val="24"/>
          <w:rtl/>
        </w:rPr>
        <w:t>ב</w:t>
      </w:r>
      <w:r w:rsidRPr="00943BE3">
        <w:rPr>
          <w:rFonts w:cs="David"/>
          <w:sz w:val="24"/>
          <w:szCs w:val="24"/>
          <w:rtl/>
        </w:rPr>
        <w:t xml:space="preserve"> </w:t>
      </w:r>
      <w:r w:rsidRPr="00943BE3">
        <w:rPr>
          <w:rFonts w:cs="David" w:hint="cs"/>
          <w:sz w:val="24"/>
          <w:szCs w:val="24"/>
          <w:rtl/>
        </w:rPr>
        <w:t>לצמצם</w:t>
      </w:r>
      <w:r w:rsidRPr="00943BE3">
        <w:rPr>
          <w:rFonts w:cs="David"/>
          <w:sz w:val="24"/>
          <w:szCs w:val="24"/>
          <w:rtl/>
        </w:rPr>
        <w:t xml:space="preserve"> </w:t>
      </w:r>
      <w:r w:rsidRPr="00943BE3">
        <w:rPr>
          <w:rFonts w:cs="David" w:hint="cs"/>
          <w:sz w:val="24"/>
          <w:szCs w:val="24"/>
          <w:rtl/>
        </w:rPr>
        <w:t>את</w:t>
      </w:r>
      <w:r w:rsidRPr="00943BE3">
        <w:rPr>
          <w:rFonts w:cs="David"/>
          <w:sz w:val="24"/>
          <w:szCs w:val="24"/>
          <w:rtl/>
        </w:rPr>
        <w:t xml:space="preserve"> </w:t>
      </w:r>
      <w:r w:rsidRPr="00943BE3">
        <w:rPr>
          <w:rFonts w:cs="David" w:hint="cs"/>
          <w:sz w:val="24"/>
          <w:szCs w:val="24"/>
          <w:rtl/>
        </w:rPr>
        <w:t>היקף</w:t>
      </w:r>
      <w:r w:rsidRPr="00943BE3">
        <w:rPr>
          <w:rFonts w:cs="David"/>
          <w:sz w:val="24"/>
          <w:szCs w:val="24"/>
          <w:rtl/>
        </w:rPr>
        <w:t xml:space="preserve"> </w:t>
      </w:r>
      <w:r w:rsidRPr="00943BE3">
        <w:rPr>
          <w:rFonts w:cs="David" w:hint="cs"/>
          <w:sz w:val="24"/>
          <w:szCs w:val="24"/>
          <w:rtl/>
        </w:rPr>
        <w:t>רכישות</w:t>
      </w:r>
      <w:r w:rsidRPr="00943BE3">
        <w:rPr>
          <w:rFonts w:cs="David"/>
          <w:sz w:val="24"/>
          <w:szCs w:val="24"/>
          <w:rtl/>
        </w:rPr>
        <w:t xml:space="preserve"> </w:t>
      </w:r>
      <w:proofErr w:type="spellStart"/>
      <w:r w:rsidRPr="00943BE3">
        <w:rPr>
          <w:rFonts w:cs="David" w:hint="cs"/>
          <w:sz w:val="24"/>
          <w:szCs w:val="24"/>
          <w:rtl/>
        </w:rPr>
        <w:t>האג</w:t>
      </w:r>
      <w:r w:rsidRPr="00943BE3">
        <w:rPr>
          <w:rFonts w:cs="David"/>
          <w:sz w:val="24"/>
          <w:szCs w:val="24"/>
          <w:rtl/>
        </w:rPr>
        <w:t>"</w:t>
      </w:r>
      <w:r w:rsidRPr="00943BE3">
        <w:rPr>
          <w:rFonts w:cs="David" w:hint="cs"/>
          <w:sz w:val="24"/>
          <w:szCs w:val="24"/>
          <w:rtl/>
        </w:rPr>
        <w:t>ח</w:t>
      </w:r>
      <w:proofErr w:type="spellEnd"/>
      <w:r w:rsidRPr="00943BE3">
        <w:rPr>
          <w:rFonts w:cs="David" w:hint="cs"/>
          <w:sz w:val="24"/>
          <w:szCs w:val="24"/>
          <w:rtl/>
        </w:rPr>
        <w:t>;</w:t>
      </w:r>
      <w:r w:rsidRPr="00943BE3">
        <w:rPr>
          <w:rFonts w:cs="David"/>
          <w:sz w:val="24"/>
          <w:szCs w:val="24"/>
          <w:rtl/>
        </w:rPr>
        <w:t xml:space="preserve"> </w:t>
      </w:r>
      <w:r w:rsidRPr="00943BE3">
        <w:rPr>
          <w:rFonts w:cs="David" w:hint="cs"/>
          <w:sz w:val="24"/>
          <w:szCs w:val="24"/>
          <w:rtl/>
        </w:rPr>
        <w:t>חוסר הוודאות</w:t>
      </w:r>
      <w:r w:rsidRPr="00943BE3">
        <w:rPr>
          <w:rFonts w:cs="David"/>
          <w:sz w:val="24"/>
          <w:szCs w:val="24"/>
          <w:rtl/>
        </w:rPr>
        <w:t xml:space="preserve"> </w:t>
      </w:r>
      <w:r w:rsidRPr="00943BE3">
        <w:rPr>
          <w:rFonts w:cs="David" w:hint="cs"/>
          <w:sz w:val="24"/>
          <w:szCs w:val="24"/>
          <w:rtl/>
        </w:rPr>
        <w:t>גרם</w:t>
      </w:r>
      <w:r w:rsidRPr="00943BE3">
        <w:rPr>
          <w:rFonts w:cs="David"/>
          <w:sz w:val="24"/>
          <w:szCs w:val="24"/>
          <w:rtl/>
        </w:rPr>
        <w:t xml:space="preserve"> </w:t>
      </w:r>
      <w:r w:rsidRPr="00943BE3">
        <w:rPr>
          <w:rFonts w:cs="David" w:hint="cs"/>
          <w:sz w:val="24"/>
          <w:szCs w:val="24"/>
          <w:rtl/>
        </w:rPr>
        <w:t>לתנודתיות</w:t>
      </w:r>
      <w:r w:rsidRPr="00943BE3">
        <w:rPr>
          <w:rFonts w:cs="David"/>
          <w:sz w:val="24"/>
          <w:szCs w:val="24"/>
          <w:rtl/>
        </w:rPr>
        <w:t xml:space="preserve"> </w:t>
      </w:r>
      <w:r w:rsidRPr="00943BE3">
        <w:rPr>
          <w:rFonts w:cs="David" w:hint="cs"/>
          <w:sz w:val="24"/>
          <w:szCs w:val="24"/>
          <w:rtl/>
        </w:rPr>
        <w:t>רבה</w:t>
      </w:r>
      <w:r w:rsidRPr="00943BE3">
        <w:rPr>
          <w:rFonts w:cs="David"/>
          <w:sz w:val="24"/>
          <w:szCs w:val="24"/>
          <w:rtl/>
        </w:rPr>
        <w:t xml:space="preserve"> </w:t>
      </w:r>
      <w:r w:rsidRPr="00943BE3">
        <w:rPr>
          <w:rFonts w:cs="David" w:hint="cs"/>
          <w:sz w:val="24"/>
          <w:szCs w:val="24"/>
          <w:rtl/>
        </w:rPr>
        <w:t>בשווקים</w:t>
      </w:r>
      <w:r w:rsidRPr="00943BE3">
        <w:rPr>
          <w:rFonts w:cs="David"/>
          <w:sz w:val="24"/>
          <w:szCs w:val="24"/>
          <w:rtl/>
        </w:rPr>
        <w:t xml:space="preserve"> </w:t>
      </w:r>
      <w:r w:rsidRPr="00943BE3">
        <w:rPr>
          <w:rFonts w:cs="David" w:hint="cs"/>
          <w:sz w:val="24"/>
          <w:szCs w:val="24"/>
          <w:rtl/>
        </w:rPr>
        <w:t>הפיננסיים</w:t>
      </w:r>
      <w:r w:rsidRPr="00943BE3">
        <w:rPr>
          <w:rFonts w:cs="David"/>
          <w:sz w:val="24"/>
          <w:szCs w:val="24"/>
          <w:rtl/>
        </w:rPr>
        <w:t xml:space="preserve"> </w:t>
      </w:r>
      <w:r w:rsidRPr="00943BE3">
        <w:rPr>
          <w:rFonts w:cs="David" w:hint="cs"/>
          <w:sz w:val="24"/>
          <w:szCs w:val="24"/>
          <w:rtl/>
        </w:rPr>
        <w:t>בעולם</w:t>
      </w:r>
      <w:r w:rsidRPr="00943BE3">
        <w:rPr>
          <w:rFonts w:cs="David"/>
          <w:sz w:val="24"/>
          <w:szCs w:val="24"/>
          <w:rtl/>
        </w:rPr>
        <w:t>.</w:t>
      </w:r>
      <w:r w:rsidRPr="00943BE3">
        <w:rPr>
          <w:rFonts w:cs="David" w:hint="cs"/>
          <w:sz w:val="24"/>
          <w:szCs w:val="24"/>
          <w:rtl/>
        </w:rPr>
        <w:t xml:space="preserve"> </w:t>
      </w:r>
    </w:p>
    <w:p w:rsidR="009250E1" w:rsidRPr="00943BE3" w:rsidRDefault="009250E1" w:rsidP="00943BE3">
      <w:pPr>
        <w:bidi/>
        <w:spacing w:line="360" w:lineRule="auto"/>
        <w:jc w:val="both"/>
        <w:rPr>
          <w:rFonts w:cs="David"/>
          <w:sz w:val="24"/>
          <w:szCs w:val="24"/>
          <w:rtl/>
        </w:rPr>
      </w:pPr>
    </w:p>
    <w:p w:rsidR="009250E1" w:rsidRPr="00DC6FE8" w:rsidRDefault="009250E1" w:rsidP="00DC6FE8">
      <w:pPr>
        <w:bidi/>
        <w:spacing w:line="360" w:lineRule="auto"/>
        <w:jc w:val="both"/>
        <w:rPr>
          <w:rFonts w:cs="David"/>
          <w:sz w:val="24"/>
          <w:szCs w:val="24"/>
          <w:rtl/>
        </w:rPr>
      </w:pPr>
      <w:r w:rsidRPr="00DC6FE8">
        <w:rPr>
          <w:rFonts w:cs="David" w:hint="cs"/>
          <w:sz w:val="24"/>
          <w:szCs w:val="24"/>
          <w:rtl/>
        </w:rPr>
        <w:t xml:space="preserve">במסגרת סקירת ההתפתחויות בוחן בנק ישראל את השינויים שהממשלה ערכה במאי האחרון במנגנון העדכון השנתי של תקציב סל שירותי הבריאות </w:t>
      </w:r>
      <w:r w:rsidRPr="00DC6FE8">
        <w:rPr>
          <w:rFonts w:cs="David"/>
          <w:sz w:val="24"/>
          <w:szCs w:val="24"/>
          <w:rtl/>
        </w:rPr>
        <w:t>–</w:t>
      </w:r>
      <w:r w:rsidRPr="00DC6FE8">
        <w:rPr>
          <w:rFonts w:cs="David" w:hint="cs"/>
          <w:sz w:val="24"/>
          <w:szCs w:val="24"/>
          <w:rtl/>
        </w:rPr>
        <w:t xml:space="preserve"> תקציב שהסתכם ב-2012 בכ-35 מיליארד שקלים. הסקירה מוצאת כי בחמש השנים האחרונות, במהלכן התרחבו מאוד הגירעונות בקופות החולים ובבתי החולים, תקציב סל הבריאות עודכן באופן חלקי בלבד לאחר תוספות השכר שהממשלה הסכימה להעניק לרופאים ולאחיות וביחס לעלויות הכרוכות בגידול </w:t>
      </w:r>
      <w:r w:rsidRPr="00DC6FE8">
        <w:rPr>
          <w:rFonts w:cs="David" w:hint="cs"/>
          <w:sz w:val="24"/>
          <w:szCs w:val="24"/>
          <w:rtl/>
        </w:rPr>
        <w:lastRenderedPageBreak/>
        <w:t xml:space="preserve">האוכלוסייה והזדקנותה. השינויים שהממשלה ערכה במאי מגדילים את התוספת השנתית לתקציב סל הבריאות, אך הפער בין תקציב הסל לבין העלויות הממשיות של קופות החולים ובתי החולים ימשיך להתרחב גם בשנים 2013 ו-2014. תקצוב החסר של מערכת הבריאות נועד לשמר לחץ לריסון הוצאות בקופות החולים ובבתי החולים, אך התרחבות הפער התקציבי עלולה לפגוע באיכות ובזמינות של השירותים הניתנים במסגרת סל הבריאות. לנוכח התרחבות הפער ראוי אפוא לערוך דיון מפורש על סדרי העדיפויות בתוך סל הבריאות: האם יש להוציא מהסל שירותים מסוימים? היכן פגיעה בזמינות השירותים תגרום לנזק מזערי? </w:t>
      </w:r>
      <w:proofErr w:type="spellStart"/>
      <w:r w:rsidRPr="00DC6FE8">
        <w:rPr>
          <w:rFonts w:cs="David" w:hint="cs"/>
          <w:sz w:val="24"/>
          <w:szCs w:val="24"/>
          <w:rtl/>
        </w:rPr>
        <w:t>וכו</w:t>
      </w:r>
      <w:proofErr w:type="spellEnd"/>
      <w:r w:rsidRPr="00DC6FE8">
        <w:rPr>
          <w:rFonts w:cs="David"/>
          <w:sz w:val="24"/>
          <w:szCs w:val="24"/>
          <w:rtl/>
        </w:rPr>
        <w:t>'</w:t>
      </w:r>
      <w:r w:rsidRPr="00DC6FE8">
        <w:rPr>
          <w:rFonts w:cs="David" w:hint="cs"/>
          <w:sz w:val="24"/>
          <w:szCs w:val="24"/>
          <w:rtl/>
        </w:rPr>
        <w:t xml:space="preserve">. </w:t>
      </w:r>
    </w:p>
    <w:p w:rsidR="009250E1" w:rsidRPr="00DC6FE8" w:rsidRDefault="009250E1" w:rsidP="00DC6FE8">
      <w:pPr>
        <w:pStyle w:val="a9"/>
        <w:spacing w:line="360" w:lineRule="auto"/>
        <w:ind w:left="0"/>
        <w:jc w:val="both"/>
        <w:rPr>
          <w:rFonts w:ascii="Times New Roman" w:eastAsia="Times New Roman" w:hAnsi="Times New Roman" w:cs="David"/>
          <w:sz w:val="24"/>
          <w:szCs w:val="24"/>
          <w:rtl/>
        </w:rPr>
      </w:pPr>
      <w:r w:rsidRPr="00DC6FE8">
        <w:rPr>
          <w:rFonts w:ascii="Times New Roman" w:eastAsia="Times New Roman" w:hAnsi="Times New Roman" w:cs="David" w:hint="cs"/>
          <w:sz w:val="24"/>
          <w:szCs w:val="24"/>
          <w:rtl/>
        </w:rPr>
        <w:t>הסקירה מוצאת כי בחמש השנים האחרונות הממשלה הגדילה את התקציבים והתמיכות שהיא מעבירה למערכת הבריאות הציבורית מחוץ לסל הבריאות הרשמי, ותקציבים אלה מסייעים חלקית לגשר על הפער שנוצר בעדכון תקציב הסל. התלות הגוברת של מערכת הבריאות הציבורית בתקציבים החיצוניים אמנם משמרת לחץ לריסון הוצאות, אך היא גם מונעת ודאות תקציבית ומקשה על ניהול קופות החולים ובתי החולים. הסקירה ממליצה לשקול להעביר חלק מתקציבים אלה אל תוך הסל, ולקבוע קריטריונים פיננסיים ארוכי טווח, קשיחים ואחידים להעברת התמיכות שיוותרו מחוץ לסל.</w:t>
      </w:r>
    </w:p>
    <w:p w:rsidR="009250E1" w:rsidRPr="00DC6FE8" w:rsidRDefault="009250E1" w:rsidP="00DC6FE8">
      <w:pPr>
        <w:pStyle w:val="a9"/>
        <w:spacing w:line="360" w:lineRule="auto"/>
        <w:ind w:left="0"/>
        <w:jc w:val="both"/>
        <w:rPr>
          <w:rFonts w:ascii="Arial" w:hAnsi="Arial" w:cs="David"/>
          <w:sz w:val="24"/>
          <w:szCs w:val="24"/>
          <w:rtl/>
        </w:rPr>
      </w:pPr>
      <w:r w:rsidRPr="00DC6FE8">
        <w:rPr>
          <w:rFonts w:ascii="Arial" w:hAnsi="Arial" w:cs="David"/>
          <w:sz w:val="24"/>
          <w:szCs w:val="24"/>
          <w:rtl/>
        </w:rPr>
        <w:t xml:space="preserve">(פירוט </w:t>
      </w:r>
      <w:r w:rsidRPr="00DC6FE8">
        <w:rPr>
          <w:rFonts w:ascii="Arial" w:hAnsi="Arial" w:cs="David" w:hint="cs"/>
          <w:sz w:val="24"/>
          <w:szCs w:val="24"/>
          <w:rtl/>
        </w:rPr>
        <w:t>מופיע</w:t>
      </w:r>
      <w:r w:rsidRPr="00DC6FE8">
        <w:rPr>
          <w:rFonts w:ascii="Arial" w:hAnsi="Arial" w:cs="David"/>
          <w:sz w:val="24"/>
          <w:szCs w:val="24"/>
          <w:rtl/>
        </w:rPr>
        <w:t xml:space="preserve"> </w:t>
      </w:r>
      <w:r w:rsidRPr="00DC6FE8">
        <w:rPr>
          <w:rFonts w:ascii="Arial" w:hAnsi="Arial" w:cs="David" w:hint="cs"/>
          <w:sz w:val="24"/>
          <w:szCs w:val="24"/>
          <w:rtl/>
        </w:rPr>
        <w:t>ב</w:t>
      </w:r>
      <w:r w:rsidRPr="00DC6FE8">
        <w:rPr>
          <w:rFonts w:ascii="Arial" w:hAnsi="Arial" w:cs="David"/>
          <w:sz w:val="24"/>
          <w:szCs w:val="24"/>
          <w:rtl/>
        </w:rPr>
        <w:t xml:space="preserve">חלק </w:t>
      </w:r>
      <w:r w:rsidRPr="00DC6FE8">
        <w:rPr>
          <w:rFonts w:ascii="Arial" w:hAnsi="Arial" w:cs="David" w:hint="cs"/>
          <w:sz w:val="24"/>
          <w:szCs w:val="24"/>
          <w:rtl/>
        </w:rPr>
        <w:t>א'</w:t>
      </w:r>
      <w:r w:rsidRPr="00DC6FE8">
        <w:rPr>
          <w:rFonts w:ascii="Arial" w:hAnsi="Arial" w:cs="David"/>
          <w:sz w:val="24"/>
          <w:szCs w:val="24"/>
          <w:rtl/>
        </w:rPr>
        <w:t xml:space="preserve"> </w:t>
      </w:r>
      <w:r w:rsidRPr="00DC6FE8">
        <w:rPr>
          <w:rFonts w:ascii="Arial" w:hAnsi="Arial" w:cs="David" w:hint="cs"/>
          <w:sz w:val="24"/>
          <w:szCs w:val="24"/>
          <w:rtl/>
        </w:rPr>
        <w:t xml:space="preserve">של </w:t>
      </w:r>
      <w:r w:rsidRPr="00DC6FE8">
        <w:rPr>
          <w:rFonts w:ascii="Arial" w:hAnsi="Arial" w:cs="David"/>
          <w:sz w:val="24"/>
          <w:szCs w:val="24"/>
          <w:rtl/>
        </w:rPr>
        <w:t>סקירת ההתפתחויות</w:t>
      </w:r>
      <w:r w:rsidRPr="00DC6FE8">
        <w:rPr>
          <w:rFonts w:ascii="Arial" w:hAnsi="Arial" w:cs="David" w:hint="cs"/>
          <w:sz w:val="24"/>
          <w:szCs w:val="24"/>
          <w:rtl/>
        </w:rPr>
        <w:t xml:space="preserve">.) </w:t>
      </w:r>
    </w:p>
    <w:p w:rsidR="009250E1" w:rsidRPr="00A931CE" w:rsidRDefault="009250E1" w:rsidP="00DC6FE8">
      <w:pPr>
        <w:bidi/>
        <w:spacing w:line="360" w:lineRule="auto"/>
        <w:jc w:val="both"/>
        <w:rPr>
          <w:rFonts w:ascii="Arial" w:hAnsi="Arial" w:cs="David"/>
          <w:rtl/>
        </w:rPr>
      </w:pPr>
    </w:p>
    <w:p w:rsidR="009250E1" w:rsidRPr="00DC6FE8" w:rsidRDefault="009250E1" w:rsidP="00DC6FE8">
      <w:pPr>
        <w:bidi/>
        <w:rPr>
          <w:rFonts w:ascii="Arial" w:hAnsi="Arial" w:cs="David"/>
          <w:b/>
          <w:bCs/>
          <w:sz w:val="24"/>
          <w:szCs w:val="24"/>
          <w:rtl/>
        </w:rPr>
      </w:pPr>
      <w:r w:rsidRPr="00DC6FE8">
        <w:rPr>
          <w:rFonts w:ascii="Arial" w:hAnsi="Arial" w:cs="David" w:hint="cs"/>
          <w:b/>
          <w:bCs/>
          <w:sz w:val="24"/>
          <w:szCs w:val="24"/>
          <w:rtl/>
        </w:rPr>
        <w:t>התאגדות עובדים במשק הישראלי: תמונת מצב ב-2012</w:t>
      </w:r>
      <w:r w:rsidRPr="00DC6FE8">
        <w:rPr>
          <w:rFonts w:ascii="Arial" w:hAnsi="Arial" w:cs="David"/>
          <w:b/>
          <w:bCs/>
          <w:sz w:val="24"/>
          <w:szCs w:val="24"/>
          <w:rtl/>
        </w:rPr>
        <w:t xml:space="preserve"> </w:t>
      </w:r>
    </w:p>
    <w:p w:rsidR="009250E1" w:rsidRPr="00DC6FE8" w:rsidRDefault="009250E1" w:rsidP="00DC6FE8">
      <w:pPr>
        <w:bidi/>
        <w:rPr>
          <w:rFonts w:ascii="Arial" w:hAnsi="Arial" w:cs="David"/>
          <w:b/>
          <w:bCs/>
          <w:sz w:val="24"/>
          <w:szCs w:val="24"/>
          <w:rtl/>
        </w:rPr>
      </w:pPr>
    </w:p>
    <w:p w:rsidR="009250E1" w:rsidRPr="00DC6FE8" w:rsidRDefault="009250E1" w:rsidP="00DC6FE8">
      <w:pPr>
        <w:bidi/>
        <w:spacing w:line="360" w:lineRule="auto"/>
        <w:jc w:val="both"/>
        <w:rPr>
          <w:rFonts w:cs="David"/>
          <w:noProof/>
          <w:sz w:val="24"/>
          <w:szCs w:val="24"/>
          <w:rtl/>
        </w:rPr>
      </w:pPr>
      <w:r w:rsidRPr="00DC6FE8">
        <w:rPr>
          <w:rFonts w:cs="David" w:hint="cs"/>
          <w:sz w:val="24"/>
          <w:szCs w:val="24"/>
          <w:rtl/>
        </w:rPr>
        <w:t>אחת הסקירות המתפרסמות בתוך "ה</w:t>
      </w:r>
      <w:r w:rsidRPr="00DC6FE8">
        <w:rPr>
          <w:rFonts w:cs="David"/>
          <w:sz w:val="24"/>
          <w:szCs w:val="24"/>
          <w:rtl/>
        </w:rPr>
        <w:t xml:space="preserve">התפתחויות </w:t>
      </w:r>
      <w:r w:rsidRPr="00DC6FE8">
        <w:rPr>
          <w:rFonts w:cs="David" w:hint="cs"/>
          <w:sz w:val="24"/>
          <w:szCs w:val="24"/>
          <w:rtl/>
        </w:rPr>
        <w:t xml:space="preserve">הכלכליות בחודשים האחרונים" עוסקת באיגודי העובדים בישראל ובפריסה של הכיסוי בהסכמים קיבוציים. </w:t>
      </w:r>
      <w:r w:rsidRPr="00DC6FE8">
        <w:rPr>
          <w:rFonts w:cs="David" w:hint="cs"/>
          <w:b/>
          <w:bCs/>
          <w:noProof/>
          <w:sz w:val="24"/>
          <w:szCs w:val="24"/>
          <w:rtl/>
        </w:rPr>
        <w:t>בענפים העסקיים</w:t>
      </w:r>
      <w:r w:rsidRPr="00DC6FE8">
        <w:rPr>
          <w:rFonts w:cs="David" w:hint="cs"/>
          <w:noProof/>
          <w:sz w:val="24"/>
          <w:szCs w:val="24"/>
          <w:rtl/>
        </w:rPr>
        <w:t xml:space="preserve"> יש שיעור כיסוי גבוה בענפים ריכוזיים כענף החשמל והמים וענף הפיננסים. בענף התחבורה והתקשורת ובענף התעשייה שיעור הכיסוי הוא ממוצע ומשקף הן חברות ממשלתיות מאוגדות וחברות תעשייתיות ותיקות, והן חברות פרטיות. בשאר הענפים העסקיים יש שיעור נמוך של כיסוי. </w:t>
      </w:r>
    </w:p>
    <w:p w:rsidR="009250E1" w:rsidRPr="00DC6FE8" w:rsidRDefault="009250E1" w:rsidP="00DC6FE8">
      <w:pPr>
        <w:bidi/>
        <w:spacing w:line="360" w:lineRule="auto"/>
        <w:jc w:val="both"/>
        <w:rPr>
          <w:rFonts w:cs="David"/>
          <w:sz w:val="24"/>
          <w:szCs w:val="24"/>
          <w:rtl/>
        </w:rPr>
      </w:pPr>
      <w:r w:rsidRPr="00DC6FE8">
        <w:rPr>
          <w:rFonts w:cs="David" w:hint="cs"/>
          <w:noProof/>
          <w:sz w:val="24"/>
          <w:szCs w:val="24"/>
          <w:rtl/>
        </w:rPr>
        <w:t xml:space="preserve">שיעור הכיסוי </w:t>
      </w:r>
      <w:r w:rsidRPr="00DC6FE8">
        <w:rPr>
          <w:rFonts w:cs="David" w:hint="cs"/>
          <w:b/>
          <w:bCs/>
          <w:noProof/>
          <w:sz w:val="24"/>
          <w:szCs w:val="24"/>
          <w:rtl/>
        </w:rPr>
        <w:t>בענפים</w:t>
      </w:r>
      <w:r w:rsidRPr="00DC6FE8">
        <w:rPr>
          <w:rFonts w:cs="David"/>
          <w:b/>
          <w:bCs/>
          <w:noProof/>
          <w:sz w:val="24"/>
          <w:szCs w:val="24"/>
          <w:rtl/>
        </w:rPr>
        <w:t xml:space="preserve"> </w:t>
      </w:r>
      <w:r w:rsidRPr="00DC6FE8">
        <w:rPr>
          <w:rFonts w:cs="David" w:hint="cs"/>
          <w:b/>
          <w:bCs/>
          <w:noProof/>
          <w:sz w:val="24"/>
          <w:szCs w:val="24"/>
          <w:rtl/>
        </w:rPr>
        <w:t>הציבוריים</w:t>
      </w:r>
      <w:r w:rsidRPr="00DC6FE8">
        <w:rPr>
          <w:rFonts w:cs="David" w:hint="cs"/>
          <w:noProof/>
          <w:sz w:val="24"/>
          <w:szCs w:val="24"/>
          <w:rtl/>
        </w:rPr>
        <w:t xml:space="preserve"> קשור לדפוסי ההעסקה: שיעור הכיסוי גבוה בענף המינהל הציבורי, שבו נפוצה העסקה ישירה בממשלה הרחבה; הוא נמוך יותר בענף החינוך ובענף הבריאות והסעד, שבהם קיימת הן העסקה ישירה והן העסקה באמצעות תאגידים ציבוריים; והוא הכי נמוך בענף השירותים החברתיים, שבו נפוצה העסקה במלכ"רים פרטיים המתחרים אלו באלו. </w:t>
      </w:r>
    </w:p>
    <w:p w:rsidR="009250E1" w:rsidRPr="00DC6FE8" w:rsidRDefault="009250E1" w:rsidP="00DC6FE8">
      <w:pPr>
        <w:bidi/>
        <w:spacing w:line="360" w:lineRule="auto"/>
        <w:jc w:val="both"/>
        <w:rPr>
          <w:rFonts w:cs="David"/>
          <w:noProof/>
          <w:sz w:val="24"/>
          <w:szCs w:val="24"/>
          <w:rtl/>
        </w:rPr>
      </w:pPr>
      <w:r w:rsidRPr="00DC6FE8">
        <w:rPr>
          <w:rFonts w:cs="David" w:hint="cs"/>
          <w:noProof/>
          <w:sz w:val="24"/>
          <w:szCs w:val="24"/>
          <w:rtl/>
        </w:rPr>
        <w:t xml:space="preserve">התפלגות הכיסוי על פי השכלה ומשלח יד מלמדת, כי עובדים משכילים בענפים הציבוריים נהנים משיעור כיסוי גבוה הן בהשוואה לעובדים חסרי השכלה גבוהה בענפים הציבוריים, והן בהשוואה לעובדים משכילים וחסרי השכלה גבוהה בענפים העסקיים. התפלגות השכר של עובדים מכוסים ובלתי מכוסים מלמדת כי בענפים העסקיים קיים קשר חלש יחסית בין השכר לבין הכיסוי, ואילו בענפים הציבוריים הקשר משמעותי (איור 1). בפירוט, בענפים הציבוריים יש כיסוי לכ-80 אחוזים מבעלי השכר הגבוה (14 אלף ש"ח ומעלה) ורק לכשליש ממקבלי השכר הנמוך. מאמידות של משוואות שכר עולה כי התשואה להשכלה של עובדים מכוסים בענפים הציבוריים כפולה מהתשואה להשכלה הן של עובדים בלתי מכוסים בענפים אלו והן של עובדים בענפים העסקיים. </w:t>
      </w:r>
    </w:p>
    <w:p w:rsidR="00DC6FE8" w:rsidRDefault="009250E1" w:rsidP="00DC6FE8">
      <w:pPr>
        <w:bidi/>
        <w:spacing w:line="360" w:lineRule="auto"/>
        <w:jc w:val="both"/>
        <w:rPr>
          <w:rFonts w:ascii="Arial" w:hAnsi="Arial" w:cs="David"/>
          <w:sz w:val="24"/>
          <w:szCs w:val="24"/>
          <w:rtl/>
        </w:rPr>
      </w:pPr>
      <w:r w:rsidRPr="00DC6FE8">
        <w:rPr>
          <w:rFonts w:ascii="Arial" w:hAnsi="Arial" w:cs="David"/>
          <w:sz w:val="24"/>
          <w:szCs w:val="24"/>
          <w:rtl/>
        </w:rPr>
        <w:t xml:space="preserve">(פירוט </w:t>
      </w:r>
      <w:r w:rsidRPr="00DC6FE8">
        <w:rPr>
          <w:rFonts w:ascii="Arial" w:hAnsi="Arial" w:cs="David" w:hint="cs"/>
          <w:sz w:val="24"/>
          <w:szCs w:val="24"/>
          <w:rtl/>
        </w:rPr>
        <w:t>מופיע ב</w:t>
      </w:r>
      <w:r w:rsidRPr="00DC6FE8">
        <w:rPr>
          <w:rFonts w:ascii="Arial" w:hAnsi="Arial" w:cs="David"/>
          <w:sz w:val="24"/>
          <w:szCs w:val="24"/>
          <w:rtl/>
        </w:rPr>
        <w:t xml:space="preserve">חלק </w:t>
      </w:r>
      <w:r w:rsidRPr="00DC6FE8">
        <w:rPr>
          <w:rFonts w:ascii="Arial" w:hAnsi="Arial" w:cs="David" w:hint="cs"/>
          <w:sz w:val="24"/>
          <w:szCs w:val="24"/>
          <w:rtl/>
        </w:rPr>
        <w:t>ב'</w:t>
      </w:r>
      <w:r w:rsidRPr="00DC6FE8">
        <w:rPr>
          <w:rFonts w:ascii="Arial" w:hAnsi="Arial" w:cs="David"/>
          <w:sz w:val="24"/>
          <w:szCs w:val="24"/>
          <w:rtl/>
        </w:rPr>
        <w:t xml:space="preserve"> </w:t>
      </w:r>
      <w:r w:rsidRPr="00DC6FE8">
        <w:rPr>
          <w:rFonts w:ascii="Arial" w:hAnsi="Arial" w:cs="David" w:hint="cs"/>
          <w:sz w:val="24"/>
          <w:szCs w:val="24"/>
          <w:rtl/>
        </w:rPr>
        <w:t xml:space="preserve">של </w:t>
      </w:r>
      <w:r w:rsidRPr="00DC6FE8">
        <w:rPr>
          <w:rFonts w:ascii="Arial" w:hAnsi="Arial" w:cs="David"/>
          <w:sz w:val="24"/>
          <w:szCs w:val="24"/>
          <w:rtl/>
        </w:rPr>
        <w:t>סקירת ההתפתחויות)</w:t>
      </w:r>
      <w:r w:rsidR="00DC6FE8">
        <w:rPr>
          <w:rFonts w:ascii="Arial" w:hAnsi="Arial" w:cs="David" w:hint="cs"/>
          <w:sz w:val="24"/>
          <w:szCs w:val="24"/>
          <w:rtl/>
        </w:rPr>
        <w:t>.</w:t>
      </w:r>
    </w:p>
    <w:p w:rsidR="00DC6FE8" w:rsidRDefault="00DC6FE8">
      <w:pPr>
        <w:spacing w:after="200" w:line="276" w:lineRule="auto"/>
        <w:rPr>
          <w:rFonts w:ascii="Arial" w:hAnsi="Arial" w:cs="David"/>
          <w:sz w:val="24"/>
          <w:szCs w:val="24"/>
          <w:rtl/>
        </w:rPr>
      </w:pPr>
      <w:r>
        <w:rPr>
          <w:rFonts w:ascii="Arial" w:hAnsi="Arial" w:cs="David"/>
          <w:sz w:val="24"/>
          <w:szCs w:val="24"/>
          <w:rtl/>
        </w:rPr>
        <w:br w:type="page"/>
      </w:r>
    </w:p>
    <w:p w:rsidR="009250E1" w:rsidRPr="00DC6FE8" w:rsidRDefault="009250E1" w:rsidP="00DC6FE8">
      <w:pPr>
        <w:bidi/>
        <w:spacing w:line="360" w:lineRule="auto"/>
        <w:jc w:val="both"/>
        <w:rPr>
          <w:rFonts w:cs="David"/>
          <w:noProof/>
          <w:sz w:val="24"/>
          <w:szCs w:val="24"/>
          <w:rtl/>
        </w:rPr>
      </w:pPr>
      <w:r w:rsidRPr="00DC6FE8">
        <w:rPr>
          <w:rFonts w:ascii="Arial" w:hAnsi="Arial" w:cs="David" w:hint="cs"/>
          <w:sz w:val="24"/>
          <w:szCs w:val="24"/>
          <w:rtl/>
        </w:rPr>
        <w:lastRenderedPageBreak/>
        <w:t xml:space="preserve"> </w:t>
      </w:r>
    </w:p>
    <w:tbl>
      <w:tblPr>
        <w:bidiVisual/>
        <w:tblW w:w="5825" w:type="dxa"/>
        <w:tblInd w:w="-91" w:type="dxa"/>
        <w:tblLook w:val="04A0" w:firstRow="1" w:lastRow="0" w:firstColumn="1" w:lastColumn="0" w:noHBand="0" w:noVBand="1"/>
      </w:tblPr>
      <w:tblGrid>
        <w:gridCol w:w="6413"/>
      </w:tblGrid>
      <w:tr w:rsidR="009250E1" w:rsidRPr="00DC6FE8" w:rsidTr="00724CA2">
        <w:trPr>
          <w:trHeight w:val="6072"/>
        </w:trPr>
        <w:tc>
          <w:tcPr>
            <w:tcW w:w="5825" w:type="dxa"/>
            <w:shd w:val="clear" w:color="auto" w:fill="auto"/>
          </w:tcPr>
          <w:bookmarkStart w:id="0" w:name="_GoBack"/>
          <w:p w:rsidR="009250E1" w:rsidRPr="00DC6FE8" w:rsidRDefault="00DC6FE8" w:rsidP="00DC6FE8">
            <w:pPr>
              <w:bidi/>
              <w:spacing w:line="360" w:lineRule="auto"/>
              <w:rPr>
                <w:rFonts w:eastAsia="Calibri" w:cs="David"/>
                <w:b/>
                <w:bCs/>
                <w:noProof/>
                <w:sz w:val="24"/>
                <w:szCs w:val="24"/>
                <w:rtl/>
              </w:rPr>
            </w:pPr>
            <w:r w:rsidRPr="00DC6FE8">
              <w:rPr>
                <w:sz w:val="24"/>
                <w:szCs w:val="24"/>
              </w:rPr>
              <w:object w:dxaOrig="5190" w:dyaOrig="6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370.5pt" o:ole="">
                  <v:imagedata r:id="rId10" o:title=""/>
                </v:shape>
                <o:OLEObject Type="Embed" ProgID="Paint.Picture" ShapeID="_x0000_i1025" DrawAspect="Content" ObjectID="_1448861361" r:id="rId11"/>
              </w:object>
            </w:r>
            <w:bookmarkEnd w:id="0"/>
          </w:p>
          <w:p w:rsidR="009250E1" w:rsidRPr="00DC6FE8" w:rsidRDefault="009250E1" w:rsidP="00DC6FE8">
            <w:pPr>
              <w:bidi/>
              <w:spacing w:line="360" w:lineRule="auto"/>
              <w:rPr>
                <w:rFonts w:eastAsia="Calibri" w:cs="David"/>
                <w:b/>
                <w:bCs/>
                <w:noProof/>
                <w:sz w:val="24"/>
                <w:szCs w:val="24"/>
              </w:rPr>
            </w:pPr>
          </w:p>
        </w:tc>
      </w:tr>
    </w:tbl>
    <w:p w:rsidR="009250E1" w:rsidRPr="00DC6FE8" w:rsidRDefault="009250E1" w:rsidP="00DC6FE8">
      <w:pPr>
        <w:bidi/>
        <w:spacing w:line="360" w:lineRule="auto"/>
        <w:jc w:val="both"/>
        <w:rPr>
          <w:rFonts w:cs="David"/>
          <w:sz w:val="24"/>
          <w:szCs w:val="24"/>
          <w:rtl/>
        </w:rPr>
      </w:pPr>
      <w:r w:rsidRPr="00DC6FE8">
        <w:rPr>
          <w:rFonts w:cs="David" w:hint="cs"/>
          <w:sz w:val="24"/>
          <w:szCs w:val="24"/>
          <w:rtl/>
        </w:rPr>
        <w:t xml:space="preserve">סקירת התפתחויות זו מכילה ניתוח של מספר סוגיות נוספות, ואלה פורסמו בנפרד לפני מספר ימים: </w:t>
      </w:r>
    </w:p>
    <w:p w:rsidR="009250E1" w:rsidRPr="00DC6FE8" w:rsidRDefault="009250E1" w:rsidP="00DC6FE8">
      <w:pPr>
        <w:numPr>
          <w:ilvl w:val="0"/>
          <w:numId w:val="2"/>
        </w:numPr>
        <w:bidi/>
        <w:spacing w:line="360" w:lineRule="auto"/>
        <w:jc w:val="both"/>
        <w:rPr>
          <w:rFonts w:cs="David"/>
          <w:sz w:val="24"/>
          <w:szCs w:val="24"/>
        </w:rPr>
      </w:pPr>
      <w:r w:rsidRPr="00DC6FE8">
        <w:rPr>
          <w:rFonts w:cs="David" w:hint="cs"/>
          <w:sz w:val="24"/>
          <w:szCs w:val="24"/>
          <w:rtl/>
        </w:rPr>
        <w:t>הערכה של ההתפתחויות הפיסקליות מאז אישור התקציב ושל השלכותיהן על התוואי הפיסקלי הצפוי.</w:t>
      </w:r>
    </w:p>
    <w:p w:rsidR="009250E1" w:rsidRPr="00DC6FE8" w:rsidRDefault="009250E1" w:rsidP="00DC6FE8">
      <w:pPr>
        <w:numPr>
          <w:ilvl w:val="0"/>
          <w:numId w:val="2"/>
        </w:numPr>
        <w:bidi/>
        <w:spacing w:line="360" w:lineRule="auto"/>
        <w:jc w:val="both"/>
        <w:rPr>
          <w:rFonts w:cs="David"/>
          <w:sz w:val="24"/>
          <w:szCs w:val="24"/>
        </w:rPr>
      </w:pPr>
      <w:r w:rsidRPr="00DC6FE8">
        <w:rPr>
          <w:rFonts w:cs="David" w:hint="cs"/>
          <w:sz w:val="24"/>
          <w:szCs w:val="24"/>
          <w:rtl/>
        </w:rPr>
        <w:t>התפתחות ההשכלה בישראל ותרומתה לצמיחה ארוכת הטווח של המשק.</w:t>
      </w:r>
    </w:p>
    <w:p w:rsidR="009250E1" w:rsidRPr="00DC6FE8" w:rsidRDefault="009250E1" w:rsidP="00DC6FE8">
      <w:pPr>
        <w:numPr>
          <w:ilvl w:val="0"/>
          <w:numId w:val="2"/>
        </w:numPr>
        <w:bidi/>
        <w:spacing w:line="360" w:lineRule="auto"/>
        <w:jc w:val="both"/>
        <w:rPr>
          <w:rFonts w:cs="David"/>
          <w:sz w:val="24"/>
          <w:szCs w:val="24"/>
        </w:rPr>
      </w:pPr>
      <w:r w:rsidRPr="00DC6FE8">
        <w:rPr>
          <w:rFonts w:cs="David" w:hint="cs"/>
          <w:sz w:val="24"/>
          <w:szCs w:val="24"/>
          <w:rtl/>
        </w:rPr>
        <w:t xml:space="preserve">דפוסי הרכישה של דירות בידי משקיעים מקומיים בשנים 2003 </w:t>
      </w:r>
      <w:r w:rsidRPr="00DC6FE8">
        <w:rPr>
          <w:rFonts w:cs="David"/>
          <w:sz w:val="24"/>
          <w:szCs w:val="24"/>
          <w:rtl/>
        </w:rPr>
        <w:t>–</w:t>
      </w:r>
      <w:r w:rsidRPr="00DC6FE8">
        <w:rPr>
          <w:rFonts w:cs="David" w:hint="cs"/>
          <w:sz w:val="24"/>
          <w:szCs w:val="24"/>
          <w:rtl/>
        </w:rPr>
        <w:t xml:space="preserve"> 2012.</w:t>
      </w:r>
    </w:p>
    <w:p w:rsidR="009250E1" w:rsidRPr="00DC6FE8" w:rsidRDefault="009250E1" w:rsidP="00DC6FE8">
      <w:pPr>
        <w:numPr>
          <w:ilvl w:val="0"/>
          <w:numId w:val="2"/>
        </w:numPr>
        <w:bidi/>
        <w:spacing w:line="360" w:lineRule="auto"/>
        <w:jc w:val="both"/>
        <w:rPr>
          <w:rFonts w:cs="David"/>
          <w:sz w:val="24"/>
          <w:szCs w:val="24"/>
        </w:rPr>
      </w:pPr>
      <w:r w:rsidRPr="00DC6FE8">
        <w:rPr>
          <w:rFonts w:cs="David" w:hint="cs"/>
          <w:sz w:val="24"/>
          <w:szCs w:val="24"/>
          <w:rtl/>
        </w:rPr>
        <w:t xml:space="preserve">תשלום מענק העבודה ב-2012 </w:t>
      </w:r>
      <w:r w:rsidR="004B407E">
        <w:rPr>
          <w:rFonts w:cs="David" w:hint="cs"/>
          <w:sz w:val="24"/>
          <w:szCs w:val="24"/>
          <w:rtl/>
        </w:rPr>
        <w:t>-</w:t>
      </w:r>
      <w:r w:rsidRPr="00DC6FE8">
        <w:rPr>
          <w:rFonts w:cs="David" w:hint="cs"/>
          <w:sz w:val="24"/>
          <w:szCs w:val="24"/>
          <w:rtl/>
        </w:rPr>
        <w:t xml:space="preserve"> השנה הראשונה לפריסתו הארצית.</w:t>
      </w:r>
    </w:p>
    <w:p w:rsidR="00C04A6B" w:rsidRPr="009250E1" w:rsidRDefault="00C04A6B" w:rsidP="00BD5207">
      <w:pPr>
        <w:bidi/>
        <w:spacing w:line="360" w:lineRule="auto"/>
        <w:ind w:right="-101"/>
        <w:rPr>
          <w:rFonts w:cs="David"/>
          <w:sz w:val="24"/>
          <w:szCs w:val="24"/>
        </w:rPr>
      </w:pPr>
    </w:p>
    <w:sectPr w:rsidR="00C04A6B" w:rsidRPr="009250E1" w:rsidSect="004B407E">
      <w:footerReference w:type="default" r:id="rId12"/>
      <w:pgSz w:w="11906" w:h="16838"/>
      <w:pgMar w:top="680" w:right="1797" w:bottom="1134" w:left="1797" w:header="709" w:footer="22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8B5665" w:rsidP="00943BE3">
            <w:pPr>
              <w:bidi/>
              <w:ind w:left="-625" w:right="-851"/>
              <w:rPr>
                <w:rFonts w:cs="David"/>
                <w:rtl/>
                <w:cs/>
              </w:rPr>
            </w:pPr>
            <w:r>
              <w:rPr>
                <w:rFonts w:cs="David" w:hint="cs"/>
                <w:rtl/>
              </w:rPr>
              <w:t xml:space="preserve">בנק ישראל - </w:t>
            </w:r>
            <w:r w:rsidR="00943BE3" w:rsidRPr="00943BE3">
              <w:rPr>
                <w:rFonts w:cs="David"/>
                <w:rtl/>
              </w:rPr>
              <w:t xml:space="preserve">ההתפתחויות </w:t>
            </w:r>
            <w:r w:rsidR="00943BE3" w:rsidRPr="00943BE3">
              <w:rPr>
                <w:rFonts w:cs="David" w:hint="cs"/>
                <w:rtl/>
              </w:rPr>
              <w:t>הכלכליות בחודשים האחרונים: אפריל עד ספטמבר 2013</w:t>
            </w:r>
            <w:r w:rsidR="00943BE3">
              <w:rPr>
                <w:rFonts w:cs="David" w:hint="cs"/>
                <w:rtl/>
                <w:cs/>
                <w:lang w:val="he-IL"/>
              </w:rPr>
              <w:tab/>
            </w:r>
            <w:r w:rsidR="00943BE3">
              <w:rPr>
                <w:rFonts w:cs="David" w:hint="cs"/>
                <w:rtl/>
                <w:cs/>
                <w:lang w:val="he-IL"/>
              </w:rPr>
              <w:tab/>
            </w:r>
            <w:r w:rsidR="002438E2">
              <w:rPr>
                <w:rFonts w:cs="David" w:hint="cs"/>
                <w:rtl/>
                <w:cs/>
                <w:lang w:val="he-IL"/>
              </w:rPr>
              <w:tab/>
            </w:r>
            <w:r w:rsidR="002438E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0C7E28">
              <w:rPr>
                <w:rFonts w:cs="David"/>
                <w:b/>
                <w:bCs/>
                <w:noProof/>
                <w:rtl/>
              </w:rPr>
              <w:t>3</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0C7E28">
              <w:rPr>
                <w:rFonts w:cs="David"/>
                <w:b/>
                <w:bCs/>
                <w:noProof/>
                <w:rtl/>
              </w:rPr>
              <w:t>3</w:t>
            </w:r>
            <w:r w:rsidR="002438E2" w:rsidRPr="002438E2">
              <w:rPr>
                <w:rFonts w:cs="David"/>
                <w:b/>
                <w:bCs/>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D0AEF"/>
    <w:multiLevelType w:val="hybridMultilevel"/>
    <w:tmpl w:val="95D6A86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6CC219EF"/>
    <w:multiLevelType w:val="hybridMultilevel"/>
    <w:tmpl w:val="E7C4DF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C7E28"/>
    <w:rsid w:val="00115A82"/>
    <w:rsid w:val="00177686"/>
    <w:rsid w:val="00180E8A"/>
    <w:rsid w:val="00184A27"/>
    <w:rsid w:val="001D7646"/>
    <w:rsid w:val="001E5A00"/>
    <w:rsid w:val="002438E2"/>
    <w:rsid w:val="002B3FB0"/>
    <w:rsid w:val="003537B9"/>
    <w:rsid w:val="003901E0"/>
    <w:rsid w:val="00420F93"/>
    <w:rsid w:val="0044713E"/>
    <w:rsid w:val="004625EB"/>
    <w:rsid w:val="004A5826"/>
    <w:rsid w:val="004B407E"/>
    <w:rsid w:val="004B5D8D"/>
    <w:rsid w:val="004F06E0"/>
    <w:rsid w:val="00502068"/>
    <w:rsid w:val="00614095"/>
    <w:rsid w:val="006C01FB"/>
    <w:rsid w:val="00762D5A"/>
    <w:rsid w:val="007E18EE"/>
    <w:rsid w:val="00826810"/>
    <w:rsid w:val="00837763"/>
    <w:rsid w:val="00852D44"/>
    <w:rsid w:val="0086330B"/>
    <w:rsid w:val="00881EF7"/>
    <w:rsid w:val="008B55E9"/>
    <w:rsid w:val="008B5665"/>
    <w:rsid w:val="009250E1"/>
    <w:rsid w:val="00943BE3"/>
    <w:rsid w:val="00961EFC"/>
    <w:rsid w:val="009818C2"/>
    <w:rsid w:val="009C16BD"/>
    <w:rsid w:val="00A57161"/>
    <w:rsid w:val="00AA51B0"/>
    <w:rsid w:val="00AA7ED7"/>
    <w:rsid w:val="00AB409F"/>
    <w:rsid w:val="00AD759C"/>
    <w:rsid w:val="00AE591E"/>
    <w:rsid w:val="00B058F3"/>
    <w:rsid w:val="00B2503D"/>
    <w:rsid w:val="00B84BD7"/>
    <w:rsid w:val="00BD5207"/>
    <w:rsid w:val="00BE235C"/>
    <w:rsid w:val="00BE49A2"/>
    <w:rsid w:val="00C04A6B"/>
    <w:rsid w:val="00C25C1C"/>
    <w:rsid w:val="00C45C9C"/>
    <w:rsid w:val="00C656C3"/>
    <w:rsid w:val="00C84B20"/>
    <w:rsid w:val="00CB1B2B"/>
    <w:rsid w:val="00D3721C"/>
    <w:rsid w:val="00D87DC1"/>
    <w:rsid w:val="00DC6FE8"/>
    <w:rsid w:val="00DD5923"/>
    <w:rsid w:val="00E85E11"/>
    <w:rsid w:val="00ED153D"/>
    <w:rsid w:val="00ED5B1D"/>
    <w:rsid w:val="00F75061"/>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9250E1"/>
    <w:pPr>
      <w:bidi/>
      <w:spacing w:after="200" w:line="276" w:lineRule="auto"/>
      <w:ind w:left="720"/>
      <w:contextualSpacing/>
    </w:pPr>
    <w:rPr>
      <w:rFonts w:ascii="Calibri" w:eastAsia="Calibri" w:hAnsi="Calibri"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9250E1"/>
    <w:pPr>
      <w:bidi/>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C5A6D5A-8C7A-4870-AE76-B71ABEF88179}"/>
</file>

<file path=customXml/itemProps2.xml><?xml version="1.0" encoding="utf-8"?>
<ds:datastoreItem xmlns:ds="http://schemas.openxmlformats.org/officeDocument/2006/customXml" ds:itemID="{6A028C56-CED8-4330-BB10-DF146031C95A}"/>
</file>

<file path=customXml/itemProps3.xml><?xml version="1.0" encoding="utf-8"?>
<ds:datastoreItem xmlns:ds="http://schemas.openxmlformats.org/officeDocument/2006/customXml" ds:itemID="{5703AB08-7EBE-46CB-8936-CE3EC370EDB1}"/>
</file>

<file path=customXml/itemProps4.xml><?xml version="1.0" encoding="utf-8"?>
<ds:datastoreItem xmlns:ds="http://schemas.openxmlformats.org/officeDocument/2006/customXml" ds:itemID="{F4466EB3-7327-4C72-B0C0-ED68DE0F31F0}"/>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4533</Characters>
  <Application>Microsoft Office Word</Application>
  <DocSecurity>0</DocSecurity>
  <Lines>37</Lines>
  <Paragraphs>10</Paragraphs>
  <ScaleCrop>false</ScaleCrop>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2013-12-18T06:39:00Z</dcterms:created>
  <dcterms:modified xsi:type="dcterms:W3CDTF">2013-12-18T06:43:00Z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