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57"/>
        <w:bidiVisual/>
        <w:tblW w:w="0" w:type="auto"/>
        <w:tblLayout w:type="fixed"/>
        <w:tblLook w:val="0000" w:firstRow="0" w:lastRow="0" w:firstColumn="0" w:lastColumn="0" w:noHBand="0" w:noVBand="0"/>
        <w:tblCaption w:val="כותרת"/>
        <w:tblDescription w:val="כותרת"/>
      </w:tblPr>
      <w:tblGrid>
        <w:gridCol w:w="3343"/>
        <w:gridCol w:w="2596"/>
        <w:gridCol w:w="3591"/>
      </w:tblGrid>
      <w:tr w:rsidR="00DD3AC6" w:rsidRPr="00620EDD" w:rsidTr="00DD3AC6">
        <w:tc>
          <w:tcPr>
            <w:tcW w:w="3343" w:type="dxa"/>
            <w:tcBorders>
              <w:top w:val="nil"/>
              <w:left w:val="nil"/>
              <w:bottom w:val="nil"/>
              <w:right w:val="nil"/>
            </w:tcBorders>
            <w:vAlign w:val="center"/>
          </w:tcPr>
          <w:p w:rsidR="00DD3AC6" w:rsidRPr="00A67536" w:rsidRDefault="00DD3AC6" w:rsidP="00DD3AC6">
            <w:pPr>
              <w:ind w:left="97"/>
              <w:rPr>
                <w:rFonts w:cs="David"/>
                <w:b/>
                <w:bCs/>
                <w:sz w:val="28"/>
                <w:szCs w:val="28"/>
              </w:rPr>
            </w:pPr>
            <w:r w:rsidRPr="00A67536">
              <w:rPr>
                <w:rFonts w:cs="David"/>
                <w:b/>
                <w:bCs/>
                <w:sz w:val="28"/>
                <w:szCs w:val="28"/>
                <w:rtl/>
              </w:rPr>
              <w:t>בנ</w:t>
            </w:r>
            <w:r w:rsidRPr="00A67536">
              <w:rPr>
                <w:rFonts w:cs="David" w:hint="cs"/>
                <w:b/>
                <w:bCs/>
                <w:sz w:val="28"/>
                <w:szCs w:val="28"/>
                <w:rtl/>
              </w:rPr>
              <w:t xml:space="preserve">ק </w:t>
            </w:r>
            <w:r w:rsidRPr="00A67536">
              <w:rPr>
                <w:rFonts w:cs="David"/>
                <w:b/>
                <w:bCs/>
                <w:sz w:val="28"/>
                <w:szCs w:val="28"/>
                <w:rtl/>
              </w:rPr>
              <w:t>יש</w:t>
            </w:r>
            <w:r w:rsidRPr="00A67536">
              <w:rPr>
                <w:rFonts w:cs="David" w:hint="cs"/>
                <w:b/>
                <w:bCs/>
                <w:sz w:val="28"/>
                <w:szCs w:val="28"/>
                <w:rtl/>
              </w:rPr>
              <w:t>ראל</w:t>
            </w:r>
          </w:p>
          <w:p w:rsidR="00DD3AC6" w:rsidRPr="00A67536" w:rsidRDefault="00DD3AC6" w:rsidP="00DD3AC6">
            <w:pPr>
              <w:ind w:left="97" w:right="-101"/>
            </w:pPr>
            <w:r w:rsidRPr="000B6D96">
              <w:rPr>
                <w:rFonts w:cs="David"/>
                <w:rtl/>
              </w:rPr>
              <w:t>דו</w:t>
            </w:r>
            <w:r w:rsidRPr="000B6D96">
              <w:rPr>
                <w:rFonts w:cs="David" w:hint="cs"/>
                <w:rtl/>
              </w:rPr>
              <w:t>בר</w:t>
            </w:r>
            <w:r w:rsidRPr="000B6D96">
              <w:rPr>
                <w:rFonts w:cs="David"/>
                <w:rtl/>
              </w:rPr>
              <w:t>ות</w:t>
            </w:r>
            <w:r w:rsidRPr="000B6D96">
              <w:rPr>
                <w:rFonts w:cs="David" w:hint="cs"/>
                <w:rtl/>
              </w:rPr>
              <w:t xml:space="preserve"> והסברה כלכלית</w:t>
            </w:r>
          </w:p>
        </w:tc>
        <w:tc>
          <w:tcPr>
            <w:tcW w:w="2596" w:type="dxa"/>
            <w:tcBorders>
              <w:top w:val="nil"/>
              <w:left w:val="nil"/>
              <w:bottom w:val="nil"/>
              <w:right w:val="nil"/>
            </w:tcBorders>
            <w:shd w:val="clear" w:color="auto" w:fill="FFFFFF" w:themeFill="background1"/>
          </w:tcPr>
          <w:p w:rsidR="00DD3AC6" w:rsidRPr="00A67536" w:rsidRDefault="00DD3AC6" w:rsidP="00DD3AC6">
            <w:pPr>
              <w:jc w:val="center"/>
            </w:pPr>
            <w:r>
              <w:rPr>
                <w:noProof/>
              </w:rPr>
              <w:drawing>
                <wp:inline distT="0" distB="0" distL="0" distR="0" wp14:anchorId="597385CA" wp14:editId="3FE07AF0">
                  <wp:extent cx="707390" cy="70739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inline>
              </w:drawing>
            </w:r>
          </w:p>
        </w:tc>
        <w:tc>
          <w:tcPr>
            <w:tcW w:w="3591" w:type="dxa"/>
            <w:tcBorders>
              <w:top w:val="nil"/>
              <w:left w:val="nil"/>
              <w:bottom w:val="nil"/>
              <w:right w:val="nil"/>
            </w:tcBorders>
            <w:vAlign w:val="center"/>
          </w:tcPr>
          <w:p w:rsidR="00DD3AC6" w:rsidRPr="000B6D96" w:rsidRDefault="00DD3AC6" w:rsidP="00DD3AC6">
            <w:pPr>
              <w:spacing w:line="480" w:lineRule="auto"/>
              <w:jc w:val="right"/>
              <w:rPr>
                <w:rFonts w:cs="David"/>
              </w:rPr>
            </w:pPr>
            <w:r w:rsidRPr="003D1D3D">
              <w:rPr>
                <w:rFonts w:cs="David" w:hint="eastAsia"/>
                <w:rtl/>
              </w:rPr>
              <w:t>‏</w:t>
            </w:r>
            <w:r w:rsidRPr="003D1D3D">
              <w:rPr>
                <w:rFonts w:cs="David" w:hint="cs"/>
                <w:rtl/>
              </w:rPr>
              <w:t xml:space="preserve">ירושלים, </w:t>
            </w:r>
            <w:r>
              <w:rPr>
                <w:rFonts w:cs="David" w:hint="cs"/>
                <w:rtl/>
              </w:rPr>
              <w:t>א' שבט</w:t>
            </w:r>
            <w:r w:rsidRPr="003D1D3D">
              <w:rPr>
                <w:rFonts w:cs="David"/>
                <w:rtl/>
              </w:rPr>
              <w:t>, תשע"</w:t>
            </w:r>
            <w:r>
              <w:rPr>
                <w:rFonts w:cs="David" w:hint="cs"/>
                <w:rtl/>
              </w:rPr>
              <w:t>ט</w:t>
            </w:r>
          </w:p>
          <w:p w:rsidR="00DD3AC6" w:rsidRPr="00620EDD" w:rsidRDefault="00DD3AC6" w:rsidP="00DD3AC6">
            <w:pPr>
              <w:spacing w:line="480" w:lineRule="auto"/>
              <w:jc w:val="right"/>
              <w:rPr>
                <w:rFonts w:cs="David"/>
              </w:rPr>
            </w:pPr>
            <w:r>
              <w:rPr>
                <w:rFonts w:cs="David" w:hint="cs"/>
                <w:rtl/>
              </w:rPr>
              <w:t>7 בינואר 2019</w:t>
            </w:r>
          </w:p>
        </w:tc>
      </w:tr>
    </w:tbl>
    <w:p w:rsidR="00DD3AC6" w:rsidRDefault="00DD3AC6" w:rsidP="00A96EA0">
      <w:pPr>
        <w:ind w:left="113"/>
        <w:rPr>
          <w:rFonts w:hint="cs"/>
          <w:rtl/>
        </w:rPr>
      </w:pPr>
    </w:p>
    <w:p w:rsidR="00A21EBC" w:rsidRDefault="00A21EBC" w:rsidP="00A96EA0">
      <w:pPr>
        <w:ind w:left="113"/>
        <w:rPr>
          <w:rtl/>
        </w:rPr>
      </w:pPr>
      <w:r>
        <w:rPr>
          <w:rFonts w:hint="cs"/>
          <w:rtl/>
        </w:rPr>
        <w:t>הודעה לעיתונות:</w:t>
      </w:r>
    </w:p>
    <w:p w:rsidR="00A21EBC" w:rsidRDefault="00A21EBC" w:rsidP="00A96EA0">
      <w:pPr>
        <w:ind w:left="113"/>
        <w:rPr>
          <w:rtl/>
        </w:rPr>
      </w:pPr>
    </w:p>
    <w:p w:rsidR="000052A4" w:rsidRDefault="000052A4" w:rsidP="00073E16">
      <w:pPr>
        <w:pStyle w:val="ad"/>
        <w:spacing w:after="0" w:line="240" w:lineRule="auto"/>
        <w:ind w:left="113"/>
        <w:rPr>
          <w:rtl/>
        </w:rPr>
      </w:pPr>
      <w:bookmarkStart w:id="0" w:name="_GoBack"/>
      <w:r w:rsidRPr="00810BA8">
        <w:rPr>
          <w:rFonts w:hint="cs"/>
          <w:rtl/>
        </w:rPr>
        <w:t xml:space="preserve">התחזית המקרו-כלכלית </w:t>
      </w:r>
      <w:r w:rsidR="009B21D0">
        <w:rPr>
          <w:rFonts w:hint="cs"/>
          <w:rtl/>
        </w:rPr>
        <w:t>ש</w:t>
      </w:r>
      <w:r w:rsidR="00EF7D4F">
        <w:rPr>
          <w:rFonts w:hint="cs"/>
          <w:rtl/>
        </w:rPr>
        <w:t xml:space="preserve">ל </w:t>
      </w:r>
      <w:r w:rsidRPr="00810BA8">
        <w:rPr>
          <w:rFonts w:hint="cs"/>
          <w:rtl/>
        </w:rPr>
        <w:t>חטיבת המחקר</w:t>
      </w:r>
      <w:r w:rsidR="00EF7D4F">
        <w:rPr>
          <w:rFonts w:hint="cs"/>
          <w:rtl/>
        </w:rPr>
        <w:t>,</w:t>
      </w:r>
      <w:r w:rsidR="00E2225A">
        <w:rPr>
          <w:rFonts w:hint="cs"/>
          <w:rtl/>
        </w:rPr>
        <w:t xml:space="preserve"> </w:t>
      </w:r>
      <w:r w:rsidR="00073E16">
        <w:rPr>
          <w:rFonts w:hint="cs"/>
          <w:rtl/>
        </w:rPr>
        <w:t>ינואר</w:t>
      </w:r>
      <w:r w:rsidR="00E96045">
        <w:rPr>
          <w:rFonts w:hint="cs"/>
          <w:rtl/>
        </w:rPr>
        <w:t xml:space="preserve"> 201</w:t>
      </w:r>
      <w:r w:rsidR="00073E16">
        <w:rPr>
          <w:rFonts w:hint="cs"/>
          <w:rtl/>
        </w:rPr>
        <w:t>9</w:t>
      </w:r>
    </w:p>
    <w:bookmarkEnd w:id="0"/>
    <w:p w:rsidR="000052A4" w:rsidRPr="00E60356" w:rsidRDefault="000052A4" w:rsidP="00A96EA0">
      <w:pPr>
        <w:pStyle w:val="1"/>
        <w:ind w:left="113"/>
        <w:rPr>
          <w:rtl/>
        </w:rPr>
      </w:pPr>
      <w:r w:rsidRPr="00E60356">
        <w:rPr>
          <w:rFonts w:hint="cs"/>
          <w:rtl/>
        </w:rPr>
        <w:t>תמצית</w:t>
      </w:r>
    </w:p>
    <w:p w:rsidR="00226668" w:rsidRPr="002D3013" w:rsidRDefault="00073E16" w:rsidP="008B1C63">
      <w:pPr>
        <w:ind w:left="113"/>
        <w:rPr>
          <w:rtl/>
        </w:rPr>
      </w:pPr>
      <w:r w:rsidRPr="002D3013">
        <w:rPr>
          <w:rFonts w:hint="cs"/>
          <w:rtl/>
        </w:rPr>
        <w:t xml:space="preserve">מסמך זה מציג את התחזית המקרו-כלכלית שחטיבת המחקר בבנק ישראל גיבשה </w:t>
      </w:r>
      <w:r>
        <w:rPr>
          <w:rFonts w:hint="cs"/>
          <w:rtl/>
        </w:rPr>
        <w:t xml:space="preserve">בינואר </w:t>
      </w:r>
      <w:r w:rsidRPr="002D3013">
        <w:rPr>
          <w:rFonts w:hint="cs"/>
          <w:rtl/>
        </w:rPr>
        <w:t>201</w:t>
      </w:r>
      <w:r>
        <w:rPr>
          <w:rFonts w:hint="cs"/>
          <w:rtl/>
        </w:rPr>
        <w:t>9</w:t>
      </w:r>
      <w:r>
        <w:rPr>
          <w:rStyle w:val="ac"/>
          <w:rtl/>
        </w:rPr>
        <w:footnoteReference w:id="2"/>
      </w:r>
      <w:r>
        <w:rPr>
          <w:rFonts w:hint="cs"/>
          <w:rtl/>
        </w:rPr>
        <w:t xml:space="preserve"> בנוגע למשתני המקרו העיקריים </w:t>
      </w:r>
      <w:r>
        <w:rPr>
          <w:rtl/>
        </w:rPr>
        <w:t>–</w:t>
      </w:r>
      <w:r>
        <w:rPr>
          <w:rFonts w:hint="cs"/>
          <w:rtl/>
        </w:rPr>
        <w:t xml:space="preserve"> התוצר, האינפלציה והריבית. התוצר צפוי לצמוח</w:t>
      </w:r>
      <w:r w:rsidR="005C7A2E">
        <w:rPr>
          <w:rFonts w:hint="cs"/>
          <w:rtl/>
        </w:rPr>
        <w:t xml:space="preserve"> ב-2019</w:t>
      </w:r>
      <w:r>
        <w:rPr>
          <w:rFonts w:hint="cs"/>
          <w:rtl/>
        </w:rPr>
        <w:t xml:space="preserve"> ב-3.4%, קצב נמוך מעט </w:t>
      </w:r>
      <w:r w:rsidR="005C7A2E">
        <w:rPr>
          <w:rFonts w:hint="cs"/>
          <w:rtl/>
        </w:rPr>
        <w:t>בהשוואה</w:t>
      </w:r>
      <w:r>
        <w:rPr>
          <w:rFonts w:hint="cs"/>
          <w:rtl/>
        </w:rPr>
        <w:t xml:space="preserve"> </w:t>
      </w:r>
      <w:r w:rsidR="005C7A2E">
        <w:rPr>
          <w:rFonts w:hint="cs"/>
          <w:rtl/>
        </w:rPr>
        <w:t>ל</w:t>
      </w:r>
      <w:r>
        <w:rPr>
          <w:rFonts w:hint="cs"/>
          <w:rtl/>
        </w:rPr>
        <w:t>תחזית הקודמת</w:t>
      </w:r>
      <w:r w:rsidR="00AA11C7">
        <w:rPr>
          <w:rFonts w:hint="cs"/>
          <w:rtl/>
        </w:rPr>
        <w:t>,</w:t>
      </w:r>
      <w:r>
        <w:rPr>
          <w:rFonts w:hint="cs"/>
          <w:rtl/>
        </w:rPr>
        <w:t xml:space="preserve"> </w:t>
      </w:r>
      <w:r w:rsidR="00AA11C7">
        <w:rPr>
          <w:rFonts w:hint="cs"/>
          <w:rtl/>
        </w:rPr>
        <w:t>ו</w:t>
      </w:r>
      <w:r>
        <w:rPr>
          <w:rFonts w:hint="cs"/>
          <w:rtl/>
        </w:rPr>
        <w:t xml:space="preserve">ב-2020 </w:t>
      </w:r>
      <w:r w:rsidR="00AA11C7">
        <w:rPr>
          <w:rFonts w:hint="cs"/>
          <w:rtl/>
        </w:rPr>
        <w:t xml:space="preserve">הוא </w:t>
      </w:r>
      <w:r>
        <w:rPr>
          <w:rFonts w:hint="cs"/>
          <w:rtl/>
        </w:rPr>
        <w:t>צפוי לצמוח ב-3.5%. האינפלציה ב-2019 צפויה להסתכם ב-1.3%, מעט נמוכה בהשוואה לתחזית הקודמת</w:t>
      </w:r>
      <w:r w:rsidR="00AA11C7">
        <w:rPr>
          <w:rFonts w:hint="cs"/>
          <w:rtl/>
        </w:rPr>
        <w:t>,</w:t>
      </w:r>
      <w:r>
        <w:rPr>
          <w:rFonts w:hint="cs"/>
          <w:rtl/>
        </w:rPr>
        <w:t xml:space="preserve"> </w:t>
      </w:r>
      <w:r w:rsidR="00AA11C7">
        <w:rPr>
          <w:rFonts w:hint="cs"/>
          <w:rtl/>
        </w:rPr>
        <w:t>ו</w:t>
      </w:r>
      <w:r>
        <w:rPr>
          <w:rFonts w:hint="cs"/>
          <w:rtl/>
        </w:rPr>
        <w:t xml:space="preserve">ב-2020 </w:t>
      </w:r>
      <w:r w:rsidR="00AA11C7">
        <w:rPr>
          <w:rFonts w:hint="cs"/>
          <w:rtl/>
        </w:rPr>
        <w:t xml:space="preserve">היא </w:t>
      </w:r>
      <w:r>
        <w:rPr>
          <w:rFonts w:hint="cs"/>
          <w:rtl/>
        </w:rPr>
        <w:t>צפויה להסתכם ב-1.8%.</w:t>
      </w:r>
      <w:r w:rsidRPr="002D3013">
        <w:rPr>
          <w:rFonts w:hint="cs"/>
          <w:rtl/>
        </w:rPr>
        <w:t xml:space="preserve"> הריבית המוניטרית צפויה </w:t>
      </w:r>
      <w:r>
        <w:rPr>
          <w:rFonts w:hint="cs"/>
          <w:rtl/>
        </w:rPr>
        <w:t xml:space="preserve">לעלות ל-0.50% ברבעון השלישי של 2019 ולהמשיך לעלות בהדרגה </w:t>
      </w:r>
      <w:r w:rsidR="005C7A2E">
        <w:rPr>
          <w:rFonts w:hint="cs"/>
          <w:rtl/>
        </w:rPr>
        <w:t xml:space="preserve">עד ל-1.25% </w:t>
      </w:r>
      <w:r>
        <w:rPr>
          <w:rFonts w:hint="cs"/>
          <w:rtl/>
        </w:rPr>
        <w:t>בסוף 2020</w:t>
      </w:r>
      <w:r w:rsidR="00E646EE">
        <w:rPr>
          <w:rFonts w:hint="cs"/>
          <w:rtl/>
        </w:rPr>
        <w:t xml:space="preserve"> (תום טווח התחזית)</w:t>
      </w:r>
      <w:r>
        <w:rPr>
          <w:rFonts w:hint="cs"/>
          <w:rtl/>
        </w:rPr>
        <w:t>.</w:t>
      </w:r>
      <w:r w:rsidR="00226668">
        <w:rPr>
          <w:rFonts w:hint="cs"/>
          <w:rtl/>
        </w:rPr>
        <w:t xml:space="preserve"> </w:t>
      </w:r>
    </w:p>
    <w:p w:rsidR="000052A4" w:rsidRPr="00E60356" w:rsidRDefault="000052A4" w:rsidP="00A96EA0">
      <w:pPr>
        <w:pStyle w:val="1"/>
        <w:ind w:left="113"/>
        <w:rPr>
          <w:rtl/>
        </w:rPr>
      </w:pPr>
      <w:r w:rsidRPr="00E60356">
        <w:rPr>
          <w:rFonts w:hint="cs"/>
          <w:rtl/>
        </w:rPr>
        <w:t>התחזית</w:t>
      </w:r>
    </w:p>
    <w:p w:rsidR="008701F7" w:rsidRDefault="000052A4" w:rsidP="00A96EA0">
      <w:pPr>
        <w:ind w:left="113"/>
        <w:rPr>
          <w:rtl/>
        </w:rPr>
      </w:pPr>
      <w:r w:rsidRPr="002D3013">
        <w:rPr>
          <w:rFonts w:hint="cs"/>
          <w:rtl/>
        </w:rPr>
        <w:t xml:space="preserve">חטיבת המחקר של בנק ישראל עורכת בכל רבעון תחזית מקרו-כלכלית, וזו מתבססת על כמה מודלים, על מקורות מידע שונים ועל הערכות שיפוטיות. בתהליך זה יש תפקיד מרכזי </w:t>
      </w:r>
      <w:r w:rsidR="005D72AD">
        <w:rPr>
          <w:rFonts w:hint="cs"/>
          <w:rtl/>
        </w:rPr>
        <w:t>ל</w:t>
      </w:r>
      <w:r w:rsidR="005D72AD" w:rsidRPr="002D3013">
        <w:rPr>
          <w:rFonts w:hint="cs"/>
          <w:rtl/>
        </w:rPr>
        <w:t xml:space="preserve">מודל </w:t>
      </w:r>
      <w:r w:rsidR="00837BE0">
        <w:rPr>
          <w:rFonts w:hint="cs"/>
          <w:rtl/>
        </w:rPr>
        <w:t>ה-</w:t>
      </w:r>
      <w:r w:rsidR="00837BE0">
        <w:rPr>
          <w:rFonts w:ascii="Times New Roman" w:hAnsi="Times New Roman"/>
        </w:rPr>
        <w:t>DSGE</w:t>
      </w:r>
      <w:r w:rsidR="00257C94">
        <w:rPr>
          <w:rFonts w:ascii="Times New Roman" w:hAnsi="Times New Roman" w:hint="cs"/>
          <w:rtl/>
        </w:rPr>
        <w:t xml:space="preserve"> </w:t>
      </w:r>
      <w:r w:rsidR="00257C94" w:rsidRPr="00E60356">
        <w:rPr>
          <w:rFonts w:cs="David" w:hint="cs"/>
          <w:rtl/>
        </w:rPr>
        <w:t>(</w:t>
      </w:r>
      <w:r w:rsidR="00257C94" w:rsidRPr="00E60356">
        <w:rPr>
          <w:rFonts w:cs="David"/>
        </w:rPr>
        <w:t>Dynamic Stochastic General Equilibrium</w:t>
      </w:r>
      <w:r w:rsidR="00257C94" w:rsidRPr="00E60356">
        <w:rPr>
          <w:rFonts w:cs="David" w:hint="cs"/>
          <w:rtl/>
        </w:rPr>
        <w:t>)</w:t>
      </w:r>
      <w:r w:rsidR="00257C94">
        <w:rPr>
          <w:rFonts w:ascii="Times New Roman" w:hAnsi="Times New Roman" w:hint="cs"/>
          <w:rtl/>
        </w:rPr>
        <w:t xml:space="preserve"> </w:t>
      </w:r>
      <w:r w:rsidR="00837BE0">
        <w:rPr>
          <w:rFonts w:ascii="Times New Roman" w:hAnsi="Times New Roman" w:hint="cs"/>
          <w:rtl/>
        </w:rPr>
        <w:t xml:space="preserve">שפותח בחטיבת המחקר </w:t>
      </w:r>
      <w:r w:rsidR="00837BE0">
        <w:rPr>
          <w:rFonts w:ascii="Times New Roman" w:hAnsi="Times New Roman"/>
          <w:rtl/>
        </w:rPr>
        <w:t>–</w:t>
      </w:r>
      <w:r w:rsidR="00837BE0">
        <w:rPr>
          <w:rFonts w:ascii="Times New Roman" w:hAnsi="Times New Roman" w:hint="cs"/>
          <w:rtl/>
        </w:rPr>
        <w:t xml:space="preserve"> מודל</w:t>
      </w:r>
      <w:r w:rsidR="00837BE0">
        <w:rPr>
          <w:rFonts w:hint="cs"/>
          <w:rtl/>
        </w:rPr>
        <w:t xml:space="preserve"> </w:t>
      </w:r>
      <w:r w:rsidR="005D72AD" w:rsidRPr="002D3013">
        <w:rPr>
          <w:rFonts w:hint="cs"/>
          <w:rtl/>
        </w:rPr>
        <w:t>מבני שמבוסס על יסודות מיקרו-כלכליים</w:t>
      </w:r>
      <w:r w:rsidR="005D72AD">
        <w:rPr>
          <w:rStyle w:val="ac"/>
          <w:rtl/>
        </w:rPr>
        <w:footnoteReference w:id="3"/>
      </w:r>
      <w:r w:rsidR="005D72AD">
        <w:rPr>
          <w:rFonts w:hint="cs"/>
          <w:rtl/>
        </w:rPr>
        <w:t xml:space="preserve">. </w:t>
      </w:r>
      <w:r w:rsidRPr="002D3013">
        <w:rPr>
          <w:rFonts w:hint="cs"/>
          <w:rtl/>
        </w:rPr>
        <w:t>המודל מספק מסגרת לניתוח הכוחות המשפיעים על הכלכלה, והוא מאפשר לגבש את המידע מהמקורות השונים לכדי תחזית מקרו-כלכלית למשתנים ריאליים ונומינליים, המתאפיינת בעקביות פנימית ובסיפור כלכלי.</w:t>
      </w:r>
      <w:r w:rsidR="004720A8">
        <w:rPr>
          <w:rFonts w:hint="cs"/>
          <w:rtl/>
        </w:rPr>
        <w:t xml:space="preserve"> </w:t>
      </w:r>
    </w:p>
    <w:p w:rsidR="00E2225A" w:rsidRPr="00E60356" w:rsidRDefault="00E2225A" w:rsidP="00A96EA0">
      <w:pPr>
        <w:pStyle w:val="2"/>
        <w:ind w:left="113"/>
      </w:pPr>
      <w:r w:rsidRPr="00E60356">
        <w:rPr>
          <w:rFonts w:hint="cs"/>
          <w:rtl/>
        </w:rPr>
        <w:t>הסביבה העולמית</w:t>
      </w:r>
    </w:p>
    <w:p w:rsidR="00C6685E" w:rsidRDefault="00073E16" w:rsidP="00241EFC">
      <w:pPr>
        <w:ind w:left="113"/>
        <w:rPr>
          <w:rtl/>
        </w:rPr>
      </w:pPr>
      <w:r w:rsidRPr="00E60356">
        <w:rPr>
          <w:rFonts w:hint="cs"/>
          <w:rtl/>
        </w:rPr>
        <w:t>הערכותינו לגבי ההתפתחויות בסביבה העולמית מתבססות בעיקרן על התחזיות שגיבשו מוסדות בין-לאומיים (קרן המטבע הבין-לאומית וה-</w:t>
      </w:r>
      <w:r w:rsidRPr="00E60356">
        <w:rPr>
          <w:rFonts w:hint="cs"/>
        </w:rPr>
        <w:t>OECD</w:t>
      </w:r>
      <w:r w:rsidRPr="00E60356">
        <w:rPr>
          <w:rFonts w:hint="cs"/>
          <w:rtl/>
        </w:rPr>
        <w:t>) ו</w:t>
      </w:r>
      <w:r w:rsidRPr="00DD12A4">
        <w:rPr>
          <w:rFonts w:hint="cs"/>
          <w:rtl/>
        </w:rPr>
        <w:t xml:space="preserve">בתי השקעות זרים. התחזיות של </w:t>
      </w:r>
      <w:r w:rsidR="005C7A2E">
        <w:rPr>
          <w:rFonts w:hint="cs"/>
          <w:rtl/>
        </w:rPr>
        <w:t>מוסדות</w:t>
      </w:r>
      <w:r w:rsidRPr="00DD12A4">
        <w:rPr>
          <w:rFonts w:hint="cs"/>
          <w:rtl/>
        </w:rPr>
        <w:t xml:space="preserve"> אלו לגבי הצמיחה והאינפלציה במשקים המפותחים </w:t>
      </w:r>
      <w:r>
        <w:rPr>
          <w:rFonts w:hint="cs"/>
          <w:rtl/>
        </w:rPr>
        <w:t>נותרו כמעט ללא שינוי</w:t>
      </w:r>
      <w:r w:rsidR="005C7A2E">
        <w:rPr>
          <w:rFonts w:hint="cs"/>
          <w:rtl/>
        </w:rPr>
        <w:t>,</w:t>
      </w:r>
      <w:r>
        <w:rPr>
          <w:rFonts w:hint="cs"/>
          <w:rtl/>
        </w:rPr>
        <w:t xml:space="preserve"> ותחזיות</w:t>
      </w:r>
      <w:r w:rsidR="005C7A2E">
        <w:rPr>
          <w:rFonts w:hint="cs"/>
          <w:rtl/>
        </w:rPr>
        <w:t>יהם</w:t>
      </w:r>
      <w:r>
        <w:rPr>
          <w:rFonts w:hint="cs"/>
          <w:rtl/>
        </w:rPr>
        <w:t xml:space="preserve"> לגבי היבוא של </w:t>
      </w:r>
      <w:r w:rsidR="005C7A2E">
        <w:rPr>
          <w:rFonts w:hint="cs"/>
          <w:rtl/>
        </w:rPr>
        <w:t>משקים</w:t>
      </w:r>
      <w:r>
        <w:rPr>
          <w:rFonts w:hint="cs"/>
          <w:rtl/>
        </w:rPr>
        <w:t xml:space="preserve"> אלו הופחתו מעט.</w:t>
      </w:r>
      <w:r w:rsidRPr="00DD12A4">
        <w:rPr>
          <w:rFonts w:hint="cs"/>
          <w:i/>
          <w:iCs/>
          <w:rtl/>
        </w:rPr>
        <w:t xml:space="preserve"> </w:t>
      </w:r>
      <w:r w:rsidRPr="00DD12A4">
        <w:rPr>
          <w:rFonts w:hint="cs"/>
          <w:rtl/>
        </w:rPr>
        <w:t>אנו מ</w:t>
      </w:r>
      <w:r>
        <w:rPr>
          <w:rFonts w:hint="cs"/>
          <w:rtl/>
        </w:rPr>
        <w:t>ניח</w:t>
      </w:r>
      <w:r w:rsidRPr="00DD12A4">
        <w:rPr>
          <w:rFonts w:hint="cs"/>
          <w:rtl/>
        </w:rPr>
        <w:t>ים כי המשקים המפותחים יצמחו ב-2.</w:t>
      </w:r>
      <w:r>
        <w:rPr>
          <w:rFonts w:hint="cs"/>
          <w:rtl/>
        </w:rPr>
        <w:t>0</w:t>
      </w:r>
      <w:r w:rsidRPr="00DD12A4">
        <w:rPr>
          <w:rFonts w:hint="cs"/>
          <w:rtl/>
        </w:rPr>
        <w:t>% ב-2019</w:t>
      </w:r>
      <w:r>
        <w:rPr>
          <w:rFonts w:hint="cs"/>
          <w:rtl/>
        </w:rPr>
        <w:t xml:space="preserve"> וב-1.7% ב-2020,</w:t>
      </w:r>
      <w:r w:rsidRPr="00DD12A4">
        <w:rPr>
          <w:rFonts w:hint="cs"/>
          <w:rtl/>
        </w:rPr>
        <w:t xml:space="preserve"> וכי היבוא שלהם יצמח </w:t>
      </w:r>
      <w:r w:rsidRPr="006F7B7F">
        <w:rPr>
          <w:rFonts w:hint="cs"/>
          <w:rtl/>
        </w:rPr>
        <w:t>ב-4.</w:t>
      </w:r>
      <w:r>
        <w:rPr>
          <w:rFonts w:hint="cs"/>
          <w:rtl/>
        </w:rPr>
        <w:t>0</w:t>
      </w:r>
      <w:r w:rsidRPr="006F7B7F">
        <w:rPr>
          <w:rFonts w:hint="cs"/>
          <w:rtl/>
        </w:rPr>
        <w:t>% ב-2019</w:t>
      </w:r>
      <w:r>
        <w:rPr>
          <w:rFonts w:hint="cs"/>
          <w:rtl/>
        </w:rPr>
        <w:t xml:space="preserve"> וב-3.7% ב-2020</w:t>
      </w:r>
      <w:r w:rsidRPr="006F7B7F">
        <w:rPr>
          <w:rFonts w:hint="cs"/>
          <w:rtl/>
        </w:rPr>
        <w:t xml:space="preserve">. </w:t>
      </w:r>
      <w:r>
        <w:rPr>
          <w:rFonts w:hint="cs"/>
          <w:rtl/>
        </w:rPr>
        <w:t xml:space="preserve">אשר לאינפלציה במדינות המפותחות, אנו מניחים כי היא תסתכם ב-2% </w:t>
      </w:r>
      <w:r w:rsidR="005C7A2E">
        <w:rPr>
          <w:rFonts w:hint="cs"/>
          <w:rtl/>
        </w:rPr>
        <w:t>הן</w:t>
      </w:r>
      <w:r>
        <w:rPr>
          <w:rFonts w:hint="cs"/>
          <w:rtl/>
        </w:rPr>
        <w:t xml:space="preserve"> </w:t>
      </w:r>
      <w:r w:rsidR="005C7A2E">
        <w:rPr>
          <w:rFonts w:hint="cs"/>
          <w:rtl/>
        </w:rPr>
        <w:t>ב-</w:t>
      </w:r>
      <w:r>
        <w:rPr>
          <w:rFonts w:hint="cs"/>
          <w:rtl/>
        </w:rPr>
        <w:t xml:space="preserve">2019 </w:t>
      </w:r>
      <w:r w:rsidR="005C7A2E">
        <w:rPr>
          <w:rFonts w:hint="cs"/>
          <w:rtl/>
        </w:rPr>
        <w:t>והן ב</w:t>
      </w:r>
      <w:r>
        <w:rPr>
          <w:rFonts w:hint="cs"/>
          <w:rtl/>
        </w:rPr>
        <w:t xml:space="preserve">-2020. </w:t>
      </w:r>
      <w:r w:rsidRPr="006F7B7F">
        <w:rPr>
          <w:rtl/>
        </w:rPr>
        <w:t xml:space="preserve">על פי </w:t>
      </w:r>
      <w:r w:rsidRPr="006F7B7F">
        <w:rPr>
          <w:rFonts w:hint="cs"/>
          <w:rtl/>
        </w:rPr>
        <w:t>ההערכות של בתי ההשקעות</w:t>
      </w:r>
      <w:r w:rsidR="00556A60">
        <w:rPr>
          <w:rFonts w:hint="cs"/>
          <w:rtl/>
        </w:rPr>
        <w:t xml:space="preserve"> </w:t>
      </w:r>
      <w:r w:rsidR="00FB545A">
        <w:rPr>
          <w:rFonts w:hint="cs"/>
          <w:rtl/>
        </w:rPr>
        <w:t>שהיו ידועות בעת עריכת התחזית</w:t>
      </w:r>
      <w:r w:rsidRPr="006F7B7F">
        <w:rPr>
          <w:rFonts w:hint="cs"/>
          <w:rtl/>
        </w:rPr>
        <w:t>, ריבית ה-</w:t>
      </w:r>
      <w:r w:rsidRPr="006F7B7F">
        <w:t>Fed</w:t>
      </w:r>
      <w:r w:rsidRPr="006F7B7F">
        <w:rPr>
          <w:rFonts w:hint="cs"/>
          <w:rtl/>
        </w:rPr>
        <w:t xml:space="preserve"> צפויה לעמוד על </w:t>
      </w:r>
      <w:r w:rsidR="00241EFC">
        <w:rPr>
          <w:rFonts w:hint="cs"/>
          <w:rtl/>
        </w:rPr>
        <w:t>כ-</w:t>
      </w:r>
      <w:r w:rsidRPr="006F7B7F">
        <w:rPr>
          <w:rFonts w:hint="cs"/>
          <w:rtl/>
        </w:rPr>
        <w:t>3% בסוף 2019</w:t>
      </w:r>
      <w:r>
        <w:rPr>
          <w:rFonts w:hint="cs"/>
          <w:rtl/>
        </w:rPr>
        <w:t xml:space="preserve"> ולהיוותר ברמה זו במהלך 2020</w:t>
      </w:r>
      <w:r w:rsidR="00FB545A">
        <w:rPr>
          <w:rStyle w:val="ac"/>
          <w:rtl/>
        </w:rPr>
        <w:footnoteReference w:id="4"/>
      </w:r>
      <w:r w:rsidR="00241EFC">
        <w:rPr>
          <w:rFonts w:hint="cs"/>
          <w:rtl/>
        </w:rPr>
        <w:t>;</w:t>
      </w:r>
      <w:r w:rsidRPr="006F7B7F">
        <w:rPr>
          <w:rFonts w:hint="cs"/>
          <w:rtl/>
        </w:rPr>
        <w:t xml:space="preserve"> הריבית המוצהרת בגוש האירו צפויה לעמוד על 0.</w:t>
      </w:r>
      <w:r>
        <w:rPr>
          <w:rFonts w:hint="cs"/>
          <w:rtl/>
        </w:rPr>
        <w:t>1</w:t>
      </w:r>
      <w:r w:rsidRPr="006F7B7F">
        <w:rPr>
          <w:rFonts w:hint="cs"/>
          <w:rtl/>
        </w:rPr>
        <w:t>% בסוף 2019</w:t>
      </w:r>
      <w:r>
        <w:rPr>
          <w:rFonts w:hint="cs"/>
          <w:rtl/>
        </w:rPr>
        <w:t xml:space="preserve"> ועל 0.5% בסוף 2020</w:t>
      </w:r>
      <w:r w:rsidRPr="006F7B7F">
        <w:rPr>
          <w:rFonts w:hint="cs"/>
          <w:rtl/>
        </w:rPr>
        <w:t xml:space="preserve">. </w:t>
      </w:r>
      <w:r w:rsidR="005C7A2E">
        <w:rPr>
          <w:rFonts w:hint="cs"/>
          <w:rtl/>
        </w:rPr>
        <w:t>עם ה</w:t>
      </w:r>
      <w:r>
        <w:rPr>
          <w:rFonts w:hint="cs"/>
          <w:rtl/>
        </w:rPr>
        <w:t>שינוי</w:t>
      </w:r>
      <w:r w:rsidR="005C7A2E">
        <w:rPr>
          <w:rFonts w:hint="cs"/>
          <w:rtl/>
        </w:rPr>
        <w:t>ים</w:t>
      </w:r>
      <w:r>
        <w:rPr>
          <w:rFonts w:hint="cs"/>
          <w:rtl/>
        </w:rPr>
        <w:t xml:space="preserve"> </w:t>
      </w:r>
      <w:r w:rsidR="005C7A2E">
        <w:rPr>
          <w:rFonts w:hint="cs"/>
          <w:rtl/>
        </w:rPr>
        <w:t>ה</w:t>
      </w:r>
      <w:r>
        <w:rPr>
          <w:rFonts w:hint="cs"/>
          <w:rtl/>
        </w:rPr>
        <w:t>משמעותי</w:t>
      </w:r>
      <w:r w:rsidR="005C7A2E">
        <w:rPr>
          <w:rFonts w:hint="cs"/>
          <w:rtl/>
        </w:rPr>
        <w:t>ים</w:t>
      </w:r>
      <w:r>
        <w:rPr>
          <w:rFonts w:hint="cs"/>
          <w:rtl/>
        </w:rPr>
        <w:t xml:space="preserve"> </w:t>
      </w:r>
      <w:r w:rsidR="005C7A2E">
        <w:rPr>
          <w:rFonts w:hint="cs"/>
          <w:rtl/>
        </w:rPr>
        <w:t xml:space="preserve">שחלו </w:t>
      </w:r>
      <w:r>
        <w:rPr>
          <w:rFonts w:hint="cs"/>
          <w:rtl/>
        </w:rPr>
        <w:t xml:space="preserve">בסביבה העולמית מאז פרסום התחזית הקודמת </w:t>
      </w:r>
      <w:r w:rsidR="005C7A2E">
        <w:rPr>
          <w:rFonts w:hint="cs"/>
          <w:rtl/>
        </w:rPr>
        <w:t>נמנית</w:t>
      </w:r>
      <w:r>
        <w:rPr>
          <w:rFonts w:hint="cs"/>
          <w:rtl/>
        </w:rPr>
        <w:t xml:space="preserve"> הירידה החדה במחירי הנפט. </w:t>
      </w:r>
      <w:r w:rsidRPr="00625FA9">
        <w:rPr>
          <w:rFonts w:hint="cs"/>
          <w:rtl/>
        </w:rPr>
        <w:t>המחיר הממוצע של חבית נפט מסוג "ברנט"</w:t>
      </w:r>
      <w:r>
        <w:rPr>
          <w:rFonts w:hint="cs"/>
          <w:rtl/>
        </w:rPr>
        <w:t xml:space="preserve"> עמד</w:t>
      </w:r>
      <w:r w:rsidRPr="00625FA9">
        <w:rPr>
          <w:rFonts w:hint="cs"/>
          <w:rtl/>
        </w:rPr>
        <w:t xml:space="preserve"> ברבעון ה</w:t>
      </w:r>
      <w:r>
        <w:rPr>
          <w:rFonts w:hint="cs"/>
          <w:rtl/>
        </w:rPr>
        <w:t>אחרון של 2018</w:t>
      </w:r>
      <w:r w:rsidRPr="00625FA9">
        <w:rPr>
          <w:rFonts w:hint="cs"/>
          <w:rtl/>
        </w:rPr>
        <w:t xml:space="preserve"> על כ</w:t>
      </w:r>
      <w:r>
        <w:rPr>
          <w:rFonts w:hint="cs"/>
          <w:rtl/>
        </w:rPr>
        <w:t>-68 דולרים (בהשוואה ל</w:t>
      </w:r>
      <w:r w:rsidRPr="00625FA9">
        <w:rPr>
          <w:rFonts w:hint="cs"/>
          <w:rtl/>
        </w:rPr>
        <w:t>-76 דולרים</w:t>
      </w:r>
      <w:r>
        <w:rPr>
          <w:rFonts w:hint="cs"/>
          <w:rtl/>
        </w:rPr>
        <w:t xml:space="preserve"> ברבעון השלישי).</w:t>
      </w:r>
    </w:p>
    <w:p w:rsidR="00C6685E" w:rsidRPr="00847258" w:rsidRDefault="00C6685E">
      <w:pPr>
        <w:bidi w:val="0"/>
        <w:spacing w:after="200" w:line="276" w:lineRule="auto"/>
        <w:ind w:left="0"/>
        <w:jc w:val="left"/>
        <w:rPr>
          <w:rFonts w:ascii="Times New Roman" w:hAnsi="Times New Roman"/>
        </w:rPr>
      </w:pPr>
      <w:r>
        <w:rPr>
          <w:rtl/>
        </w:rPr>
        <w:br w:type="page"/>
      </w:r>
    </w:p>
    <w:p w:rsidR="00E2225A" w:rsidRPr="000052A4" w:rsidRDefault="00E2225A" w:rsidP="00A96EA0">
      <w:pPr>
        <w:pStyle w:val="2"/>
        <w:ind w:left="113"/>
        <w:rPr>
          <w:rtl/>
        </w:rPr>
      </w:pPr>
      <w:r w:rsidRPr="000052A4">
        <w:rPr>
          <w:rFonts w:hint="cs"/>
          <w:rtl/>
        </w:rPr>
        <w:lastRenderedPageBreak/>
        <w:t>הפעילות הריאלית בישראל</w:t>
      </w:r>
    </w:p>
    <w:p w:rsidR="00073E16" w:rsidRDefault="00073E16" w:rsidP="00E60237">
      <w:pPr>
        <w:ind w:left="113"/>
        <w:rPr>
          <w:rtl/>
        </w:rPr>
      </w:pPr>
      <w:r>
        <w:rPr>
          <w:rFonts w:hint="cs"/>
          <w:b/>
          <w:bCs/>
          <w:rtl/>
        </w:rPr>
        <w:t xml:space="preserve">תחזית הצמיחה ל-2019 עומדת על 3.4% והתחזית ל-2020 </w:t>
      </w:r>
      <w:r w:rsidRPr="00064CF4">
        <w:rPr>
          <w:b/>
          <w:bCs/>
          <w:rtl/>
        </w:rPr>
        <w:t>–</w:t>
      </w:r>
      <w:r w:rsidRPr="00064CF4">
        <w:rPr>
          <w:rFonts w:hint="cs"/>
          <w:b/>
          <w:bCs/>
          <w:rtl/>
        </w:rPr>
        <w:t xml:space="preserve"> על 3.</w:t>
      </w:r>
      <w:r>
        <w:rPr>
          <w:rFonts w:hint="cs"/>
          <w:b/>
          <w:bCs/>
          <w:rtl/>
        </w:rPr>
        <w:t>5</w:t>
      </w:r>
      <w:r w:rsidRPr="00064CF4">
        <w:rPr>
          <w:rFonts w:hint="cs"/>
          <w:b/>
          <w:bCs/>
          <w:rtl/>
        </w:rPr>
        <w:t>%</w:t>
      </w:r>
      <w:r w:rsidRPr="00064CF4">
        <w:rPr>
          <w:rFonts w:hint="cs"/>
          <w:rtl/>
        </w:rPr>
        <w:t xml:space="preserve"> (</w:t>
      </w:r>
      <w:r w:rsidRPr="00064CF4">
        <w:rPr>
          <w:rtl/>
        </w:rPr>
        <w:fldChar w:fldCharType="begin"/>
      </w:r>
      <w:r w:rsidRPr="00064CF4">
        <w:rPr>
          <w:rtl/>
        </w:rPr>
        <w:instrText xml:space="preserve"> </w:instrText>
      </w:r>
      <w:r w:rsidRPr="00064CF4">
        <w:rPr>
          <w:rFonts w:hint="cs"/>
        </w:rPr>
        <w:instrText>REF</w:instrText>
      </w:r>
      <w:r w:rsidRPr="00064CF4">
        <w:rPr>
          <w:rFonts w:hint="cs"/>
          <w:rtl/>
        </w:rPr>
        <w:instrText xml:space="preserve"> _</w:instrText>
      </w:r>
      <w:r w:rsidRPr="00064CF4">
        <w:rPr>
          <w:rFonts w:hint="cs"/>
        </w:rPr>
        <w:instrText>Ref503088307 \h</w:instrText>
      </w:r>
      <w:r w:rsidRPr="00064CF4">
        <w:rPr>
          <w:rtl/>
        </w:rPr>
        <w:instrText xml:space="preserve"> </w:instrText>
      </w:r>
      <w:r>
        <w:rPr>
          <w:rtl/>
        </w:rPr>
        <w:instrText xml:space="preserve"> \* </w:instrText>
      </w:r>
      <w:r>
        <w:instrText>MERGEFORMAT</w:instrText>
      </w:r>
      <w:r>
        <w:rPr>
          <w:rtl/>
        </w:rPr>
        <w:instrText xml:space="preserve"> </w:instrText>
      </w:r>
      <w:r w:rsidRPr="00064CF4">
        <w:rPr>
          <w:rtl/>
        </w:rPr>
      </w:r>
      <w:r w:rsidRPr="00064CF4">
        <w:rPr>
          <w:rtl/>
        </w:rPr>
        <w:fldChar w:fldCharType="separate"/>
      </w:r>
      <w:r w:rsidR="00DD3AC6">
        <w:rPr>
          <w:rtl/>
        </w:rPr>
        <w:t xml:space="preserve">לוח </w:t>
      </w:r>
      <w:r w:rsidR="00DD3AC6">
        <w:rPr>
          <w:noProof/>
          <w:rtl/>
        </w:rPr>
        <w:t>1</w:t>
      </w:r>
      <w:r w:rsidRPr="00064CF4">
        <w:rPr>
          <w:rtl/>
        </w:rPr>
        <w:fldChar w:fldCharType="end"/>
      </w:r>
      <w:r w:rsidRPr="00064CF4">
        <w:rPr>
          <w:rFonts w:hint="cs"/>
          <w:rtl/>
        </w:rPr>
        <w:t>)</w:t>
      </w:r>
      <w:r>
        <w:rPr>
          <w:rFonts w:hint="cs"/>
          <w:b/>
          <w:bCs/>
          <w:rtl/>
        </w:rPr>
        <w:t xml:space="preserve">. </w:t>
      </w:r>
      <w:r w:rsidRPr="003D5222">
        <w:rPr>
          <w:rFonts w:ascii="Times New Roman" w:hAnsi="Times New Roman" w:cstheme="majorBidi"/>
          <w:rtl/>
        </w:rPr>
        <w:t xml:space="preserve">נתוני החשבונאות המעודכנים </w:t>
      </w:r>
      <w:r w:rsidR="00566F55">
        <w:rPr>
          <w:rFonts w:ascii="Times New Roman" w:hAnsi="Times New Roman" w:cstheme="majorBidi" w:hint="cs"/>
          <w:rtl/>
        </w:rPr>
        <w:t>מעידים</w:t>
      </w:r>
      <w:r w:rsidRPr="003D5222">
        <w:rPr>
          <w:rFonts w:ascii="Times New Roman" w:hAnsi="Times New Roman" w:cstheme="majorBidi"/>
          <w:rtl/>
        </w:rPr>
        <w:t xml:space="preserve"> </w:t>
      </w:r>
      <w:r w:rsidR="00566F55">
        <w:rPr>
          <w:rFonts w:ascii="Times New Roman" w:hAnsi="Times New Roman" w:cstheme="majorBidi" w:hint="cs"/>
          <w:rtl/>
        </w:rPr>
        <w:t xml:space="preserve">כי </w:t>
      </w:r>
      <w:r w:rsidRPr="003D5222">
        <w:rPr>
          <w:rFonts w:ascii="Times New Roman" w:hAnsi="Times New Roman" w:cstheme="majorBidi"/>
          <w:rtl/>
        </w:rPr>
        <w:t xml:space="preserve">קצב </w:t>
      </w:r>
      <w:r w:rsidR="00566F55">
        <w:rPr>
          <w:rFonts w:ascii="Times New Roman" w:hAnsi="Times New Roman" w:cstheme="majorBidi" w:hint="cs"/>
          <w:rtl/>
        </w:rPr>
        <w:t>ה</w:t>
      </w:r>
      <w:r>
        <w:rPr>
          <w:rFonts w:ascii="Times New Roman" w:hAnsi="Times New Roman" w:cstheme="majorBidi" w:hint="cs"/>
          <w:rtl/>
        </w:rPr>
        <w:t>צמיחה</w:t>
      </w:r>
      <w:r w:rsidRPr="003D5222">
        <w:rPr>
          <w:rFonts w:ascii="Times New Roman" w:hAnsi="Times New Roman" w:cstheme="majorBidi"/>
          <w:rtl/>
        </w:rPr>
        <w:t xml:space="preserve"> </w:t>
      </w:r>
      <w:r w:rsidR="00566F55">
        <w:rPr>
          <w:rFonts w:ascii="Times New Roman" w:hAnsi="Times New Roman" w:cstheme="majorBidi" w:hint="cs"/>
          <w:rtl/>
        </w:rPr>
        <w:t xml:space="preserve">ב-2018 </w:t>
      </w:r>
      <w:r w:rsidRPr="003D5222">
        <w:rPr>
          <w:rFonts w:ascii="Times New Roman" w:hAnsi="Times New Roman" w:cstheme="majorBidi"/>
          <w:rtl/>
        </w:rPr>
        <w:t xml:space="preserve">נמוך </w:t>
      </w:r>
      <w:r>
        <w:rPr>
          <w:rFonts w:ascii="Times New Roman" w:hAnsi="Times New Roman" w:cstheme="majorBidi" w:hint="cs"/>
          <w:rtl/>
        </w:rPr>
        <w:t xml:space="preserve">מזה שהערכנו </w:t>
      </w:r>
      <w:r w:rsidR="00566F55">
        <w:rPr>
          <w:rFonts w:ascii="Times New Roman" w:hAnsi="Times New Roman" w:cstheme="majorBidi" w:hint="cs"/>
          <w:rtl/>
        </w:rPr>
        <w:t>ב</w:t>
      </w:r>
      <w:r>
        <w:rPr>
          <w:rFonts w:ascii="Times New Roman" w:hAnsi="Times New Roman" w:cstheme="majorBidi" w:hint="cs"/>
          <w:rtl/>
        </w:rPr>
        <w:t xml:space="preserve">תחזית הקודמת. </w:t>
      </w:r>
      <w:r w:rsidR="00566F55">
        <w:rPr>
          <w:rFonts w:ascii="Times New Roman" w:hAnsi="Times New Roman" w:cs="David" w:hint="cs"/>
          <w:rtl/>
        </w:rPr>
        <w:t>לכן</w:t>
      </w:r>
      <w:r>
        <w:rPr>
          <w:rFonts w:ascii="Times New Roman" w:hAnsi="Times New Roman" w:cs="David" w:hint="cs"/>
          <w:rtl/>
        </w:rPr>
        <w:t xml:space="preserve"> אנו מעריכים כי</w:t>
      </w:r>
      <w:r w:rsidRPr="00D73CD6">
        <w:rPr>
          <w:rFonts w:ascii="Times New Roman" w:hAnsi="Times New Roman" w:cs="David" w:hint="cs"/>
          <w:rtl/>
        </w:rPr>
        <w:t xml:space="preserve"> </w:t>
      </w:r>
      <w:r>
        <w:rPr>
          <w:rFonts w:ascii="Times New Roman" w:hAnsi="Times New Roman" w:cs="David" w:hint="cs"/>
          <w:rtl/>
        </w:rPr>
        <w:t>עלתה ההסתברות לכך ש</w:t>
      </w:r>
      <w:r w:rsidRPr="00045C4C">
        <w:rPr>
          <w:rFonts w:ascii="Times New Roman" w:hAnsi="Times New Roman" w:cs="David" w:hint="cs"/>
          <w:rtl/>
        </w:rPr>
        <w:t xml:space="preserve">הצמיחה המואצת שאפיינה את המשק בשנים האחרונות הגיעה </w:t>
      </w:r>
      <w:r w:rsidR="00566F55">
        <w:rPr>
          <w:rFonts w:ascii="Times New Roman" w:hAnsi="Times New Roman" w:cs="David" w:hint="cs"/>
          <w:rtl/>
        </w:rPr>
        <w:t>ל</w:t>
      </w:r>
      <w:r w:rsidRPr="00045C4C">
        <w:rPr>
          <w:rFonts w:ascii="Times New Roman" w:hAnsi="Times New Roman" w:cs="David" w:hint="cs"/>
          <w:rtl/>
        </w:rPr>
        <w:t>מיצוי</w:t>
      </w:r>
      <w:r>
        <w:rPr>
          <w:rFonts w:ascii="Times New Roman" w:hAnsi="Times New Roman" w:cs="David" w:hint="cs"/>
          <w:rtl/>
        </w:rPr>
        <w:t xml:space="preserve">, בין השאר על רקע </w:t>
      </w:r>
      <w:r w:rsidRPr="00045C4C">
        <w:rPr>
          <w:rFonts w:ascii="Times New Roman" w:hAnsi="Times New Roman" w:cs="David" w:hint="cs"/>
          <w:rtl/>
        </w:rPr>
        <w:t>מגבלות היצע בשוק העבודה</w:t>
      </w:r>
      <w:r>
        <w:rPr>
          <w:rFonts w:ascii="Times New Roman" w:hAnsi="Times New Roman" w:cs="David" w:hint="cs"/>
          <w:rtl/>
        </w:rPr>
        <w:t xml:space="preserve">. </w:t>
      </w:r>
      <w:r w:rsidR="00DA4630">
        <w:rPr>
          <w:rFonts w:ascii="Times New Roman" w:hAnsi="Times New Roman" w:cs="David" w:hint="cs"/>
          <w:rtl/>
        </w:rPr>
        <w:t>בהתאם לכך אנו מעריכים</w:t>
      </w:r>
      <w:r w:rsidRPr="00C649E0">
        <w:rPr>
          <w:rFonts w:cs="David"/>
          <w:rtl/>
        </w:rPr>
        <w:t xml:space="preserve"> </w:t>
      </w:r>
      <w:r w:rsidR="00DA4630">
        <w:rPr>
          <w:rFonts w:cs="David" w:hint="cs"/>
          <w:rtl/>
        </w:rPr>
        <w:t>שב-2019</w:t>
      </w:r>
      <w:r w:rsidR="00DA4630">
        <w:rPr>
          <w:rFonts w:cs="David"/>
          <w:rtl/>
        </w:rPr>
        <w:t>—</w:t>
      </w:r>
      <w:r w:rsidR="00DA4630">
        <w:rPr>
          <w:rFonts w:cs="David" w:hint="cs"/>
          <w:rtl/>
        </w:rPr>
        <w:t xml:space="preserve">2020 יצמח המשק </w:t>
      </w:r>
      <w:r>
        <w:rPr>
          <w:rFonts w:cs="David" w:hint="cs"/>
          <w:rtl/>
        </w:rPr>
        <w:t>בקצב קרוב לקצב ארוך הטווח</w:t>
      </w:r>
      <w:r w:rsidR="00DA4630">
        <w:rPr>
          <w:rFonts w:cs="David" w:hint="cs"/>
          <w:rtl/>
        </w:rPr>
        <w:t xml:space="preserve"> </w:t>
      </w:r>
      <w:r>
        <w:rPr>
          <w:rFonts w:cs="David" w:hint="cs"/>
          <w:rtl/>
        </w:rPr>
        <w:t>(כ-3%)</w:t>
      </w:r>
      <w:r w:rsidR="00DA4630">
        <w:rPr>
          <w:rFonts w:cs="David" w:hint="cs"/>
          <w:rtl/>
        </w:rPr>
        <w:t>,</w:t>
      </w:r>
      <w:r w:rsidRPr="00C649E0">
        <w:rPr>
          <w:rFonts w:cs="David"/>
          <w:rtl/>
        </w:rPr>
        <w:t xml:space="preserve"> </w:t>
      </w:r>
      <w:r w:rsidR="000A01E0">
        <w:rPr>
          <w:rFonts w:cs="David" w:hint="cs"/>
          <w:rtl/>
        </w:rPr>
        <w:t xml:space="preserve">ולכך יתווספו </w:t>
      </w:r>
      <w:r w:rsidRPr="00A5331B">
        <w:rPr>
          <w:rFonts w:cs="David" w:hint="eastAsia"/>
          <w:rtl/>
        </w:rPr>
        <w:t>השפעות</w:t>
      </w:r>
      <w:r w:rsidRPr="00A5331B">
        <w:rPr>
          <w:rFonts w:cs="David"/>
          <w:rtl/>
        </w:rPr>
        <w:t xml:space="preserve"> </w:t>
      </w:r>
      <w:r w:rsidRPr="00A5331B">
        <w:rPr>
          <w:rFonts w:cs="David" w:hint="eastAsia"/>
          <w:rtl/>
        </w:rPr>
        <w:t>משמעותיות</w:t>
      </w:r>
      <w:r w:rsidRPr="00A5331B">
        <w:rPr>
          <w:rFonts w:cs="David"/>
          <w:rtl/>
        </w:rPr>
        <w:t xml:space="preserve"> </w:t>
      </w:r>
      <w:r w:rsidRPr="00A5331B">
        <w:rPr>
          <w:rFonts w:cs="David" w:hint="eastAsia"/>
          <w:rtl/>
        </w:rPr>
        <w:t>של</w:t>
      </w:r>
      <w:r w:rsidRPr="00A5331B">
        <w:rPr>
          <w:rFonts w:cs="David"/>
          <w:rtl/>
        </w:rPr>
        <w:t xml:space="preserve"> </w:t>
      </w:r>
      <w:r w:rsidR="000A01E0">
        <w:rPr>
          <w:rFonts w:cs="David" w:hint="cs"/>
          <w:rtl/>
        </w:rPr>
        <w:t>ה</w:t>
      </w:r>
      <w:r w:rsidRPr="00A5331B">
        <w:rPr>
          <w:rFonts w:cs="David" w:hint="eastAsia"/>
          <w:rtl/>
        </w:rPr>
        <w:t>פעילות</w:t>
      </w:r>
      <w:r w:rsidRPr="00A5331B">
        <w:rPr>
          <w:rFonts w:cs="David"/>
          <w:rtl/>
        </w:rPr>
        <w:t xml:space="preserve"> </w:t>
      </w:r>
      <w:r w:rsidR="000A01E0">
        <w:rPr>
          <w:rFonts w:cs="David" w:hint="cs"/>
          <w:rtl/>
        </w:rPr>
        <w:t>ה</w:t>
      </w:r>
      <w:r w:rsidRPr="00A5331B">
        <w:rPr>
          <w:rFonts w:cs="David" w:hint="eastAsia"/>
          <w:rtl/>
        </w:rPr>
        <w:t>צפויה</w:t>
      </w:r>
      <w:r w:rsidRPr="00A5331B">
        <w:rPr>
          <w:rFonts w:cs="David"/>
          <w:rtl/>
        </w:rPr>
        <w:t xml:space="preserve"> </w:t>
      </w:r>
      <w:r w:rsidR="00AE7DEE">
        <w:rPr>
          <w:rFonts w:cs="David" w:hint="cs"/>
          <w:rtl/>
        </w:rPr>
        <w:t xml:space="preserve">בשנים אלה </w:t>
      </w:r>
      <w:r w:rsidR="000A01E0">
        <w:rPr>
          <w:rFonts w:cs="David" w:hint="cs"/>
          <w:rtl/>
        </w:rPr>
        <w:t>בכמה</w:t>
      </w:r>
      <w:r w:rsidRPr="00A5331B">
        <w:rPr>
          <w:rFonts w:cs="David"/>
          <w:rtl/>
        </w:rPr>
        <w:t xml:space="preserve"> </w:t>
      </w:r>
      <w:r w:rsidRPr="00A5331B">
        <w:rPr>
          <w:rFonts w:cs="David" w:hint="eastAsia"/>
          <w:rtl/>
        </w:rPr>
        <w:t>חברות</w:t>
      </w:r>
      <w:r w:rsidRPr="00A5331B">
        <w:rPr>
          <w:rFonts w:cs="David"/>
          <w:rtl/>
        </w:rPr>
        <w:t xml:space="preserve"> </w:t>
      </w:r>
      <w:r w:rsidRPr="00A5331B">
        <w:rPr>
          <w:rFonts w:cs="David" w:hint="eastAsia"/>
          <w:rtl/>
        </w:rPr>
        <w:t>גדולות</w:t>
      </w:r>
      <w:r w:rsidRPr="000A01E0">
        <w:rPr>
          <w:rFonts w:cs="David"/>
          <w:rtl/>
        </w:rPr>
        <w:t>.</w:t>
      </w:r>
      <w:r w:rsidRPr="000A01E0">
        <w:rPr>
          <w:rFonts w:cs="David" w:hint="cs"/>
          <w:rtl/>
        </w:rPr>
        <w:t xml:space="preserve"> התחזית ל-2019</w:t>
      </w:r>
      <w:r>
        <w:rPr>
          <w:rFonts w:cs="David" w:hint="cs"/>
          <w:rtl/>
        </w:rPr>
        <w:t xml:space="preserve"> נמוכה מעט בהשוואה לתחזית הקודמת, בהשפעת האט</w:t>
      </w:r>
      <w:r w:rsidR="00E60237">
        <w:rPr>
          <w:rFonts w:cs="David" w:hint="cs"/>
          <w:rtl/>
        </w:rPr>
        <w:t>ת</w:t>
      </w:r>
      <w:r>
        <w:rPr>
          <w:rFonts w:cs="David" w:hint="cs"/>
          <w:rtl/>
        </w:rPr>
        <w:t xml:space="preserve"> </w:t>
      </w:r>
      <w:r w:rsidR="00E60237">
        <w:rPr>
          <w:rFonts w:cs="David" w:hint="cs"/>
          <w:rtl/>
        </w:rPr>
        <w:t>ה</w:t>
      </w:r>
      <w:r w:rsidR="003E55F1">
        <w:rPr>
          <w:rFonts w:cs="David" w:hint="cs"/>
          <w:rtl/>
        </w:rPr>
        <w:t xml:space="preserve">פעילות </w:t>
      </w:r>
      <w:r w:rsidR="00E60237">
        <w:rPr>
          <w:rFonts w:cs="David" w:hint="cs"/>
          <w:rtl/>
        </w:rPr>
        <w:t>ה</w:t>
      </w:r>
      <w:r w:rsidR="003E55F1">
        <w:rPr>
          <w:rFonts w:cs="David" w:hint="cs"/>
          <w:rtl/>
        </w:rPr>
        <w:t>משתקפת ב</w:t>
      </w:r>
      <w:r>
        <w:rPr>
          <w:rFonts w:cs="David" w:hint="cs"/>
          <w:rtl/>
        </w:rPr>
        <w:t>נתוני החשבונאות הלאומית.</w:t>
      </w:r>
    </w:p>
    <w:p w:rsidR="00073E16" w:rsidRDefault="00073E16" w:rsidP="005043A6">
      <w:pPr>
        <w:ind w:left="113"/>
        <w:rPr>
          <w:b/>
          <w:bCs/>
          <w:rtl/>
        </w:rPr>
      </w:pPr>
      <w:r>
        <w:rPr>
          <w:rFonts w:hint="cs"/>
          <w:rtl/>
        </w:rPr>
        <w:t xml:space="preserve">באשר לשימושים: </w:t>
      </w:r>
      <w:r w:rsidRPr="00380986">
        <w:rPr>
          <w:rFonts w:hint="cs"/>
          <w:rtl/>
        </w:rPr>
        <w:t>הצריכה הפרטית</w:t>
      </w:r>
      <w:r>
        <w:rPr>
          <w:rFonts w:hint="cs"/>
          <w:rtl/>
        </w:rPr>
        <w:t xml:space="preserve"> </w:t>
      </w:r>
      <w:r w:rsidR="00DA4630">
        <w:rPr>
          <w:rFonts w:hint="cs"/>
          <w:rtl/>
        </w:rPr>
        <w:t>צפויה לצמוח</w:t>
      </w:r>
      <w:r w:rsidR="00D9280C">
        <w:rPr>
          <w:rFonts w:hint="cs"/>
          <w:rtl/>
        </w:rPr>
        <w:t xml:space="preserve"> ב-2019</w:t>
      </w:r>
      <w:r w:rsidR="00DA4630">
        <w:rPr>
          <w:rFonts w:hint="cs"/>
          <w:rtl/>
        </w:rPr>
        <w:t xml:space="preserve"> בקצב </w:t>
      </w:r>
      <w:r w:rsidR="008B1C63">
        <w:rPr>
          <w:rFonts w:hint="cs"/>
          <w:rtl/>
        </w:rPr>
        <w:t>נמוך מהערכתנו הקודמת</w:t>
      </w:r>
      <w:r>
        <w:rPr>
          <w:rFonts w:hint="cs"/>
          <w:rtl/>
        </w:rPr>
        <w:t xml:space="preserve">. </w:t>
      </w:r>
      <w:r w:rsidRPr="00380986">
        <w:rPr>
          <w:rFonts w:hint="cs"/>
          <w:rtl/>
        </w:rPr>
        <w:t>ההשקעה בנכסים קבועים</w:t>
      </w:r>
      <w:r>
        <w:rPr>
          <w:rFonts w:hint="cs"/>
          <w:rtl/>
        </w:rPr>
        <w:t xml:space="preserve"> צפויה לצמוח </w:t>
      </w:r>
      <w:r w:rsidR="00A174AF">
        <w:rPr>
          <w:rFonts w:hint="cs"/>
          <w:rtl/>
        </w:rPr>
        <w:t>ב-</w:t>
      </w:r>
      <w:r>
        <w:rPr>
          <w:rFonts w:hint="cs"/>
          <w:rtl/>
        </w:rPr>
        <w:t xml:space="preserve">3.0% ב-2019, אך ב-2020 היא צפויה להתכווץ ב-2% כתוצאה ממיצוי </w:t>
      </w:r>
      <w:r w:rsidR="00A174AF">
        <w:rPr>
          <w:rFonts w:hint="cs"/>
          <w:rtl/>
        </w:rPr>
        <w:t>כמה</w:t>
      </w:r>
      <w:r>
        <w:rPr>
          <w:rFonts w:hint="cs"/>
          <w:rtl/>
        </w:rPr>
        <w:t xml:space="preserve"> השקעות גדולות במשק</w:t>
      </w:r>
      <w:r w:rsidRPr="00982B58">
        <w:rPr>
          <w:rFonts w:hint="cs"/>
          <w:vanish/>
          <w:rtl/>
        </w:rPr>
        <w:t>(</w:t>
      </w:r>
      <w:r w:rsidRPr="00982B58">
        <w:rPr>
          <w:vanish/>
          <w:rtl/>
        </w:rPr>
        <w:t xml:space="preserve">בלי אלה הגידול בהשקעה הוא </w:t>
      </w:r>
      <w:r w:rsidRPr="00982B58">
        <w:rPr>
          <w:vanish/>
          <w:highlight w:val="yellow"/>
          <w:rtl/>
        </w:rPr>
        <w:t>3.6%</w:t>
      </w:r>
      <w:r w:rsidRPr="00982B58">
        <w:rPr>
          <w:rFonts w:hint="cs"/>
          <w:vanish/>
          <w:rtl/>
        </w:rPr>
        <w:t>)</w:t>
      </w:r>
      <w:r w:rsidRPr="00982B58">
        <w:rPr>
          <w:rtl/>
        </w:rPr>
        <w:t>.</w:t>
      </w:r>
      <w:r w:rsidRPr="00982B58">
        <w:rPr>
          <w:rFonts w:hint="cs"/>
          <w:rtl/>
        </w:rPr>
        <w:t xml:space="preserve"> </w:t>
      </w:r>
      <w:r>
        <w:rPr>
          <w:rFonts w:hint="cs"/>
          <w:rtl/>
        </w:rPr>
        <w:t>הבשל</w:t>
      </w:r>
      <w:r w:rsidR="00A174AF">
        <w:rPr>
          <w:rFonts w:hint="cs"/>
          <w:rtl/>
        </w:rPr>
        <w:t>ת</w:t>
      </w:r>
      <w:r>
        <w:rPr>
          <w:rFonts w:hint="cs"/>
          <w:rtl/>
        </w:rPr>
        <w:t xml:space="preserve"> </w:t>
      </w:r>
      <w:r w:rsidR="00A174AF">
        <w:rPr>
          <w:rFonts w:hint="cs"/>
          <w:rtl/>
        </w:rPr>
        <w:t>ה</w:t>
      </w:r>
      <w:r>
        <w:rPr>
          <w:rFonts w:hint="cs"/>
          <w:rtl/>
        </w:rPr>
        <w:t xml:space="preserve">השקעות </w:t>
      </w:r>
      <w:r w:rsidR="00A174AF">
        <w:rPr>
          <w:rFonts w:hint="cs"/>
          <w:rtl/>
        </w:rPr>
        <w:t xml:space="preserve">האלה </w:t>
      </w:r>
      <w:r>
        <w:rPr>
          <w:rFonts w:hint="cs"/>
          <w:rtl/>
        </w:rPr>
        <w:t xml:space="preserve">צפויה לתרום ליצוא ועל כן </w:t>
      </w:r>
      <w:r w:rsidRPr="00380986">
        <w:rPr>
          <w:rFonts w:hint="cs"/>
          <w:rtl/>
        </w:rPr>
        <w:t>ה</w:t>
      </w:r>
      <w:r>
        <w:rPr>
          <w:rFonts w:hint="cs"/>
          <w:rtl/>
        </w:rPr>
        <w:t>ו</w:t>
      </w:r>
      <w:r w:rsidRPr="00380986">
        <w:rPr>
          <w:rFonts w:hint="cs"/>
          <w:rtl/>
        </w:rPr>
        <w:t>א</w:t>
      </w:r>
      <w:r w:rsidRPr="00193E07">
        <w:rPr>
          <w:rFonts w:hint="cs"/>
          <w:b/>
          <w:bCs/>
          <w:rtl/>
        </w:rPr>
        <w:t xml:space="preserve"> </w:t>
      </w:r>
      <w:r w:rsidRPr="00193E07">
        <w:rPr>
          <w:rFonts w:hint="cs"/>
          <w:rtl/>
        </w:rPr>
        <w:t>צפוי לצמוח</w:t>
      </w:r>
      <w:r>
        <w:rPr>
          <w:rFonts w:hint="cs"/>
          <w:rtl/>
        </w:rPr>
        <w:t xml:space="preserve"> מעט יותר מהסחר העולמי </w:t>
      </w:r>
      <w:r w:rsidR="00A174AF">
        <w:rPr>
          <w:rFonts w:hint="cs"/>
          <w:rtl/>
        </w:rPr>
        <w:t>ב-</w:t>
      </w:r>
      <w:r>
        <w:rPr>
          <w:rFonts w:hint="cs"/>
          <w:rtl/>
        </w:rPr>
        <w:t>2019 ו</w:t>
      </w:r>
      <w:r w:rsidR="00A174AF">
        <w:rPr>
          <w:rFonts w:hint="cs"/>
          <w:rtl/>
        </w:rPr>
        <w:t>ב</w:t>
      </w:r>
      <w:r>
        <w:rPr>
          <w:rFonts w:hint="cs"/>
          <w:rtl/>
        </w:rPr>
        <w:t xml:space="preserve">-2020. </w:t>
      </w:r>
    </w:p>
    <w:p w:rsidR="00257C94" w:rsidRDefault="0038383C" w:rsidP="00A96EA0">
      <w:pPr>
        <w:pStyle w:val="af6"/>
        <w:ind w:left="113"/>
        <w:rPr>
          <w:rtl/>
        </w:rPr>
      </w:pPr>
      <w:bookmarkStart w:id="1" w:name="_Ref503088307"/>
      <w:r>
        <w:rPr>
          <w:rtl/>
        </w:rPr>
        <w:t xml:space="preserve">לוח </w:t>
      </w:r>
      <w:r>
        <w:rPr>
          <w:rtl/>
        </w:rPr>
        <w:fldChar w:fldCharType="begin"/>
      </w:r>
      <w:r>
        <w:rPr>
          <w:rtl/>
        </w:rPr>
        <w:instrText xml:space="preserve"> </w:instrText>
      </w:r>
      <w:r>
        <w:rPr>
          <w:rFonts w:hint="cs"/>
        </w:rPr>
        <w:instrText>SEQ</w:instrText>
      </w:r>
      <w:r>
        <w:rPr>
          <w:rFonts w:hint="cs"/>
          <w:rtl/>
        </w:rPr>
        <w:instrText xml:space="preserve"> לוח \* </w:instrText>
      </w:r>
      <w:r>
        <w:rPr>
          <w:rFonts w:hint="cs"/>
        </w:rPr>
        <w:instrText>ARABIC</w:instrText>
      </w:r>
      <w:r>
        <w:rPr>
          <w:rtl/>
        </w:rPr>
        <w:instrText xml:space="preserve"> </w:instrText>
      </w:r>
      <w:r>
        <w:rPr>
          <w:rtl/>
        </w:rPr>
        <w:fldChar w:fldCharType="separate"/>
      </w:r>
      <w:r w:rsidR="00DD3AC6">
        <w:rPr>
          <w:noProof/>
          <w:rtl/>
        </w:rPr>
        <w:t>1</w:t>
      </w:r>
      <w:r>
        <w:rPr>
          <w:rtl/>
        </w:rPr>
        <w:fldChar w:fldCharType="end"/>
      </w:r>
      <w:bookmarkEnd w:id="1"/>
    </w:p>
    <w:p w:rsidR="0038383C" w:rsidRPr="000052A4" w:rsidRDefault="0038383C" w:rsidP="00073E16">
      <w:pPr>
        <w:pStyle w:val="af6"/>
        <w:ind w:left="113"/>
        <w:rPr>
          <w:rtl/>
        </w:rPr>
      </w:pPr>
      <w:r w:rsidRPr="000052A4">
        <w:rPr>
          <w:rFonts w:hint="cs"/>
          <w:rtl/>
        </w:rPr>
        <w:t xml:space="preserve">תחזית חטיבת </w:t>
      </w:r>
      <w:r w:rsidRPr="00F31990">
        <w:rPr>
          <w:rFonts w:hint="cs"/>
          <w:rtl/>
        </w:rPr>
        <w:t>המחקר</w:t>
      </w:r>
      <w:r w:rsidRPr="000052A4">
        <w:rPr>
          <w:rFonts w:hint="cs"/>
          <w:rtl/>
        </w:rPr>
        <w:t xml:space="preserve"> </w:t>
      </w:r>
      <w:r w:rsidR="00837BE0">
        <w:rPr>
          <w:rFonts w:hint="cs"/>
          <w:rtl/>
        </w:rPr>
        <w:t>ל-201</w:t>
      </w:r>
      <w:r w:rsidR="00073E16">
        <w:rPr>
          <w:rFonts w:hint="cs"/>
          <w:rtl/>
        </w:rPr>
        <w:t>9</w:t>
      </w:r>
      <w:r w:rsidR="00837BE0">
        <w:rPr>
          <w:rtl/>
        </w:rPr>
        <w:t>—</w:t>
      </w:r>
      <w:r w:rsidR="00837BE0">
        <w:rPr>
          <w:rFonts w:hint="cs"/>
          <w:rtl/>
        </w:rPr>
        <w:t>20</w:t>
      </w:r>
      <w:r w:rsidR="00073E16">
        <w:rPr>
          <w:rFonts w:hint="cs"/>
          <w:rtl/>
        </w:rPr>
        <w:t>20</w:t>
      </w:r>
    </w:p>
    <w:p w:rsidR="00B3062F" w:rsidRDefault="00B3062F" w:rsidP="00A96EA0">
      <w:pPr>
        <w:pStyle w:val="af6"/>
        <w:ind w:left="113"/>
        <w:rPr>
          <w:b w:val="0"/>
          <w:bCs w:val="0"/>
          <w:rtl/>
        </w:rPr>
      </w:pPr>
      <w:r w:rsidRPr="00F31990">
        <w:rPr>
          <w:rFonts w:hint="cs"/>
          <w:b w:val="0"/>
          <w:bCs w:val="0"/>
          <w:rtl/>
        </w:rPr>
        <w:t>(שיעורי השינוי באחוזים, אלא אם צוין אחרת)</w:t>
      </w:r>
    </w:p>
    <w:tbl>
      <w:tblPr>
        <w:bidiVisual/>
        <w:tblW w:w="7815" w:type="dxa"/>
        <w:jc w:val="center"/>
        <w:tblLook w:val="04A0" w:firstRow="1" w:lastRow="0" w:firstColumn="1" w:lastColumn="0" w:noHBand="0" w:noVBand="1"/>
      </w:tblPr>
      <w:tblGrid>
        <w:gridCol w:w="3855"/>
        <w:gridCol w:w="907"/>
        <w:gridCol w:w="975"/>
        <w:gridCol w:w="1103"/>
        <w:gridCol w:w="975"/>
      </w:tblGrid>
      <w:tr w:rsidR="00073E16" w:rsidRPr="000F3133" w:rsidTr="00073E16">
        <w:trPr>
          <w:trHeight w:val="630"/>
          <w:jc w:val="center"/>
        </w:trPr>
        <w:tc>
          <w:tcPr>
            <w:tcW w:w="3855" w:type="dxa"/>
            <w:tcBorders>
              <w:bottom w:val="single" w:sz="4" w:space="0" w:color="auto"/>
              <w:right w:val="single" w:sz="4" w:space="0" w:color="auto"/>
            </w:tcBorders>
            <w:shd w:val="clear" w:color="auto" w:fill="auto"/>
            <w:noWrap/>
            <w:vAlign w:val="bottom"/>
            <w:hideMark/>
          </w:tcPr>
          <w:p w:rsidR="00073E16" w:rsidRPr="000F3133" w:rsidRDefault="00073E16" w:rsidP="00934692">
            <w:pPr>
              <w:pStyle w:val="Tablenc"/>
              <w:rPr>
                <w:rFonts w:ascii="Times New Roman" w:hAnsi="Times New Roman"/>
              </w:rPr>
            </w:pPr>
            <w:r w:rsidRPr="000F3133">
              <w:t> </w:t>
            </w:r>
          </w:p>
        </w:tc>
        <w:tc>
          <w:tcPr>
            <w:tcW w:w="90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073E16" w:rsidRPr="00512280" w:rsidRDefault="00512280" w:rsidP="00D61050">
            <w:pPr>
              <w:pStyle w:val="Tablenc"/>
              <w:ind w:left="0" w:right="-132"/>
              <w:jc w:val="center"/>
              <w:rPr>
                <w:rFonts w:ascii="Times New Roman" w:hAnsi="Times New Roman"/>
                <w:sz w:val="22"/>
                <w:szCs w:val="22"/>
              </w:rPr>
            </w:pPr>
            <w:r w:rsidRPr="00BD618C">
              <w:rPr>
                <w:rFonts w:hint="cs"/>
                <w:sz w:val="22"/>
                <w:szCs w:val="22"/>
                <w:vertAlign w:val="superscript"/>
                <w:rtl/>
              </w:rPr>
              <w:t>1</w:t>
            </w:r>
            <w:r>
              <w:rPr>
                <w:sz w:val="22"/>
                <w:szCs w:val="22"/>
              </w:rPr>
              <w:t>2</w:t>
            </w:r>
            <w:r w:rsidR="00073E16" w:rsidRPr="00F314BA">
              <w:rPr>
                <w:sz w:val="22"/>
                <w:szCs w:val="22"/>
              </w:rPr>
              <w:t>01</w:t>
            </w:r>
            <w:r>
              <w:rPr>
                <w:sz w:val="22"/>
                <w:szCs w:val="22"/>
              </w:rPr>
              <w:t>8</w:t>
            </w:r>
          </w:p>
        </w:tc>
        <w:tc>
          <w:tcPr>
            <w:tcW w:w="975" w:type="dxa"/>
            <w:tcBorders>
              <w:left w:val="single" w:sz="4" w:space="0" w:color="auto"/>
              <w:bottom w:val="single" w:sz="4" w:space="0" w:color="auto"/>
            </w:tcBorders>
            <w:shd w:val="clear" w:color="auto" w:fill="auto"/>
            <w:noWrap/>
            <w:vAlign w:val="center"/>
            <w:hideMark/>
          </w:tcPr>
          <w:p w:rsidR="00073E16" w:rsidRPr="00F314BA" w:rsidRDefault="00073E16" w:rsidP="00934692">
            <w:pPr>
              <w:pStyle w:val="Tablenc"/>
              <w:tabs>
                <w:tab w:val="left" w:pos="715"/>
              </w:tabs>
              <w:ind w:left="52"/>
              <w:jc w:val="center"/>
              <w:rPr>
                <w:sz w:val="22"/>
                <w:szCs w:val="22"/>
                <w:rtl/>
              </w:rPr>
            </w:pPr>
            <w:r w:rsidRPr="00F314BA">
              <w:rPr>
                <w:rFonts w:hint="cs"/>
                <w:sz w:val="22"/>
                <w:szCs w:val="22"/>
                <w:rtl/>
              </w:rPr>
              <w:t>התחזית ל-201</w:t>
            </w:r>
            <w:r>
              <w:rPr>
                <w:rFonts w:hint="cs"/>
                <w:sz w:val="22"/>
                <w:szCs w:val="22"/>
                <w:rtl/>
              </w:rPr>
              <w:t>9</w:t>
            </w:r>
          </w:p>
        </w:tc>
        <w:tc>
          <w:tcPr>
            <w:tcW w:w="1103" w:type="dxa"/>
            <w:tcBorders>
              <w:bottom w:val="single" w:sz="4" w:space="0" w:color="auto"/>
              <w:right w:val="single" w:sz="4" w:space="0" w:color="auto"/>
            </w:tcBorders>
            <w:shd w:val="clear" w:color="auto" w:fill="auto"/>
            <w:vAlign w:val="center"/>
            <w:hideMark/>
          </w:tcPr>
          <w:p w:rsidR="00073E16" w:rsidRPr="00F314BA" w:rsidRDefault="00073E16" w:rsidP="00934692">
            <w:pPr>
              <w:pStyle w:val="Tablenc"/>
              <w:ind w:left="0"/>
              <w:jc w:val="center"/>
              <w:rPr>
                <w:color w:val="4F81BD" w:themeColor="accent1"/>
                <w:sz w:val="22"/>
                <w:szCs w:val="22"/>
              </w:rPr>
            </w:pPr>
            <w:r>
              <w:rPr>
                <w:rFonts w:hint="cs"/>
                <w:color w:val="4F81BD" w:themeColor="accent1"/>
                <w:sz w:val="22"/>
                <w:szCs w:val="22"/>
                <w:rtl/>
              </w:rPr>
              <w:t>ה</w:t>
            </w:r>
            <w:r w:rsidRPr="00F314BA">
              <w:rPr>
                <w:color w:val="4F81BD" w:themeColor="accent1"/>
                <w:sz w:val="22"/>
                <w:szCs w:val="22"/>
                <w:rtl/>
              </w:rPr>
              <w:t>שינוי מ</w:t>
            </w:r>
            <w:r>
              <w:rPr>
                <w:rFonts w:hint="cs"/>
                <w:color w:val="4F81BD" w:themeColor="accent1"/>
                <w:sz w:val="22"/>
                <w:szCs w:val="22"/>
                <w:rtl/>
              </w:rPr>
              <w:t>ה</w:t>
            </w:r>
            <w:r w:rsidRPr="00F314BA">
              <w:rPr>
                <w:color w:val="4F81BD" w:themeColor="accent1"/>
                <w:sz w:val="22"/>
                <w:szCs w:val="22"/>
                <w:rtl/>
              </w:rPr>
              <w:t xml:space="preserve">תחזית </w:t>
            </w:r>
            <w:r>
              <w:rPr>
                <w:rFonts w:hint="cs"/>
                <w:color w:val="4F81BD" w:themeColor="accent1"/>
                <w:sz w:val="22"/>
                <w:szCs w:val="22"/>
                <w:rtl/>
              </w:rPr>
              <w:t>ה</w:t>
            </w:r>
            <w:r w:rsidRPr="00F314BA">
              <w:rPr>
                <w:color w:val="4F81BD" w:themeColor="accent1"/>
                <w:sz w:val="22"/>
                <w:szCs w:val="22"/>
                <w:rtl/>
              </w:rPr>
              <w:t>קודמת</w:t>
            </w:r>
          </w:p>
        </w:tc>
        <w:tc>
          <w:tcPr>
            <w:tcW w:w="975" w:type="dxa"/>
            <w:tcBorders>
              <w:left w:val="single" w:sz="4" w:space="0" w:color="auto"/>
              <w:bottom w:val="single" w:sz="4" w:space="0" w:color="auto"/>
            </w:tcBorders>
            <w:shd w:val="clear" w:color="auto" w:fill="auto"/>
            <w:noWrap/>
            <w:vAlign w:val="center"/>
            <w:hideMark/>
          </w:tcPr>
          <w:p w:rsidR="00073E16" w:rsidRPr="00F314BA" w:rsidRDefault="00073E16" w:rsidP="00934692">
            <w:pPr>
              <w:pStyle w:val="Tablenc"/>
              <w:ind w:left="0" w:right="-61"/>
              <w:jc w:val="center"/>
              <w:rPr>
                <w:sz w:val="22"/>
                <w:szCs w:val="22"/>
                <w:rtl/>
              </w:rPr>
            </w:pPr>
            <w:r>
              <w:rPr>
                <w:rFonts w:hint="cs"/>
                <w:sz w:val="22"/>
                <w:szCs w:val="22"/>
                <w:rtl/>
              </w:rPr>
              <w:t>התחזית ל-2020</w:t>
            </w:r>
          </w:p>
        </w:tc>
      </w:tr>
      <w:tr w:rsidR="00512280" w:rsidRPr="000F3133" w:rsidTr="00073E16">
        <w:trPr>
          <w:trHeight w:val="300"/>
          <w:jc w:val="center"/>
        </w:trPr>
        <w:tc>
          <w:tcPr>
            <w:tcW w:w="3855" w:type="dxa"/>
            <w:tcBorders>
              <w:top w:val="single" w:sz="4" w:space="0" w:color="auto"/>
              <w:right w:val="single" w:sz="4" w:space="0" w:color="auto"/>
            </w:tcBorders>
            <w:shd w:val="clear" w:color="auto" w:fill="auto"/>
            <w:vAlign w:val="center"/>
            <w:hideMark/>
          </w:tcPr>
          <w:p w:rsidR="00512280" w:rsidRPr="00F314BA" w:rsidRDefault="00512280" w:rsidP="00934692">
            <w:pPr>
              <w:pStyle w:val="Tablenc"/>
              <w:jc w:val="left"/>
              <w:rPr>
                <w:sz w:val="22"/>
                <w:szCs w:val="22"/>
                <w:rtl/>
              </w:rPr>
            </w:pPr>
            <w:proofErr w:type="spellStart"/>
            <w:r w:rsidRPr="00F314BA">
              <w:rPr>
                <w:rFonts w:hint="cs"/>
                <w:sz w:val="22"/>
                <w:szCs w:val="22"/>
                <w:rtl/>
              </w:rPr>
              <w:t>התמ"ג</w:t>
            </w:r>
            <w:proofErr w:type="spellEnd"/>
          </w:p>
        </w:tc>
        <w:tc>
          <w:tcPr>
            <w:tcW w:w="907" w:type="dxa"/>
            <w:tcBorders>
              <w:top w:val="single" w:sz="4" w:space="0" w:color="auto"/>
              <w:left w:val="single" w:sz="4" w:space="0" w:color="auto"/>
              <w:right w:val="single" w:sz="4" w:space="0" w:color="auto"/>
            </w:tcBorders>
            <w:shd w:val="clear" w:color="auto" w:fill="D9D9D9" w:themeFill="background1" w:themeFillShade="D9"/>
            <w:noWrap/>
            <w:vAlign w:val="center"/>
            <w:hideMark/>
          </w:tcPr>
          <w:p w:rsidR="00512280" w:rsidRPr="00512280" w:rsidRDefault="00934692" w:rsidP="00D61050">
            <w:pPr>
              <w:pStyle w:val="Tablenc"/>
              <w:ind w:left="0" w:right="-132"/>
              <w:jc w:val="center"/>
              <w:rPr>
                <w:rFonts w:ascii="Times New Roman" w:hAnsi="Times New Roman"/>
                <w:sz w:val="22"/>
                <w:szCs w:val="22"/>
              </w:rPr>
            </w:pPr>
            <w:r>
              <w:rPr>
                <w:rFonts w:hint="cs"/>
                <w:sz w:val="22"/>
                <w:szCs w:val="22"/>
                <w:rtl/>
              </w:rPr>
              <w:t>3.2</w:t>
            </w:r>
          </w:p>
        </w:tc>
        <w:tc>
          <w:tcPr>
            <w:tcW w:w="975" w:type="dxa"/>
            <w:tcBorders>
              <w:top w:val="single" w:sz="4" w:space="0" w:color="auto"/>
              <w:left w:val="single" w:sz="4" w:space="0" w:color="auto"/>
            </w:tcBorders>
            <w:shd w:val="clear" w:color="auto" w:fill="auto"/>
            <w:noWrap/>
            <w:vAlign w:val="center"/>
            <w:hideMark/>
          </w:tcPr>
          <w:p w:rsidR="00512280" w:rsidRPr="00934692" w:rsidRDefault="00934692" w:rsidP="00934692">
            <w:pPr>
              <w:pStyle w:val="Tablenc"/>
              <w:tabs>
                <w:tab w:val="left" w:pos="619"/>
                <w:tab w:val="left" w:pos="715"/>
              </w:tabs>
              <w:ind w:left="52" w:right="-113"/>
              <w:jc w:val="center"/>
              <w:rPr>
                <w:rFonts w:ascii="Times New Roman" w:hAnsi="Times New Roman"/>
                <w:sz w:val="22"/>
                <w:szCs w:val="22"/>
              </w:rPr>
            </w:pPr>
            <w:r>
              <w:rPr>
                <w:sz w:val="22"/>
                <w:szCs w:val="22"/>
              </w:rPr>
              <w:t>3.4</w:t>
            </w:r>
          </w:p>
        </w:tc>
        <w:tc>
          <w:tcPr>
            <w:tcW w:w="1103" w:type="dxa"/>
            <w:tcBorders>
              <w:top w:val="single" w:sz="4" w:space="0" w:color="auto"/>
              <w:right w:val="single" w:sz="4" w:space="0" w:color="auto"/>
            </w:tcBorders>
            <w:shd w:val="clear" w:color="auto" w:fill="auto"/>
            <w:noWrap/>
            <w:vAlign w:val="center"/>
            <w:hideMark/>
          </w:tcPr>
          <w:p w:rsidR="00512280" w:rsidRPr="00934692" w:rsidRDefault="00512280" w:rsidP="00934692">
            <w:pPr>
              <w:pStyle w:val="Tablenc"/>
              <w:ind w:left="0"/>
              <w:jc w:val="center"/>
              <w:rPr>
                <w:rFonts w:ascii="Times New Roman" w:hAnsi="Times New Roman" w:cstheme="majorHAnsi"/>
                <w:color w:val="4F81BD" w:themeColor="accent1"/>
                <w:sz w:val="22"/>
                <w:szCs w:val="22"/>
                <w:rtl/>
              </w:rPr>
            </w:pPr>
            <w:r w:rsidRPr="00934692">
              <w:rPr>
                <w:rFonts w:ascii="Times New Roman" w:hAnsi="Times New Roman" w:cstheme="majorHAnsi" w:hint="cs"/>
                <w:color w:val="4F81BD" w:themeColor="accent1"/>
                <w:sz w:val="22"/>
                <w:szCs w:val="22"/>
                <w:rtl/>
              </w:rPr>
              <w:t>0.2-</w:t>
            </w:r>
          </w:p>
        </w:tc>
        <w:tc>
          <w:tcPr>
            <w:tcW w:w="975" w:type="dxa"/>
            <w:tcBorders>
              <w:top w:val="single" w:sz="4" w:space="0" w:color="auto"/>
              <w:left w:val="single" w:sz="4" w:space="0" w:color="auto"/>
            </w:tcBorders>
            <w:shd w:val="clear" w:color="auto" w:fill="auto"/>
            <w:noWrap/>
            <w:vAlign w:val="center"/>
            <w:hideMark/>
          </w:tcPr>
          <w:p w:rsidR="00512280" w:rsidRPr="00A76DD5" w:rsidRDefault="00934692" w:rsidP="00934692">
            <w:pPr>
              <w:pStyle w:val="Tablenc"/>
              <w:ind w:left="0" w:right="-61"/>
              <w:jc w:val="center"/>
              <w:rPr>
                <w:sz w:val="22"/>
                <w:szCs w:val="22"/>
              </w:rPr>
            </w:pPr>
            <w:r>
              <w:rPr>
                <w:sz w:val="22"/>
                <w:szCs w:val="22"/>
              </w:rPr>
              <w:t>3.5</w:t>
            </w:r>
          </w:p>
        </w:tc>
      </w:tr>
      <w:tr w:rsidR="00512280" w:rsidRPr="000F3133" w:rsidTr="00073E16">
        <w:trPr>
          <w:trHeight w:val="285"/>
          <w:jc w:val="center"/>
        </w:trPr>
        <w:tc>
          <w:tcPr>
            <w:tcW w:w="3855" w:type="dxa"/>
            <w:tcBorders>
              <w:right w:val="single" w:sz="4" w:space="0" w:color="auto"/>
            </w:tcBorders>
            <w:shd w:val="clear" w:color="auto" w:fill="auto"/>
            <w:vAlign w:val="center"/>
            <w:hideMark/>
          </w:tcPr>
          <w:p w:rsidR="00512280" w:rsidRPr="00F314BA" w:rsidRDefault="00512280" w:rsidP="00934692">
            <w:pPr>
              <w:pStyle w:val="Tablenc"/>
              <w:jc w:val="left"/>
              <w:rPr>
                <w:sz w:val="22"/>
                <w:szCs w:val="22"/>
                <w:rtl/>
              </w:rPr>
            </w:pPr>
            <w:r w:rsidRPr="00F314BA">
              <w:rPr>
                <w:rFonts w:hint="cs"/>
                <w:sz w:val="22"/>
                <w:szCs w:val="22"/>
                <w:rtl/>
              </w:rPr>
              <w:t>הצריכה הפרטית</w:t>
            </w:r>
          </w:p>
        </w:tc>
        <w:tc>
          <w:tcPr>
            <w:tcW w:w="907" w:type="dxa"/>
            <w:tcBorders>
              <w:left w:val="single" w:sz="4" w:space="0" w:color="auto"/>
              <w:right w:val="single" w:sz="4" w:space="0" w:color="auto"/>
            </w:tcBorders>
            <w:shd w:val="clear" w:color="auto" w:fill="D9D9D9" w:themeFill="background1" w:themeFillShade="D9"/>
            <w:noWrap/>
            <w:vAlign w:val="center"/>
            <w:hideMark/>
          </w:tcPr>
          <w:p w:rsidR="00512280" w:rsidRPr="00512280" w:rsidRDefault="00512280" w:rsidP="00D61050">
            <w:pPr>
              <w:pStyle w:val="Tablenc"/>
              <w:ind w:left="0" w:right="-132"/>
              <w:jc w:val="center"/>
              <w:rPr>
                <w:sz w:val="22"/>
                <w:szCs w:val="22"/>
                <w:rtl/>
              </w:rPr>
            </w:pPr>
            <w:r w:rsidRPr="00512280">
              <w:rPr>
                <w:rFonts w:hint="cs"/>
                <w:sz w:val="22"/>
                <w:szCs w:val="22"/>
                <w:rtl/>
              </w:rPr>
              <w:t>4.1</w:t>
            </w:r>
          </w:p>
        </w:tc>
        <w:tc>
          <w:tcPr>
            <w:tcW w:w="975" w:type="dxa"/>
            <w:tcBorders>
              <w:left w:val="single" w:sz="4" w:space="0" w:color="auto"/>
            </w:tcBorders>
            <w:shd w:val="clear" w:color="auto" w:fill="auto"/>
            <w:noWrap/>
            <w:vAlign w:val="center"/>
            <w:hideMark/>
          </w:tcPr>
          <w:p w:rsidR="00512280" w:rsidRPr="00FA5F8B" w:rsidRDefault="00512280" w:rsidP="00934692">
            <w:pPr>
              <w:pStyle w:val="Tablenc"/>
              <w:tabs>
                <w:tab w:val="left" w:pos="715"/>
                <w:tab w:val="left" w:pos="759"/>
              </w:tabs>
              <w:ind w:left="52" w:right="-113"/>
              <w:jc w:val="center"/>
              <w:rPr>
                <w:rFonts w:ascii="Times New Roman" w:hAnsi="Times New Roman"/>
                <w:sz w:val="22"/>
                <w:szCs w:val="22"/>
                <w:rtl/>
              </w:rPr>
            </w:pPr>
            <w:r>
              <w:rPr>
                <w:rFonts w:hint="cs"/>
                <w:sz w:val="22"/>
                <w:szCs w:val="22"/>
                <w:rtl/>
              </w:rPr>
              <w:t>2.5</w:t>
            </w:r>
          </w:p>
        </w:tc>
        <w:tc>
          <w:tcPr>
            <w:tcW w:w="1103" w:type="dxa"/>
            <w:tcBorders>
              <w:right w:val="single" w:sz="4" w:space="0" w:color="auto"/>
            </w:tcBorders>
            <w:shd w:val="clear" w:color="auto" w:fill="auto"/>
            <w:noWrap/>
            <w:vAlign w:val="center"/>
            <w:hideMark/>
          </w:tcPr>
          <w:p w:rsidR="00512280" w:rsidRPr="00934692" w:rsidRDefault="00512280" w:rsidP="00934692">
            <w:pPr>
              <w:pStyle w:val="Tablenc"/>
              <w:ind w:left="0"/>
              <w:jc w:val="center"/>
              <w:rPr>
                <w:rFonts w:ascii="Times New Roman" w:hAnsi="Times New Roman" w:cstheme="majorHAnsi"/>
                <w:color w:val="4F81BD" w:themeColor="accent1"/>
                <w:sz w:val="22"/>
                <w:szCs w:val="22"/>
                <w:rtl/>
              </w:rPr>
            </w:pPr>
            <w:r w:rsidRPr="00934692">
              <w:rPr>
                <w:rFonts w:ascii="Times New Roman" w:hAnsi="Times New Roman" w:cstheme="majorHAnsi" w:hint="cs"/>
                <w:color w:val="4F81BD" w:themeColor="accent1"/>
                <w:sz w:val="22"/>
                <w:szCs w:val="22"/>
                <w:rtl/>
              </w:rPr>
              <w:t>1.0-</w:t>
            </w:r>
          </w:p>
        </w:tc>
        <w:tc>
          <w:tcPr>
            <w:tcW w:w="975" w:type="dxa"/>
            <w:tcBorders>
              <w:left w:val="single" w:sz="4" w:space="0" w:color="auto"/>
            </w:tcBorders>
            <w:shd w:val="clear" w:color="auto" w:fill="auto"/>
            <w:noWrap/>
            <w:vAlign w:val="center"/>
            <w:hideMark/>
          </w:tcPr>
          <w:p w:rsidR="00512280" w:rsidRPr="00A76DD5" w:rsidRDefault="00512280" w:rsidP="00934692">
            <w:pPr>
              <w:pStyle w:val="Tablenc"/>
              <w:ind w:left="0" w:right="-61"/>
              <w:jc w:val="center"/>
              <w:rPr>
                <w:sz w:val="22"/>
                <w:szCs w:val="22"/>
                <w:rtl/>
              </w:rPr>
            </w:pPr>
            <w:r>
              <w:rPr>
                <w:sz w:val="22"/>
                <w:szCs w:val="22"/>
              </w:rPr>
              <w:t>3.0</w:t>
            </w:r>
          </w:p>
        </w:tc>
      </w:tr>
      <w:tr w:rsidR="00512280" w:rsidRPr="000F3133" w:rsidTr="00073E16">
        <w:trPr>
          <w:trHeight w:val="285"/>
          <w:jc w:val="center"/>
        </w:trPr>
        <w:tc>
          <w:tcPr>
            <w:tcW w:w="3855" w:type="dxa"/>
            <w:tcBorders>
              <w:right w:val="single" w:sz="4" w:space="0" w:color="auto"/>
            </w:tcBorders>
            <w:shd w:val="clear" w:color="auto" w:fill="auto"/>
            <w:vAlign w:val="center"/>
            <w:hideMark/>
          </w:tcPr>
          <w:p w:rsidR="00512280" w:rsidRPr="00F314BA" w:rsidRDefault="00512280" w:rsidP="00934692">
            <w:pPr>
              <w:pStyle w:val="Tablenc"/>
              <w:jc w:val="left"/>
              <w:rPr>
                <w:sz w:val="22"/>
                <w:szCs w:val="22"/>
                <w:rtl/>
              </w:rPr>
            </w:pPr>
            <w:r w:rsidRPr="00F314BA">
              <w:rPr>
                <w:rFonts w:hint="cs"/>
                <w:sz w:val="22"/>
                <w:szCs w:val="22"/>
                <w:rtl/>
              </w:rPr>
              <w:t>ההשקעה בנכסים קבועים (ללא אוניות ומטוסים)</w:t>
            </w:r>
          </w:p>
        </w:tc>
        <w:tc>
          <w:tcPr>
            <w:tcW w:w="907" w:type="dxa"/>
            <w:tcBorders>
              <w:left w:val="single" w:sz="4" w:space="0" w:color="auto"/>
              <w:right w:val="single" w:sz="4" w:space="0" w:color="auto"/>
            </w:tcBorders>
            <w:shd w:val="clear" w:color="auto" w:fill="D9D9D9" w:themeFill="background1" w:themeFillShade="D9"/>
            <w:noWrap/>
            <w:vAlign w:val="center"/>
            <w:hideMark/>
          </w:tcPr>
          <w:p w:rsidR="00512280" w:rsidRPr="00512280" w:rsidRDefault="00512280" w:rsidP="00D61050">
            <w:pPr>
              <w:pStyle w:val="Tablenc"/>
              <w:ind w:left="0" w:right="-132"/>
              <w:jc w:val="center"/>
              <w:rPr>
                <w:sz w:val="22"/>
                <w:szCs w:val="22"/>
              </w:rPr>
            </w:pPr>
            <w:r w:rsidRPr="00512280">
              <w:rPr>
                <w:rFonts w:hint="cs"/>
                <w:sz w:val="22"/>
                <w:szCs w:val="22"/>
                <w:rtl/>
              </w:rPr>
              <w:t>1.3</w:t>
            </w:r>
          </w:p>
        </w:tc>
        <w:tc>
          <w:tcPr>
            <w:tcW w:w="975" w:type="dxa"/>
            <w:tcBorders>
              <w:left w:val="single" w:sz="4" w:space="0" w:color="auto"/>
            </w:tcBorders>
            <w:shd w:val="clear" w:color="auto" w:fill="auto"/>
            <w:noWrap/>
            <w:vAlign w:val="center"/>
            <w:hideMark/>
          </w:tcPr>
          <w:p w:rsidR="00512280" w:rsidRPr="002745A6" w:rsidRDefault="00512280" w:rsidP="00934692">
            <w:pPr>
              <w:pStyle w:val="Tablenc"/>
              <w:tabs>
                <w:tab w:val="left" w:pos="715"/>
                <w:tab w:val="left" w:pos="759"/>
              </w:tabs>
              <w:ind w:left="52" w:right="-113"/>
              <w:jc w:val="center"/>
              <w:rPr>
                <w:rFonts w:ascii="Times New Roman" w:hAnsi="Times New Roman"/>
                <w:sz w:val="22"/>
                <w:szCs w:val="22"/>
              </w:rPr>
            </w:pPr>
            <w:r w:rsidRPr="00F314BA">
              <w:rPr>
                <w:sz w:val="22"/>
                <w:szCs w:val="22"/>
              </w:rPr>
              <w:t>3.</w:t>
            </w:r>
            <w:r>
              <w:rPr>
                <w:sz w:val="22"/>
                <w:szCs w:val="22"/>
              </w:rPr>
              <w:t>0</w:t>
            </w:r>
          </w:p>
        </w:tc>
        <w:tc>
          <w:tcPr>
            <w:tcW w:w="1103" w:type="dxa"/>
            <w:tcBorders>
              <w:right w:val="single" w:sz="4" w:space="0" w:color="auto"/>
            </w:tcBorders>
            <w:shd w:val="clear" w:color="auto" w:fill="auto"/>
            <w:noWrap/>
            <w:vAlign w:val="center"/>
            <w:hideMark/>
          </w:tcPr>
          <w:p w:rsidR="00512280" w:rsidRPr="00934692" w:rsidRDefault="00512280" w:rsidP="00934692">
            <w:pPr>
              <w:pStyle w:val="Tablenc"/>
              <w:ind w:left="0"/>
              <w:jc w:val="center"/>
              <w:rPr>
                <w:rFonts w:ascii="Times New Roman" w:hAnsi="Times New Roman" w:cstheme="majorHAnsi"/>
                <w:color w:val="4F81BD" w:themeColor="accent1"/>
                <w:sz w:val="22"/>
                <w:szCs w:val="22"/>
                <w:rtl/>
              </w:rPr>
            </w:pPr>
            <w:r w:rsidRPr="00934692">
              <w:rPr>
                <w:rFonts w:cstheme="majorHAnsi" w:hint="cs"/>
                <w:color w:val="4F81BD" w:themeColor="accent1"/>
                <w:sz w:val="22"/>
                <w:szCs w:val="22"/>
                <w:rtl/>
              </w:rPr>
              <w:t>0.5-</w:t>
            </w:r>
          </w:p>
        </w:tc>
        <w:tc>
          <w:tcPr>
            <w:tcW w:w="975" w:type="dxa"/>
            <w:tcBorders>
              <w:left w:val="single" w:sz="4" w:space="0" w:color="auto"/>
            </w:tcBorders>
            <w:shd w:val="clear" w:color="auto" w:fill="auto"/>
            <w:noWrap/>
            <w:vAlign w:val="center"/>
            <w:hideMark/>
          </w:tcPr>
          <w:p w:rsidR="00512280" w:rsidRPr="00A76DD5" w:rsidRDefault="00512280" w:rsidP="00934692">
            <w:pPr>
              <w:pStyle w:val="Tablenc"/>
              <w:ind w:left="0" w:right="-61"/>
              <w:jc w:val="center"/>
              <w:rPr>
                <w:sz w:val="22"/>
                <w:szCs w:val="22"/>
                <w:rtl/>
              </w:rPr>
            </w:pPr>
            <w:r>
              <w:rPr>
                <w:sz w:val="22"/>
                <w:szCs w:val="22"/>
              </w:rPr>
              <w:t>-2.0</w:t>
            </w:r>
          </w:p>
        </w:tc>
      </w:tr>
      <w:tr w:rsidR="00512280" w:rsidRPr="000F3133" w:rsidTr="00073E16">
        <w:trPr>
          <w:trHeight w:val="300"/>
          <w:jc w:val="center"/>
        </w:trPr>
        <w:tc>
          <w:tcPr>
            <w:tcW w:w="3855" w:type="dxa"/>
            <w:tcBorders>
              <w:right w:val="single" w:sz="4" w:space="0" w:color="auto"/>
            </w:tcBorders>
            <w:shd w:val="clear" w:color="auto" w:fill="auto"/>
            <w:vAlign w:val="center"/>
            <w:hideMark/>
          </w:tcPr>
          <w:p w:rsidR="00512280" w:rsidRPr="00F314BA" w:rsidRDefault="00512280" w:rsidP="00934692">
            <w:pPr>
              <w:pStyle w:val="Tablenc"/>
              <w:jc w:val="left"/>
              <w:rPr>
                <w:sz w:val="22"/>
                <w:szCs w:val="22"/>
                <w:rtl/>
              </w:rPr>
            </w:pPr>
            <w:r w:rsidRPr="00F314BA">
              <w:rPr>
                <w:rFonts w:hint="cs"/>
                <w:sz w:val="22"/>
                <w:szCs w:val="22"/>
                <w:rtl/>
              </w:rPr>
              <w:t>הצריכה הציבורית (ללא יבוא ביטחוני)</w:t>
            </w:r>
          </w:p>
        </w:tc>
        <w:tc>
          <w:tcPr>
            <w:tcW w:w="907" w:type="dxa"/>
            <w:tcBorders>
              <w:left w:val="single" w:sz="4" w:space="0" w:color="auto"/>
              <w:right w:val="single" w:sz="4" w:space="0" w:color="auto"/>
            </w:tcBorders>
            <w:shd w:val="clear" w:color="auto" w:fill="D9D9D9" w:themeFill="background1" w:themeFillShade="D9"/>
            <w:noWrap/>
            <w:vAlign w:val="center"/>
            <w:hideMark/>
          </w:tcPr>
          <w:p w:rsidR="00512280" w:rsidRPr="00512280" w:rsidRDefault="00934692" w:rsidP="00D61050">
            <w:pPr>
              <w:pStyle w:val="Tablenc"/>
              <w:ind w:left="0" w:right="-132"/>
              <w:jc w:val="center"/>
              <w:rPr>
                <w:rFonts w:ascii="Times New Roman" w:hAnsi="Times New Roman"/>
                <w:sz w:val="22"/>
                <w:szCs w:val="22"/>
              </w:rPr>
            </w:pPr>
            <w:r>
              <w:rPr>
                <w:sz w:val="22"/>
                <w:szCs w:val="22"/>
              </w:rPr>
              <w:t>4.3</w:t>
            </w:r>
          </w:p>
        </w:tc>
        <w:tc>
          <w:tcPr>
            <w:tcW w:w="975" w:type="dxa"/>
            <w:tcBorders>
              <w:left w:val="single" w:sz="4" w:space="0" w:color="auto"/>
            </w:tcBorders>
            <w:shd w:val="clear" w:color="auto" w:fill="auto"/>
            <w:noWrap/>
            <w:vAlign w:val="center"/>
            <w:hideMark/>
          </w:tcPr>
          <w:p w:rsidR="00512280" w:rsidRPr="00F314BA" w:rsidRDefault="00512280" w:rsidP="00934692">
            <w:pPr>
              <w:pStyle w:val="Tablenc"/>
              <w:tabs>
                <w:tab w:val="left" w:pos="715"/>
                <w:tab w:val="left" w:pos="759"/>
              </w:tabs>
              <w:ind w:left="52" w:right="-113"/>
              <w:jc w:val="center"/>
              <w:rPr>
                <w:sz w:val="22"/>
                <w:szCs w:val="22"/>
              </w:rPr>
            </w:pPr>
            <w:r>
              <w:rPr>
                <w:sz w:val="22"/>
                <w:szCs w:val="22"/>
              </w:rPr>
              <w:t>3</w:t>
            </w:r>
            <w:r w:rsidRPr="00F314BA">
              <w:rPr>
                <w:sz w:val="22"/>
                <w:szCs w:val="22"/>
              </w:rPr>
              <w:t>.</w:t>
            </w:r>
            <w:r>
              <w:rPr>
                <w:sz w:val="22"/>
                <w:szCs w:val="22"/>
              </w:rPr>
              <w:t>5</w:t>
            </w:r>
          </w:p>
        </w:tc>
        <w:tc>
          <w:tcPr>
            <w:tcW w:w="1103" w:type="dxa"/>
            <w:tcBorders>
              <w:right w:val="single" w:sz="4" w:space="0" w:color="auto"/>
            </w:tcBorders>
            <w:shd w:val="clear" w:color="auto" w:fill="auto"/>
            <w:noWrap/>
            <w:vAlign w:val="center"/>
            <w:hideMark/>
          </w:tcPr>
          <w:p w:rsidR="00512280" w:rsidRPr="00934692" w:rsidRDefault="00512280" w:rsidP="00934692">
            <w:pPr>
              <w:pStyle w:val="Tablenc"/>
              <w:ind w:left="0"/>
              <w:jc w:val="center"/>
              <w:rPr>
                <w:rFonts w:ascii="Times New Roman" w:hAnsi="Times New Roman" w:cstheme="majorHAnsi"/>
                <w:color w:val="4F81BD" w:themeColor="accent1"/>
                <w:sz w:val="22"/>
                <w:szCs w:val="22"/>
              </w:rPr>
            </w:pPr>
            <w:r w:rsidRPr="00934692">
              <w:rPr>
                <w:rFonts w:cstheme="majorHAnsi"/>
                <w:color w:val="4F81BD" w:themeColor="accent1"/>
                <w:sz w:val="22"/>
                <w:szCs w:val="22"/>
              </w:rPr>
              <w:t>0.5</w:t>
            </w:r>
          </w:p>
        </w:tc>
        <w:tc>
          <w:tcPr>
            <w:tcW w:w="975" w:type="dxa"/>
            <w:tcBorders>
              <w:left w:val="single" w:sz="4" w:space="0" w:color="auto"/>
            </w:tcBorders>
            <w:shd w:val="clear" w:color="auto" w:fill="auto"/>
            <w:noWrap/>
            <w:vAlign w:val="center"/>
            <w:hideMark/>
          </w:tcPr>
          <w:p w:rsidR="00512280" w:rsidRPr="00A76DD5" w:rsidRDefault="00512280" w:rsidP="00934692">
            <w:pPr>
              <w:pStyle w:val="Tablenc"/>
              <w:ind w:left="0" w:right="-61"/>
              <w:jc w:val="center"/>
              <w:rPr>
                <w:sz w:val="22"/>
                <w:szCs w:val="22"/>
              </w:rPr>
            </w:pPr>
            <w:r>
              <w:rPr>
                <w:sz w:val="22"/>
                <w:szCs w:val="22"/>
              </w:rPr>
              <w:t>2.5</w:t>
            </w:r>
          </w:p>
        </w:tc>
      </w:tr>
      <w:tr w:rsidR="00512280" w:rsidRPr="000F3133" w:rsidTr="00073E16">
        <w:trPr>
          <w:trHeight w:val="300"/>
          <w:jc w:val="center"/>
        </w:trPr>
        <w:tc>
          <w:tcPr>
            <w:tcW w:w="3855" w:type="dxa"/>
            <w:tcBorders>
              <w:right w:val="single" w:sz="4" w:space="0" w:color="auto"/>
            </w:tcBorders>
            <w:shd w:val="clear" w:color="auto" w:fill="auto"/>
            <w:vAlign w:val="center"/>
            <w:hideMark/>
          </w:tcPr>
          <w:p w:rsidR="00512280" w:rsidRPr="00F314BA" w:rsidRDefault="00512280" w:rsidP="00934692">
            <w:pPr>
              <w:pStyle w:val="Tablenc"/>
              <w:jc w:val="left"/>
              <w:rPr>
                <w:sz w:val="22"/>
                <w:szCs w:val="22"/>
                <w:rtl/>
              </w:rPr>
            </w:pPr>
            <w:r w:rsidRPr="00F314BA">
              <w:rPr>
                <w:rFonts w:hint="cs"/>
                <w:sz w:val="22"/>
                <w:szCs w:val="22"/>
                <w:rtl/>
              </w:rPr>
              <w:t>היצוא (ללא יהלומים והזנק)</w:t>
            </w:r>
          </w:p>
        </w:tc>
        <w:tc>
          <w:tcPr>
            <w:tcW w:w="907" w:type="dxa"/>
            <w:tcBorders>
              <w:left w:val="single" w:sz="4" w:space="0" w:color="auto"/>
              <w:right w:val="single" w:sz="4" w:space="0" w:color="auto"/>
            </w:tcBorders>
            <w:shd w:val="clear" w:color="auto" w:fill="D9D9D9" w:themeFill="background1" w:themeFillShade="D9"/>
            <w:noWrap/>
            <w:vAlign w:val="center"/>
            <w:hideMark/>
          </w:tcPr>
          <w:p w:rsidR="00512280" w:rsidRPr="00512280" w:rsidRDefault="00512280" w:rsidP="00D61050">
            <w:pPr>
              <w:pStyle w:val="Tablenc"/>
              <w:ind w:left="0" w:right="-132"/>
              <w:jc w:val="center"/>
              <w:rPr>
                <w:sz w:val="22"/>
                <w:szCs w:val="22"/>
              </w:rPr>
            </w:pPr>
            <w:r w:rsidRPr="00512280">
              <w:rPr>
                <w:rFonts w:hint="cs"/>
                <w:sz w:val="22"/>
                <w:szCs w:val="22"/>
                <w:rtl/>
              </w:rPr>
              <w:t>3.9</w:t>
            </w:r>
          </w:p>
        </w:tc>
        <w:tc>
          <w:tcPr>
            <w:tcW w:w="975" w:type="dxa"/>
            <w:tcBorders>
              <w:left w:val="single" w:sz="4" w:space="0" w:color="auto"/>
            </w:tcBorders>
            <w:shd w:val="clear" w:color="auto" w:fill="auto"/>
            <w:noWrap/>
            <w:vAlign w:val="center"/>
            <w:hideMark/>
          </w:tcPr>
          <w:p w:rsidR="00512280" w:rsidRPr="00F314BA" w:rsidRDefault="00934692" w:rsidP="00934692">
            <w:pPr>
              <w:pStyle w:val="Tablenc"/>
              <w:tabs>
                <w:tab w:val="left" w:pos="715"/>
                <w:tab w:val="left" w:pos="759"/>
              </w:tabs>
              <w:ind w:left="52" w:right="-113"/>
              <w:jc w:val="center"/>
              <w:rPr>
                <w:sz w:val="22"/>
                <w:szCs w:val="22"/>
              </w:rPr>
            </w:pPr>
            <w:r>
              <w:rPr>
                <w:sz w:val="22"/>
                <w:szCs w:val="22"/>
              </w:rPr>
              <w:t>5.5</w:t>
            </w:r>
          </w:p>
        </w:tc>
        <w:tc>
          <w:tcPr>
            <w:tcW w:w="1103" w:type="dxa"/>
            <w:tcBorders>
              <w:right w:val="single" w:sz="4" w:space="0" w:color="auto"/>
            </w:tcBorders>
            <w:shd w:val="clear" w:color="auto" w:fill="auto"/>
            <w:noWrap/>
            <w:vAlign w:val="center"/>
            <w:hideMark/>
          </w:tcPr>
          <w:p w:rsidR="00512280" w:rsidRPr="00934692" w:rsidRDefault="00512280" w:rsidP="00934692">
            <w:pPr>
              <w:pStyle w:val="Tablenc"/>
              <w:ind w:left="0"/>
              <w:jc w:val="center"/>
              <w:rPr>
                <w:rFonts w:ascii="Times New Roman" w:hAnsi="Times New Roman" w:cstheme="majorHAnsi"/>
                <w:color w:val="4F81BD" w:themeColor="accent1"/>
                <w:sz w:val="22"/>
                <w:szCs w:val="22"/>
              </w:rPr>
            </w:pPr>
            <w:r w:rsidRPr="00934692">
              <w:rPr>
                <w:rFonts w:cstheme="majorHAnsi"/>
                <w:color w:val="4F81BD" w:themeColor="accent1"/>
                <w:sz w:val="22"/>
                <w:szCs w:val="22"/>
              </w:rPr>
              <w:t>--</w:t>
            </w:r>
          </w:p>
        </w:tc>
        <w:tc>
          <w:tcPr>
            <w:tcW w:w="975" w:type="dxa"/>
            <w:tcBorders>
              <w:left w:val="single" w:sz="4" w:space="0" w:color="auto"/>
            </w:tcBorders>
            <w:shd w:val="clear" w:color="auto" w:fill="auto"/>
            <w:noWrap/>
            <w:vAlign w:val="center"/>
            <w:hideMark/>
          </w:tcPr>
          <w:p w:rsidR="00512280" w:rsidRPr="00A76DD5" w:rsidRDefault="00934692" w:rsidP="00934692">
            <w:pPr>
              <w:pStyle w:val="Tablenc"/>
              <w:ind w:left="0" w:right="-61"/>
              <w:jc w:val="center"/>
              <w:rPr>
                <w:sz w:val="22"/>
                <w:szCs w:val="22"/>
              </w:rPr>
            </w:pPr>
            <w:r>
              <w:rPr>
                <w:sz w:val="22"/>
                <w:szCs w:val="22"/>
              </w:rPr>
              <w:t>6.0</w:t>
            </w:r>
          </w:p>
        </w:tc>
      </w:tr>
      <w:tr w:rsidR="00512280" w:rsidRPr="000F3133" w:rsidTr="00073E16">
        <w:trPr>
          <w:trHeight w:val="300"/>
          <w:jc w:val="center"/>
        </w:trPr>
        <w:tc>
          <w:tcPr>
            <w:tcW w:w="3855" w:type="dxa"/>
            <w:tcBorders>
              <w:bottom w:val="single" w:sz="4" w:space="0" w:color="auto"/>
              <w:right w:val="single" w:sz="4" w:space="0" w:color="auto"/>
            </w:tcBorders>
            <w:shd w:val="clear" w:color="auto" w:fill="auto"/>
            <w:vAlign w:val="center"/>
            <w:hideMark/>
          </w:tcPr>
          <w:p w:rsidR="00512280" w:rsidRPr="00F314BA" w:rsidRDefault="00512280" w:rsidP="00934692">
            <w:pPr>
              <w:pStyle w:val="Tablenc"/>
              <w:jc w:val="left"/>
              <w:rPr>
                <w:sz w:val="22"/>
                <w:szCs w:val="22"/>
                <w:rtl/>
              </w:rPr>
            </w:pPr>
            <w:r w:rsidRPr="00F314BA">
              <w:rPr>
                <w:rFonts w:hint="cs"/>
                <w:sz w:val="22"/>
                <w:szCs w:val="22"/>
                <w:rtl/>
              </w:rPr>
              <w:t>היבוא האזרחי (ללא יהלומים, אוניות ומטוסים)</w:t>
            </w:r>
          </w:p>
        </w:tc>
        <w:tc>
          <w:tcPr>
            <w:tcW w:w="90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12280" w:rsidRPr="00512280" w:rsidRDefault="00934692" w:rsidP="00D61050">
            <w:pPr>
              <w:pStyle w:val="Tablenc"/>
              <w:ind w:left="0" w:right="-132"/>
              <w:jc w:val="center"/>
              <w:rPr>
                <w:rFonts w:ascii="Times New Roman" w:hAnsi="Times New Roman"/>
                <w:sz w:val="22"/>
                <w:szCs w:val="22"/>
              </w:rPr>
            </w:pPr>
            <w:r>
              <w:rPr>
                <w:rFonts w:hint="cs"/>
                <w:sz w:val="22"/>
                <w:szCs w:val="22"/>
                <w:rtl/>
              </w:rPr>
              <w:t>6.7</w:t>
            </w:r>
          </w:p>
        </w:tc>
        <w:tc>
          <w:tcPr>
            <w:tcW w:w="975" w:type="dxa"/>
            <w:tcBorders>
              <w:left w:val="single" w:sz="4" w:space="0" w:color="auto"/>
              <w:bottom w:val="single" w:sz="4" w:space="0" w:color="auto"/>
            </w:tcBorders>
            <w:shd w:val="clear" w:color="auto" w:fill="auto"/>
            <w:noWrap/>
            <w:vAlign w:val="center"/>
            <w:hideMark/>
          </w:tcPr>
          <w:p w:rsidR="00512280" w:rsidRPr="00F314BA" w:rsidRDefault="00934692" w:rsidP="00934692">
            <w:pPr>
              <w:pStyle w:val="Tablenc"/>
              <w:tabs>
                <w:tab w:val="left" w:pos="715"/>
                <w:tab w:val="left" w:pos="759"/>
              </w:tabs>
              <w:ind w:left="52" w:right="-113"/>
              <w:jc w:val="center"/>
              <w:rPr>
                <w:rFonts w:ascii="Times New Roman" w:hAnsi="Times New Roman"/>
                <w:sz w:val="22"/>
                <w:szCs w:val="22"/>
              </w:rPr>
            </w:pPr>
            <w:r>
              <w:rPr>
                <w:sz w:val="22"/>
                <w:szCs w:val="22"/>
              </w:rPr>
              <w:t>3.0</w:t>
            </w:r>
          </w:p>
        </w:tc>
        <w:tc>
          <w:tcPr>
            <w:tcW w:w="1103" w:type="dxa"/>
            <w:tcBorders>
              <w:bottom w:val="single" w:sz="4" w:space="0" w:color="auto"/>
              <w:right w:val="single" w:sz="4" w:space="0" w:color="auto"/>
            </w:tcBorders>
            <w:shd w:val="clear" w:color="auto" w:fill="auto"/>
            <w:noWrap/>
            <w:vAlign w:val="center"/>
            <w:hideMark/>
          </w:tcPr>
          <w:p w:rsidR="00512280" w:rsidRPr="00934692" w:rsidRDefault="00512280" w:rsidP="00934692">
            <w:pPr>
              <w:pStyle w:val="Tablenc"/>
              <w:ind w:left="0"/>
              <w:jc w:val="center"/>
              <w:rPr>
                <w:rFonts w:ascii="Times New Roman" w:hAnsi="Times New Roman" w:cstheme="majorHAnsi"/>
                <w:color w:val="4F81BD" w:themeColor="accent1"/>
                <w:sz w:val="22"/>
                <w:szCs w:val="22"/>
                <w:rtl/>
              </w:rPr>
            </w:pPr>
            <w:r w:rsidRPr="00934692">
              <w:rPr>
                <w:rFonts w:ascii="Times New Roman" w:hAnsi="Times New Roman" w:cstheme="majorHAnsi" w:hint="cs"/>
                <w:color w:val="4F81BD" w:themeColor="accent1"/>
                <w:sz w:val="22"/>
                <w:szCs w:val="22"/>
                <w:rtl/>
              </w:rPr>
              <w:t>1.5-</w:t>
            </w:r>
          </w:p>
        </w:tc>
        <w:tc>
          <w:tcPr>
            <w:tcW w:w="975" w:type="dxa"/>
            <w:tcBorders>
              <w:left w:val="single" w:sz="4" w:space="0" w:color="auto"/>
              <w:bottom w:val="single" w:sz="4" w:space="0" w:color="auto"/>
            </w:tcBorders>
            <w:shd w:val="clear" w:color="auto" w:fill="auto"/>
            <w:noWrap/>
            <w:vAlign w:val="center"/>
            <w:hideMark/>
          </w:tcPr>
          <w:p w:rsidR="00512280" w:rsidRPr="00A76DD5" w:rsidRDefault="00512280" w:rsidP="00934692">
            <w:pPr>
              <w:pStyle w:val="Tablenc"/>
              <w:ind w:left="0" w:right="-61"/>
              <w:jc w:val="center"/>
              <w:rPr>
                <w:sz w:val="22"/>
                <w:szCs w:val="22"/>
                <w:rtl/>
              </w:rPr>
            </w:pPr>
            <w:r>
              <w:rPr>
                <w:sz w:val="22"/>
                <w:szCs w:val="22"/>
              </w:rPr>
              <w:t>0.5</w:t>
            </w:r>
          </w:p>
        </w:tc>
      </w:tr>
      <w:tr w:rsidR="00512280" w:rsidRPr="000F3133" w:rsidTr="00073E16">
        <w:trPr>
          <w:trHeight w:val="315"/>
          <w:jc w:val="center"/>
        </w:trPr>
        <w:tc>
          <w:tcPr>
            <w:tcW w:w="3855" w:type="dxa"/>
            <w:tcBorders>
              <w:top w:val="single" w:sz="4" w:space="0" w:color="auto"/>
              <w:bottom w:val="single" w:sz="4" w:space="0" w:color="auto"/>
              <w:right w:val="single" w:sz="4" w:space="0" w:color="auto"/>
            </w:tcBorders>
            <w:shd w:val="clear" w:color="auto" w:fill="auto"/>
            <w:vAlign w:val="center"/>
            <w:hideMark/>
          </w:tcPr>
          <w:p w:rsidR="00512280" w:rsidRPr="00F314BA" w:rsidRDefault="00512280" w:rsidP="00934692">
            <w:pPr>
              <w:pStyle w:val="Tablenc"/>
              <w:jc w:val="left"/>
              <w:rPr>
                <w:sz w:val="22"/>
                <w:szCs w:val="22"/>
                <w:rtl/>
              </w:rPr>
            </w:pPr>
            <w:r w:rsidRPr="00BD618C">
              <w:rPr>
                <w:rFonts w:hint="cs"/>
                <w:sz w:val="22"/>
                <w:szCs w:val="22"/>
                <w:rtl/>
              </w:rPr>
              <w:t>האבטלה (שיעור)</w:t>
            </w:r>
            <w:r w:rsidR="00D9280C">
              <w:rPr>
                <w:rFonts w:hint="cs"/>
                <w:sz w:val="22"/>
                <w:szCs w:val="22"/>
                <w:vertAlign w:val="superscript"/>
                <w:rtl/>
              </w:rPr>
              <w:t>2</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12280" w:rsidRPr="00512280" w:rsidRDefault="00512280" w:rsidP="00D61050">
            <w:pPr>
              <w:pStyle w:val="Tablenc"/>
              <w:ind w:left="0" w:right="-132"/>
              <w:jc w:val="center"/>
              <w:rPr>
                <w:sz w:val="22"/>
                <w:szCs w:val="22"/>
                <w:rtl/>
              </w:rPr>
            </w:pPr>
            <w:r w:rsidRPr="00512280">
              <w:rPr>
                <w:sz w:val="22"/>
                <w:szCs w:val="22"/>
              </w:rPr>
              <w:t>3.5</w:t>
            </w:r>
          </w:p>
        </w:tc>
        <w:tc>
          <w:tcPr>
            <w:tcW w:w="975" w:type="dxa"/>
            <w:tcBorders>
              <w:top w:val="single" w:sz="4" w:space="0" w:color="auto"/>
              <w:left w:val="single" w:sz="4" w:space="0" w:color="auto"/>
              <w:bottom w:val="single" w:sz="4" w:space="0" w:color="auto"/>
            </w:tcBorders>
            <w:shd w:val="clear" w:color="auto" w:fill="auto"/>
            <w:noWrap/>
            <w:vAlign w:val="center"/>
            <w:hideMark/>
          </w:tcPr>
          <w:p w:rsidR="00512280" w:rsidRPr="00F314BA" w:rsidRDefault="00934692" w:rsidP="00934692">
            <w:pPr>
              <w:pStyle w:val="Tablenc"/>
              <w:tabs>
                <w:tab w:val="left" w:pos="715"/>
                <w:tab w:val="left" w:pos="759"/>
              </w:tabs>
              <w:ind w:left="52" w:right="-113"/>
              <w:jc w:val="center"/>
              <w:rPr>
                <w:sz w:val="22"/>
                <w:szCs w:val="22"/>
              </w:rPr>
            </w:pPr>
            <w:r>
              <w:rPr>
                <w:sz w:val="22"/>
                <w:szCs w:val="22"/>
              </w:rPr>
              <w:t>3.6</w:t>
            </w:r>
          </w:p>
        </w:tc>
        <w:tc>
          <w:tcPr>
            <w:tcW w:w="1103" w:type="dxa"/>
            <w:tcBorders>
              <w:top w:val="single" w:sz="4" w:space="0" w:color="auto"/>
              <w:bottom w:val="single" w:sz="4" w:space="0" w:color="auto"/>
              <w:right w:val="single" w:sz="4" w:space="0" w:color="auto"/>
            </w:tcBorders>
            <w:shd w:val="clear" w:color="auto" w:fill="auto"/>
            <w:noWrap/>
            <w:vAlign w:val="center"/>
            <w:hideMark/>
          </w:tcPr>
          <w:p w:rsidR="00512280" w:rsidRPr="00934692" w:rsidRDefault="00512280" w:rsidP="00934692">
            <w:pPr>
              <w:pStyle w:val="Tablenc"/>
              <w:ind w:left="0"/>
              <w:jc w:val="center"/>
              <w:rPr>
                <w:rFonts w:ascii="Times New Roman" w:hAnsi="Times New Roman" w:cstheme="majorHAnsi"/>
                <w:color w:val="4F81BD" w:themeColor="accent1"/>
                <w:sz w:val="22"/>
                <w:szCs w:val="22"/>
              </w:rPr>
            </w:pPr>
            <w:r w:rsidRPr="00934692">
              <w:rPr>
                <w:rFonts w:cstheme="majorHAnsi" w:hint="cs"/>
                <w:color w:val="4F81BD" w:themeColor="accent1"/>
                <w:sz w:val="22"/>
                <w:szCs w:val="22"/>
                <w:rtl/>
              </w:rPr>
              <w:t>0.2</w:t>
            </w:r>
          </w:p>
        </w:tc>
        <w:tc>
          <w:tcPr>
            <w:tcW w:w="975" w:type="dxa"/>
            <w:tcBorders>
              <w:top w:val="single" w:sz="4" w:space="0" w:color="auto"/>
              <w:left w:val="single" w:sz="4" w:space="0" w:color="auto"/>
              <w:bottom w:val="single" w:sz="4" w:space="0" w:color="auto"/>
            </w:tcBorders>
            <w:shd w:val="clear" w:color="auto" w:fill="auto"/>
            <w:noWrap/>
            <w:vAlign w:val="center"/>
            <w:hideMark/>
          </w:tcPr>
          <w:p w:rsidR="00512280" w:rsidRPr="00A76DD5" w:rsidRDefault="00934692" w:rsidP="00934692">
            <w:pPr>
              <w:pStyle w:val="Tablenc"/>
              <w:ind w:left="0" w:right="-61"/>
              <w:jc w:val="center"/>
              <w:rPr>
                <w:sz w:val="22"/>
                <w:szCs w:val="22"/>
                <w:rtl/>
              </w:rPr>
            </w:pPr>
            <w:r>
              <w:rPr>
                <w:sz w:val="22"/>
                <w:szCs w:val="22"/>
              </w:rPr>
              <w:t>3.6</w:t>
            </w:r>
          </w:p>
        </w:tc>
      </w:tr>
      <w:tr w:rsidR="00512280" w:rsidRPr="000F3133" w:rsidTr="00073E16">
        <w:trPr>
          <w:trHeight w:val="315"/>
          <w:jc w:val="center"/>
        </w:trPr>
        <w:tc>
          <w:tcPr>
            <w:tcW w:w="3855" w:type="dxa"/>
            <w:tcBorders>
              <w:right w:val="single" w:sz="4" w:space="0" w:color="auto"/>
            </w:tcBorders>
            <w:shd w:val="clear" w:color="auto" w:fill="auto"/>
            <w:vAlign w:val="center"/>
          </w:tcPr>
          <w:p w:rsidR="00512280" w:rsidRPr="00F314BA" w:rsidRDefault="00D9280C" w:rsidP="00934692">
            <w:pPr>
              <w:pStyle w:val="Tablenc"/>
              <w:rPr>
                <w:sz w:val="22"/>
                <w:szCs w:val="22"/>
                <w:rtl/>
              </w:rPr>
            </w:pPr>
            <w:r w:rsidRPr="00F314BA">
              <w:rPr>
                <w:rFonts w:hint="cs"/>
                <w:sz w:val="22"/>
                <w:szCs w:val="22"/>
                <w:rtl/>
              </w:rPr>
              <w:t>האינפלציה</w:t>
            </w:r>
            <w:r>
              <w:rPr>
                <w:rFonts w:hint="cs"/>
                <w:sz w:val="22"/>
                <w:szCs w:val="22"/>
                <w:vertAlign w:val="superscript"/>
                <w:rtl/>
              </w:rPr>
              <w:t>3</w:t>
            </w:r>
          </w:p>
        </w:tc>
        <w:tc>
          <w:tcPr>
            <w:tcW w:w="907" w:type="dxa"/>
            <w:tcBorders>
              <w:left w:val="single" w:sz="4" w:space="0" w:color="auto"/>
              <w:right w:val="single" w:sz="4" w:space="0" w:color="auto"/>
            </w:tcBorders>
            <w:shd w:val="clear" w:color="auto" w:fill="D9D9D9" w:themeFill="background1" w:themeFillShade="D9"/>
            <w:noWrap/>
            <w:vAlign w:val="center"/>
          </w:tcPr>
          <w:p w:rsidR="00512280" w:rsidRPr="00512280" w:rsidRDefault="00512280" w:rsidP="00D61050">
            <w:pPr>
              <w:pStyle w:val="Tablenc"/>
              <w:ind w:left="0" w:right="-132"/>
              <w:jc w:val="center"/>
              <w:rPr>
                <w:sz w:val="22"/>
                <w:szCs w:val="22"/>
              </w:rPr>
            </w:pPr>
            <w:r w:rsidRPr="00512280">
              <w:rPr>
                <w:rFonts w:hint="cs"/>
                <w:sz w:val="22"/>
                <w:szCs w:val="22"/>
                <w:rtl/>
              </w:rPr>
              <w:t>1.1</w:t>
            </w:r>
          </w:p>
        </w:tc>
        <w:tc>
          <w:tcPr>
            <w:tcW w:w="975" w:type="dxa"/>
            <w:tcBorders>
              <w:left w:val="single" w:sz="4" w:space="0" w:color="auto"/>
            </w:tcBorders>
            <w:shd w:val="clear" w:color="auto" w:fill="auto"/>
            <w:noWrap/>
            <w:vAlign w:val="center"/>
          </w:tcPr>
          <w:p w:rsidR="00512280" w:rsidRPr="00F314BA" w:rsidRDefault="00934692" w:rsidP="00934692">
            <w:pPr>
              <w:pStyle w:val="Tablenc"/>
              <w:tabs>
                <w:tab w:val="left" w:pos="715"/>
                <w:tab w:val="left" w:pos="759"/>
              </w:tabs>
              <w:ind w:left="52" w:right="-113"/>
              <w:jc w:val="center"/>
              <w:rPr>
                <w:sz w:val="22"/>
                <w:szCs w:val="22"/>
                <w:rtl/>
              </w:rPr>
            </w:pPr>
            <w:r>
              <w:rPr>
                <w:rFonts w:hint="cs"/>
                <w:sz w:val="22"/>
                <w:szCs w:val="22"/>
                <w:rtl/>
              </w:rPr>
              <w:t>1.3</w:t>
            </w:r>
          </w:p>
        </w:tc>
        <w:tc>
          <w:tcPr>
            <w:tcW w:w="1103" w:type="dxa"/>
            <w:tcBorders>
              <w:right w:val="single" w:sz="4" w:space="0" w:color="auto"/>
            </w:tcBorders>
            <w:shd w:val="clear" w:color="auto" w:fill="auto"/>
            <w:noWrap/>
            <w:vAlign w:val="center"/>
          </w:tcPr>
          <w:p w:rsidR="00512280" w:rsidRPr="00934692" w:rsidRDefault="00512280" w:rsidP="00934692">
            <w:pPr>
              <w:pStyle w:val="Tablenc"/>
              <w:ind w:left="0"/>
              <w:jc w:val="center"/>
              <w:rPr>
                <w:rFonts w:cstheme="majorHAnsi"/>
                <w:color w:val="4F81BD" w:themeColor="accent1"/>
                <w:sz w:val="22"/>
                <w:szCs w:val="22"/>
              </w:rPr>
            </w:pPr>
            <w:r w:rsidRPr="00934692">
              <w:rPr>
                <w:rFonts w:cstheme="majorHAnsi" w:hint="cs"/>
                <w:color w:val="4F81BD" w:themeColor="accent1"/>
                <w:sz w:val="22"/>
                <w:szCs w:val="22"/>
                <w:rtl/>
              </w:rPr>
              <w:t>0.2-</w:t>
            </w:r>
          </w:p>
        </w:tc>
        <w:tc>
          <w:tcPr>
            <w:tcW w:w="975" w:type="dxa"/>
            <w:tcBorders>
              <w:left w:val="single" w:sz="4" w:space="0" w:color="auto"/>
            </w:tcBorders>
            <w:shd w:val="clear" w:color="auto" w:fill="auto"/>
            <w:noWrap/>
            <w:vAlign w:val="center"/>
          </w:tcPr>
          <w:p w:rsidR="00512280" w:rsidRPr="00A76DD5" w:rsidRDefault="00512280" w:rsidP="00934692">
            <w:pPr>
              <w:pStyle w:val="Tablenc"/>
              <w:ind w:left="0" w:right="-61"/>
              <w:jc w:val="center"/>
              <w:rPr>
                <w:sz w:val="22"/>
                <w:szCs w:val="22"/>
                <w:rtl/>
              </w:rPr>
            </w:pPr>
            <w:r>
              <w:rPr>
                <w:sz w:val="22"/>
                <w:szCs w:val="22"/>
              </w:rPr>
              <w:t>1.8</w:t>
            </w:r>
          </w:p>
        </w:tc>
      </w:tr>
      <w:tr w:rsidR="00512280" w:rsidRPr="000F3133" w:rsidTr="00073E16">
        <w:trPr>
          <w:trHeight w:val="315"/>
          <w:jc w:val="center"/>
        </w:trPr>
        <w:tc>
          <w:tcPr>
            <w:tcW w:w="3855" w:type="dxa"/>
            <w:tcBorders>
              <w:bottom w:val="single" w:sz="4" w:space="0" w:color="auto"/>
              <w:right w:val="single" w:sz="4" w:space="0" w:color="auto"/>
            </w:tcBorders>
            <w:shd w:val="clear" w:color="auto" w:fill="auto"/>
            <w:vAlign w:val="center"/>
          </w:tcPr>
          <w:p w:rsidR="00512280" w:rsidRPr="00F314BA" w:rsidRDefault="00512280" w:rsidP="00934692">
            <w:pPr>
              <w:pStyle w:val="Tablenc"/>
              <w:jc w:val="left"/>
              <w:rPr>
                <w:sz w:val="22"/>
                <w:szCs w:val="22"/>
                <w:rtl/>
              </w:rPr>
            </w:pPr>
            <w:r w:rsidRPr="00F314BA">
              <w:rPr>
                <w:rFonts w:hint="cs"/>
                <w:sz w:val="22"/>
                <w:szCs w:val="22"/>
                <w:rtl/>
              </w:rPr>
              <w:t xml:space="preserve">ריבית בנק </w:t>
            </w:r>
            <w:r w:rsidR="00D9280C" w:rsidRPr="00F314BA">
              <w:rPr>
                <w:rFonts w:hint="cs"/>
                <w:sz w:val="22"/>
                <w:szCs w:val="22"/>
                <w:rtl/>
              </w:rPr>
              <w:t>ישראל</w:t>
            </w:r>
            <w:r w:rsidR="00D9280C">
              <w:rPr>
                <w:rFonts w:hint="cs"/>
                <w:sz w:val="22"/>
                <w:szCs w:val="22"/>
                <w:vertAlign w:val="superscript"/>
                <w:rtl/>
              </w:rPr>
              <w:t>4</w:t>
            </w:r>
          </w:p>
        </w:tc>
        <w:tc>
          <w:tcPr>
            <w:tcW w:w="90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512280" w:rsidRPr="00512280" w:rsidRDefault="00512280" w:rsidP="00D61050">
            <w:pPr>
              <w:pStyle w:val="Tablenc"/>
              <w:ind w:left="0" w:right="-132"/>
              <w:jc w:val="center"/>
              <w:rPr>
                <w:rFonts w:ascii="Times New Roman" w:hAnsi="Times New Roman"/>
                <w:sz w:val="22"/>
                <w:szCs w:val="22"/>
              </w:rPr>
            </w:pPr>
            <w:r w:rsidRPr="00512280">
              <w:rPr>
                <w:sz w:val="22"/>
                <w:szCs w:val="22"/>
              </w:rPr>
              <w:t>0.25</w:t>
            </w:r>
          </w:p>
        </w:tc>
        <w:tc>
          <w:tcPr>
            <w:tcW w:w="975" w:type="dxa"/>
            <w:tcBorders>
              <w:left w:val="single" w:sz="4" w:space="0" w:color="auto"/>
              <w:bottom w:val="single" w:sz="4" w:space="0" w:color="auto"/>
            </w:tcBorders>
            <w:shd w:val="clear" w:color="auto" w:fill="auto"/>
            <w:noWrap/>
            <w:vAlign w:val="center"/>
          </w:tcPr>
          <w:p w:rsidR="00512280" w:rsidRPr="00450001" w:rsidRDefault="00512280" w:rsidP="00934692">
            <w:pPr>
              <w:pStyle w:val="Tablenc"/>
              <w:tabs>
                <w:tab w:val="left" w:pos="715"/>
                <w:tab w:val="left" w:pos="759"/>
              </w:tabs>
              <w:ind w:left="52" w:right="-113"/>
              <w:jc w:val="center"/>
              <w:rPr>
                <w:rFonts w:ascii="Times New Roman" w:hAnsi="Times New Roman"/>
                <w:sz w:val="22"/>
                <w:szCs w:val="22"/>
                <w:rtl/>
              </w:rPr>
            </w:pPr>
            <w:r w:rsidRPr="00F314BA">
              <w:rPr>
                <w:sz w:val="22"/>
                <w:szCs w:val="22"/>
              </w:rPr>
              <w:t>0.5</w:t>
            </w:r>
            <w:r w:rsidR="00450001">
              <w:rPr>
                <w:sz w:val="22"/>
                <w:szCs w:val="22"/>
              </w:rPr>
              <w:t>0</w:t>
            </w:r>
          </w:p>
        </w:tc>
        <w:tc>
          <w:tcPr>
            <w:tcW w:w="1103" w:type="dxa"/>
            <w:tcBorders>
              <w:bottom w:val="single" w:sz="4" w:space="0" w:color="auto"/>
              <w:right w:val="single" w:sz="4" w:space="0" w:color="auto"/>
            </w:tcBorders>
            <w:shd w:val="clear" w:color="auto" w:fill="auto"/>
            <w:noWrap/>
            <w:vAlign w:val="center"/>
          </w:tcPr>
          <w:p w:rsidR="00512280" w:rsidRPr="00934692" w:rsidRDefault="00512280" w:rsidP="00934692">
            <w:pPr>
              <w:pStyle w:val="Tablenc"/>
              <w:ind w:left="0"/>
              <w:jc w:val="center"/>
              <w:rPr>
                <w:rFonts w:ascii="Times New Roman" w:hAnsi="Times New Roman" w:cstheme="majorHAnsi"/>
                <w:color w:val="4F81BD" w:themeColor="accent1"/>
                <w:sz w:val="22"/>
                <w:szCs w:val="22"/>
              </w:rPr>
            </w:pPr>
            <w:r w:rsidRPr="00934692">
              <w:rPr>
                <w:rFonts w:cstheme="majorHAnsi"/>
                <w:color w:val="4F81BD" w:themeColor="accent1"/>
                <w:sz w:val="22"/>
                <w:szCs w:val="22"/>
              </w:rPr>
              <w:t>--</w:t>
            </w:r>
          </w:p>
        </w:tc>
        <w:tc>
          <w:tcPr>
            <w:tcW w:w="975" w:type="dxa"/>
            <w:tcBorders>
              <w:left w:val="single" w:sz="4" w:space="0" w:color="auto"/>
              <w:bottom w:val="single" w:sz="4" w:space="0" w:color="auto"/>
            </w:tcBorders>
            <w:shd w:val="clear" w:color="auto" w:fill="auto"/>
            <w:noWrap/>
            <w:vAlign w:val="center"/>
          </w:tcPr>
          <w:p w:rsidR="00512280" w:rsidRPr="00A76DD5" w:rsidRDefault="00512280" w:rsidP="00934692">
            <w:pPr>
              <w:pStyle w:val="Tablenc"/>
              <w:ind w:left="0" w:right="-61"/>
              <w:jc w:val="center"/>
              <w:rPr>
                <w:sz w:val="22"/>
                <w:szCs w:val="22"/>
              </w:rPr>
            </w:pPr>
            <w:r>
              <w:rPr>
                <w:sz w:val="22"/>
                <w:szCs w:val="22"/>
              </w:rPr>
              <w:t>1.25</w:t>
            </w:r>
          </w:p>
        </w:tc>
      </w:tr>
    </w:tbl>
    <w:p w:rsidR="00512280" w:rsidRDefault="00512280" w:rsidP="00D86C93">
      <w:pPr>
        <w:pStyle w:val="af5"/>
        <w:numPr>
          <w:ilvl w:val="0"/>
          <w:numId w:val="10"/>
        </w:numPr>
        <w:spacing w:line="276" w:lineRule="auto"/>
        <w:ind w:left="1105"/>
      </w:pPr>
      <w:r>
        <w:rPr>
          <w:rFonts w:hint="cs"/>
          <w:rtl/>
        </w:rPr>
        <w:t xml:space="preserve">נתוני החשבונאות הלאומית </w:t>
      </w:r>
      <w:r>
        <w:rPr>
          <w:rtl/>
        </w:rPr>
        <w:t>–</w:t>
      </w:r>
      <w:r>
        <w:rPr>
          <w:rFonts w:hint="cs"/>
          <w:rtl/>
        </w:rPr>
        <w:t xml:space="preserve"> אומדן ראשון של </w:t>
      </w:r>
      <w:proofErr w:type="spellStart"/>
      <w:r>
        <w:rPr>
          <w:rFonts w:hint="cs"/>
          <w:rtl/>
        </w:rPr>
        <w:t>הלמ"ס</w:t>
      </w:r>
      <w:proofErr w:type="spellEnd"/>
      <w:r>
        <w:rPr>
          <w:rFonts w:hint="cs"/>
          <w:rtl/>
        </w:rPr>
        <w:t>.</w:t>
      </w:r>
    </w:p>
    <w:p w:rsidR="00E2225A" w:rsidRPr="000052A4" w:rsidRDefault="00837BE0" w:rsidP="00D86C93">
      <w:pPr>
        <w:pStyle w:val="af5"/>
        <w:numPr>
          <w:ilvl w:val="0"/>
          <w:numId w:val="10"/>
        </w:numPr>
        <w:spacing w:line="276" w:lineRule="auto"/>
        <w:ind w:left="1105"/>
      </w:pPr>
      <w:r>
        <w:rPr>
          <w:rFonts w:hint="cs"/>
          <w:rtl/>
        </w:rPr>
        <w:t>ה</w:t>
      </w:r>
      <w:r w:rsidR="00E2225A" w:rsidRPr="000052A4">
        <w:rPr>
          <w:rFonts w:hint="cs"/>
          <w:rtl/>
        </w:rPr>
        <w:t xml:space="preserve">ממוצע </w:t>
      </w:r>
      <w:r>
        <w:rPr>
          <w:rFonts w:hint="cs"/>
          <w:rtl/>
        </w:rPr>
        <w:t>ה</w:t>
      </w:r>
      <w:r w:rsidR="00E2225A" w:rsidRPr="000052A4">
        <w:rPr>
          <w:rFonts w:hint="cs"/>
          <w:rtl/>
        </w:rPr>
        <w:t>שנתי</w:t>
      </w:r>
      <w:r w:rsidR="00E2225A">
        <w:rPr>
          <w:rFonts w:hint="cs"/>
          <w:rtl/>
        </w:rPr>
        <w:t xml:space="preserve"> של האבטלה בגילי העבודה העיקריים (25</w:t>
      </w:r>
      <w:r w:rsidR="00995A26">
        <w:rPr>
          <w:rtl/>
        </w:rPr>
        <w:t>–</w:t>
      </w:r>
      <w:r w:rsidR="00E2225A">
        <w:rPr>
          <w:rFonts w:hint="cs"/>
          <w:rtl/>
        </w:rPr>
        <w:t>64)</w:t>
      </w:r>
      <w:r w:rsidR="00E073AC">
        <w:rPr>
          <w:rFonts w:hint="cs"/>
          <w:rtl/>
        </w:rPr>
        <w:t>.</w:t>
      </w:r>
    </w:p>
    <w:p w:rsidR="00E2225A" w:rsidRPr="000052A4" w:rsidRDefault="00E2225A" w:rsidP="00D86C93">
      <w:pPr>
        <w:pStyle w:val="af5"/>
        <w:numPr>
          <w:ilvl w:val="0"/>
          <w:numId w:val="10"/>
        </w:numPr>
        <w:spacing w:line="276" w:lineRule="auto"/>
        <w:ind w:left="1105"/>
      </w:pPr>
      <w:r w:rsidRPr="000052A4">
        <w:rPr>
          <w:rFonts w:hint="cs"/>
          <w:rtl/>
        </w:rPr>
        <w:t xml:space="preserve">הממוצע של מדד המחירים לצרכן ברבעון האחרון </w:t>
      </w:r>
      <w:r>
        <w:rPr>
          <w:rFonts w:hint="cs"/>
          <w:rtl/>
        </w:rPr>
        <w:t>ב</w:t>
      </w:r>
      <w:r w:rsidRPr="000052A4">
        <w:rPr>
          <w:rFonts w:hint="cs"/>
          <w:rtl/>
        </w:rPr>
        <w:t>שנה לעומת</w:t>
      </w:r>
      <w:r>
        <w:rPr>
          <w:rFonts w:hint="cs"/>
          <w:rtl/>
        </w:rPr>
        <w:t xml:space="preserve"> הממוצע</w:t>
      </w:r>
      <w:r w:rsidRPr="000052A4">
        <w:rPr>
          <w:rFonts w:hint="cs"/>
          <w:rtl/>
        </w:rPr>
        <w:t xml:space="preserve"> </w:t>
      </w:r>
      <w:r>
        <w:rPr>
          <w:rFonts w:hint="cs"/>
          <w:rtl/>
        </w:rPr>
        <w:t>ב</w:t>
      </w:r>
      <w:r w:rsidR="005F4ACF">
        <w:rPr>
          <w:rFonts w:hint="cs"/>
          <w:rtl/>
        </w:rPr>
        <w:t>רבעון האחרון בשנה הקודמת</w:t>
      </w:r>
      <w:r w:rsidR="00E073AC">
        <w:rPr>
          <w:rFonts w:hint="cs"/>
          <w:rtl/>
        </w:rPr>
        <w:t>.</w:t>
      </w:r>
    </w:p>
    <w:p w:rsidR="00E2225A" w:rsidRDefault="005F4ACF" w:rsidP="00D86C93">
      <w:pPr>
        <w:pStyle w:val="af5"/>
        <w:numPr>
          <w:ilvl w:val="0"/>
          <w:numId w:val="10"/>
        </w:numPr>
        <w:spacing w:line="276" w:lineRule="auto"/>
        <w:ind w:left="1105"/>
      </w:pPr>
      <w:r>
        <w:rPr>
          <w:rFonts w:hint="cs"/>
          <w:rtl/>
        </w:rPr>
        <w:t>בסוף השנה</w:t>
      </w:r>
      <w:r w:rsidR="00E073AC">
        <w:rPr>
          <w:rFonts w:hint="cs"/>
          <w:rtl/>
        </w:rPr>
        <w:t>.</w:t>
      </w:r>
    </w:p>
    <w:p w:rsidR="00E2225A" w:rsidRPr="00DA3590" w:rsidRDefault="00E2225A" w:rsidP="00A96EA0">
      <w:pPr>
        <w:pStyle w:val="2"/>
        <w:ind w:left="113"/>
      </w:pPr>
      <w:r w:rsidRPr="00DA3590">
        <w:rPr>
          <w:rFonts w:hint="cs"/>
          <w:rtl/>
        </w:rPr>
        <w:t>האינפלציה והריבית</w:t>
      </w:r>
    </w:p>
    <w:p w:rsidR="00512280" w:rsidRDefault="00512280" w:rsidP="00E60237">
      <w:pPr>
        <w:ind w:left="113"/>
        <w:rPr>
          <w:rFonts w:ascii="Times New Roman" w:hAnsi="Times New Roman"/>
          <w:b/>
          <w:bCs/>
          <w:rtl/>
        </w:rPr>
      </w:pPr>
      <w:r w:rsidRPr="000052A4">
        <w:rPr>
          <w:rFonts w:cs="David" w:hint="cs"/>
          <w:b/>
          <w:bCs/>
          <w:rtl/>
        </w:rPr>
        <w:t xml:space="preserve">להערכתנו, </w:t>
      </w:r>
      <w:r>
        <w:rPr>
          <w:rFonts w:cs="David" w:hint="cs"/>
          <w:b/>
          <w:bCs/>
          <w:rtl/>
        </w:rPr>
        <w:t xml:space="preserve">האינפלציה </w:t>
      </w:r>
      <w:r w:rsidRPr="00716A49">
        <w:rPr>
          <w:rFonts w:cs="David" w:hint="cs"/>
          <w:b/>
          <w:bCs/>
          <w:rtl/>
        </w:rPr>
        <w:t>ב</w:t>
      </w:r>
      <w:r>
        <w:rPr>
          <w:rFonts w:cs="David" w:hint="cs"/>
          <w:b/>
          <w:bCs/>
          <w:rtl/>
        </w:rPr>
        <w:t xml:space="preserve">סוף </w:t>
      </w:r>
      <w:r w:rsidRPr="00716A49">
        <w:rPr>
          <w:rFonts w:cs="David" w:hint="cs"/>
          <w:b/>
          <w:bCs/>
          <w:rtl/>
        </w:rPr>
        <w:t>201</w:t>
      </w:r>
      <w:r>
        <w:rPr>
          <w:rFonts w:cs="David" w:hint="cs"/>
          <w:b/>
          <w:bCs/>
          <w:rtl/>
        </w:rPr>
        <w:t xml:space="preserve">9 </w:t>
      </w:r>
      <w:r w:rsidRPr="00554FD0">
        <w:rPr>
          <w:rFonts w:cs="David" w:hint="cs"/>
          <w:b/>
          <w:bCs/>
          <w:rtl/>
        </w:rPr>
        <w:t>ובסוף 20</w:t>
      </w:r>
      <w:r>
        <w:rPr>
          <w:rFonts w:cs="David" w:hint="cs"/>
          <w:b/>
          <w:bCs/>
          <w:rtl/>
        </w:rPr>
        <w:t>20</w:t>
      </w:r>
      <w:r w:rsidRPr="00554FD0">
        <w:rPr>
          <w:rFonts w:cs="David" w:hint="cs"/>
          <w:b/>
          <w:bCs/>
          <w:rtl/>
        </w:rPr>
        <w:t xml:space="preserve"> </w:t>
      </w:r>
      <w:r>
        <w:rPr>
          <w:rFonts w:cs="David" w:hint="cs"/>
          <w:b/>
          <w:bCs/>
          <w:rtl/>
        </w:rPr>
        <w:t>צפויה להסתכם ב-1.3</w:t>
      </w:r>
      <w:r w:rsidRPr="00554FD0">
        <w:rPr>
          <w:rFonts w:cs="David" w:hint="cs"/>
          <w:b/>
          <w:bCs/>
          <w:rtl/>
        </w:rPr>
        <w:t>%</w:t>
      </w:r>
      <w:r>
        <w:rPr>
          <w:rFonts w:cs="David" w:hint="cs"/>
          <w:b/>
          <w:bCs/>
          <w:rtl/>
        </w:rPr>
        <w:t xml:space="preserve"> וב-</w:t>
      </w:r>
      <w:r w:rsidRPr="00554FD0">
        <w:rPr>
          <w:rFonts w:cs="David" w:hint="cs"/>
          <w:b/>
          <w:bCs/>
          <w:rtl/>
        </w:rPr>
        <w:t>1.</w:t>
      </w:r>
      <w:r>
        <w:rPr>
          <w:rFonts w:cs="David" w:hint="cs"/>
          <w:b/>
          <w:bCs/>
          <w:rtl/>
        </w:rPr>
        <w:t>8</w:t>
      </w:r>
      <w:r w:rsidRPr="00554FD0">
        <w:rPr>
          <w:rFonts w:cs="David" w:hint="cs"/>
          <w:b/>
          <w:bCs/>
          <w:rtl/>
        </w:rPr>
        <w:t>%</w:t>
      </w:r>
      <w:r>
        <w:rPr>
          <w:rFonts w:cs="David" w:hint="cs"/>
          <w:b/>
          <w:bCs/>
          <w:rtl/>
        </w:rPr>
        <w:t>, בהתאמה</w:t>
      </w:r>
      <w:r w:rsidRPr="00554FD0">
        <w:rPr>
          <w:rFonts w:cs="David" w:hint="cs"/>
          <w:b/>
          <w:bCs/>
          <w:rtl/>
        </w:rPr>
        <w:t>.</w:t>
      </w:r>
      <w:r>
        <w:rPr>
          <w:rFonts w:cs="David" w:hint="cs"/>
          <w:rtl/>
        </w:rPr>
        <w:t xml:space="preserve"> מדדי המחירים שפורסמו מאז פרסום התחזית הקודמת הצביעו על אינפלציה גבוהה מהצפוי, ואיששו את ההערכה </w:t>
      </w:r>
      <w:r w:rsidR="00A174AF">
        <w:rPr>
          <w:rFonts w:cs="David" w:hint="cs"/>
          <w:rtl/>
        </w:rPr>
        <w:t>ש</w:t>
      </w:r>
      <w:r>
        <w:rPr>
          <w:rFonts w:cs="David" w:hint="cs"/>
          <w:rtl/>
        </w:rPr>
        <w:t xml:space="preserve">האינפלציה </w:t>
      </w:r>
      <w:r w:rsidR="00A174AF">
        <w:rPr>
          <w:rFonts w:cs="David" w:hint="cs"/>
          <w:rtl/>
        </w:rPr>
        <w:t xml:space="preserve">התמתנה </w:t>
      </w:r>
      <w:r>
        <w:rPr>
          <w:rFonts w:cs="David" w:hint="cs"/>
          <w:rtl/>
        </w:rPr>
        <w:t xml:space="preserve">ברבעון השלישי של 2018 </w:t>
      </w:r>
      <w:r w:rsidR="00A174AF">
        <w:rPr>
          <w:rFonts w:cs="David" w:hint="cs"/>
          <w:rtl/>
        </w:rPr>
        <w:t xml:space="preserve">באופן </w:t>
      </w:r>
      <w:r>
        <w:rPr>
          <w:rFonts w:cs="David" w:hint="cs"/>
          <w:rtl/>
        </w:rPr>
        <w:t xml:space="preserve">זמני. גורמים </w:t>
      </w:r>
      <w:r w:rsidR="00A174AF">
        <w:rPr>
          <w:rFonts w:cs="David" w:hint="cs"/>
          <w:rtl/>
        </w:rPr>
        <w:t xml:space="preserve">אחדים </w:t>
      </w:r>
      <w:r>
        <w:rPr>
          <w:rFonts w:cs="David" w:hint="cs"/>
          <w:rtl/>
        </w:rPr>
        <w:t xml:space="preserve">צפויים לתמוך בעליית האינפלציה ב-2019: עליות השכר, הפיחות שחל בשער החליפין האפקטיבי וההתייקרויות במחירי החשמל, המים וביטוח הרכב. אולם מחירי הנפט </w:t>
      </w:r>
      <w:r w:rsidR="00A174AF">
        <w:rPr>
          <w:rFonts w:cs="David" w:hint="cs"/>
          <w:rtl/>
        </w:rPr>
        <w:t xml:space="preserve">צפויים למתן את האינפלציה בחודשים הקרובים שכן הם </w:t>
      </w:r>
      <w:r>
        <w:rPr>
          <w:rFonts w:cs="David" w:hint="cs"/>
          <w:rtl/>
        </w:rPr>
        <w:t xml:space="preserve">ירדו בחדות במהלך הרבעון האחרון של 2018. מכלול השיקולים הוביל אותנו להפחית מעט את התחזית ל-2019. אשר ל-2020, אנו מעריכים כי שוק העבודה ההדוק יוסיף לתמוך בעליות שכר </w:t>
      </w:r>
      <w:r w:rsidR="00A174AF">
        <w:rPr>
          <w:rFonts w:cs="David" w:hint="cs"/>
          <w:rtl/>
        </w:rPr>
        <w:t xml:space="preserve">ולכן </w:t>
      </w:r>
      <w:r w:rsidR="002F6923">
        <w:rPr>
          <w:rFonts w:cs="David" w:hint="cs"/>
          <w:rtl/>
        </w:rPr>
        <w:t xml:space="preserve">גם </w:t>
      </w:r>
      <w:r w:rsidR="00A174AF">
        <w:rPr>
          <w:rFonts w:cs="David" w:hint="cs"/>
          <w:rtl/>
        </w:rPr>
        <w:t>בכך ש</w:t>
      </w:r>
      <w:r>
        <w:rPr>
          <w:rFonts w:cs="David" w:hint="cs"/>
          <w:rtl/>
        </w:rPr>
        <w:t xml:space="preserve">האינפלציה </w:t>
      </w:r>
      <w:r w:rsidR="008B1C63">
        <w:rPr>
          <w:rFonts w:cs="David" w:hint="cs"/>
          <w:rtl/>
        </w:rPr>
        <w:t>ת</w:t>
      </w:r>
      <w:r w:rsidR="00A174AF">
        <w:rPr>
          <w:rFonts w:cs="David" w:hint="cs"/>
          <w:rtl/>
        </w:rPr>
        <w:t xml:space="preserve">תכנס </w:t>
      </w:r>
      <w:r>
        <w:rPr>
          <w:rFonts w:cs="David" w:hint="cs"/>
          <w:rtl/>
        </w:rPr>
        <w:t xml:space="preserve">למרכז היעד. </w:t>
      </w:r>
      <w:r w:rsidR="002F6923">
        <w:rPr>
          <w:rFonts w:cs="David" w:hint="cs"/>
          <w:rtl/>
        </w:rPr>
        <w:t>אולם</w:t>
      </w:r>
      <w:r>
        <w:rPr>
          <w:rFonts w:cs="David" w:hint="cs"/>
          <w:rtl/>
        </w:rPr>
        <w:t xml:space="preserve"> </w:t>
      </w:r>
      <w:r w:rsidR="003E55F1">
        <w:rPr>
          <w:rFonts w:cs="David" w:hint="cs"/>
          <w:rtl/>
        </w:rPr>
        <w:t xml:space="preserve">עליית </w:t>
      </w:r>
      <w:r>
        <w:rPr>
          <w:rFonts w:cs="David" w:hint="cs"/>
          <w:rtl/>
        </w:rPr>
        <w:t xml:space="preserve">האינפלציה צפויה </w:t>
      </w:r>
      <w:r w:rsidR="003E55F1">
        <w:rPr>
          <w:rFonts w:cs="David" w:hint="cs"/>
          <w:rtl/>
        </w:rPr>
        <w:t>להיות הדרגתית</w:t>
      </w:r>
      <w:r w:rsidRPr="00C6685E">
        <w:rPr>
          <w:rFonts w:cs="David"/>
          <w:rtl/>
        </w:rPr>
        <w:t>,</w:t>
      </w:r>
      <w:r>
        <w:rPr>
          <w:rFonts w:cs="David" w:hint="cs"/>
          <w:rtl/>
        </w:rPr>
        <w:t xml:space="preserve"> על רקע תהליכים שנראה </w:t>
      </w:r>
      <w:r w:rsidR="002F6923">
        <w:rPr>
          <w:rFonts w:cs="David" w:hint="cs"/>
          <w:rtl/>
        </w:rPr>
        <w:t xml:space="preserve">כי הם </w:t>
      </w:r>
      <w:r>
        <w:rPr>
          <w:rFonts w:cs="David" w:hint="cs"/>
          <w:rtl/>
        </w:rPr>
        <w:t xml:space="preserve">טרם מוצו: </w:t>
      </w:r>
      <w:r w:rsidRPr="00FC653E">
        <w:rPr>
          <w:rFonts w:cs="David" w:hint="cs"/>
          <w:rtl/>
        </w:rPr>
        <w:t>המשך הגידול בתחרות</w:t>
      </w:r>
      <w:r>
        <w:rPr>
          <w:rFonts w:cs="David" w:hint="cs"/>
          <w:rtl/>
        </w:rPr>
        <w:t xml:space="preserve">, </w:t>
      </w:r>
      <w:r w:rsidRPr="00FC653E">
        <w:rPr>
          <w:rFonts w:cs="David" w:hint="cs"/>
          <w:rtl/>
        </w:rPr>
        <w:t>הצעדים שהממשלה נוקטת כדי להוזיל את יוקר המחיה</w:t>
      </w:r>
      <w:r>
        <w:rPr>
          <w:rFonts w:cs="David" w:hint="cs"/>
          <w:rtl/>
        </w:rPr>
        <w:t xml:space="preserve"> והתפתחות המסחר באינטרנט</w:t>
      </w:r>
      <w:r w:rsidRPr="00FC653E">
        <w:rPr>
          <w:rFonts w:cs="David" w:hint="cs"/>
          <w:rtl/>
        </w:rPr>
        <w:t>.</w:t>
      </w:r>
    </w:p>
    <w:p w:rsidR="00512280" w:rsidRDefault="00512280" w:rsidP="00512280">
      <w:pPr>
        <w:ind w:left="113"/>
        <w:rPr>
          <w:b/>
          <w:bCs/>
          <w:rtl/>
        </w:rPr>
      </w:pPr>
    </w:p>
    <w:p w:rsidR="00512280" w:rsidRDefault="00512280" w:rsidP="005043A6">
      <w:pPr>
        <w:ind w:left="113"/>
        <w:rPr>
          <w:rtl/>
        </w:rPr>
      </w:pPr>
      <w:r w:rsidRPr="00F90B29">
        <w:rPr>
          <w:rFonts w:hint="cs"/>
          <w:b/>
          <w:bCs/>
          <w:rtl/>
        </w:rPr>
        <w:lastRenderedPageBreak/>
        <w:t>להערכת חטיבת המחקר, ריבית בנק ישראל</w:t>
      </w:r>
      <w:r w:rsidRPr="00F90B29">
        <w:rPr>
          <w:rFonts w:hint="cs"/>
          <w:rtl/>
        </w:rPr>
        <w:t xml:space="preserve"> </w:t>
      </w:r>
      <w:r w:rsidRPr="00E74D44">
        <w:rPr>
          <w:rFonts w:hint="cs"/>
          <w:b/>
          <w:bCs/>
          <w:rtl/>
        </w:rPr>
        <w:t>תעלה</w:t>
      </w:r>
      <w:r>
        <w:rPr>
          <w:rFonts w:hint="cs"/>
          <w:b/>
          <w:bCs/>
          <w:rtl/>
        </w:rPr>
        <w:t xml:space="preserve"> ל-0.5% ברבעון השלישי של 2019</w:t>
      </w:r>
      <w:r w:rsidRPr="002A6133">
        <w:rPr>
          <w:rFonts w:hint="cs"/>
          <w:rtl/>
        </w:rPr>
        <w:t>, בדומה לתחזית מאוקטובר</w:t>
      </w:r>
      <w:r w:rsidR="005043A6">
        <w:rPr>
          <w:rFonts w:hint="cs"/>
          <w:rtl/>
        </w:rPr>
        <w:t>, ותעלה</w:t>
      </w:r>
      <w:r>
        <w:rPr>
          <w:rFonts w:hint="cs"/>
          <w:rtl/>
        </w:rPr>
        <w:t xml:space="preserve"> </w:t>
      </w:r>
      <w:r w:rsidR="00CC7B24">
        <w:rPr>
          <w:rFonts w:hint="cs"/>
          <w:rtl/>
        </w:rPr>
        <w:t>שוב</w:t>
      </w:r>
      <w:r>
        <w:rPr>
          <w:rFonts w:hint="cs"/>
          <w:rtl/>
        </w:rPr>
        <w:t xml:space="preserve">, </w:t>
      </w:r>
      <w:r w:rsidR="00CC7B24">
        <w:rPr>
          <w:rFonts w:hint="cs"/>
          <w:rtl/>
        </w:rPr>
        <w:t>ל-</w:t>
      </w:r>
      <w:r>
        <w:rPr>
          <w:rFonts w:hint="cs"/>
          <w:rtl/>
        </w:rPr>
        <w:t>0.75%, ברבעון הראשון של 2020. בסך הכ</w:t>
      </w:r>
      <w:r w:rsidR="00CC7B24">
        <w:rPr>
          <w:rFonts w:hint="cs"/>
          <w:rtl/>
        </w:rPr>
        <w:t>ו</w:t>
      </w:r>
      <w:r>
        <w:rPr>
          <w:rFonts w:hint="cs"/>
          <w:rtl/>
        </w:rPr>
        <w:t xml:space="preserve">ל הריבית צפויה </w:t>
      </w:r>
      <w:r w:rsidR="00CC7B24">
        <w:rPr>
          <w:rFonts w:hint="cs"/>
          <w:rtl/>
        </w:rPr>
        <w:t>לעלות</w:t>
      </w:r>
      <w:r>
        <w:rPr>
          <w:rFonts w:hint="cs"/>
          <w:rtl/>
        </w:rPr>
        <w:t xml:space="preserve"> </w:t>
      </w:r>
      <w:r w:rsidR="00CC7B24">
        <w:rPr>
          <w:rFonts w:hint="cs"/>
          <w:rtl/>
        </w:rPr>
        <w:t>ב</w:t>
      </w:r>
      <w:r>
        <w:rPr>
          <w:rFonts w:hint="cs"/>
          <w:rtl/>
        </w:rPr>
        <w:t>הדרג</w:t>
      </w:r>
      <w:r w:rsidR="00CC7B24">
        <w:rPr>
          <w:rFonts w:hint="cs"/>
          <w:rtl/>
        </w:rPr>
        <w:t>ה</w:t>
      </w:r>
      <w:r>
        <w:rPr>
          <w:rFonts w:hint="cs"/>
          <w:rtl/>
        </w:rPr>
        <w:t xml:space="preserve"> </w:t>
      </w:r>
      <w:r w:rsidR="00CC7B24">
        <w:rPr>
          <w:rFonts w:hint="cs"/>
          <w:rtl/>
        </w:rPr>
        <w:t>ו</w:t>
      </w:r>
      <w:r>
        <w:rPr>
          <w:rFonts w:hint="cs"/>
          <w:rtl/>
        </w:rPr>
        <w:t xml:space="preserve">לתמוך </w:t>
      </w:r>
      <w:r w:rsidR="00CC7B24">
        <w:rPr>
          <w:rFonts w:hint="cs"/>
          <w:rtl/>
        </w:rPr>
        <w:t>בכך</w:t>
      </w:r>
      <w:r>
        <w:rPr>
          <w:rFonts w:hint="cs"/>
          <w:rtl/>
        </w:rPr>
        <w:t xml:space="preserve"> </w:t>
      </w:r>
      <w:r w:rsidR="00CC7B24">
        <w:rPr>
          <w:rFonts w:hint="cs"/>
          <w:rtl/>
        </w:rPr>
        <w:t>ש</w:t>
      </w:r>
      <w:r>
        <w:rPr>
          <w:rFonts w:hint="cs"/>
          <w:rtl/>
        </w:rPr>
        <w:t>האינפלציה</w:t>
      </w:r>
      <w:r w:rsidR="008B1C63">
        <w:rPr>
          <w:rFonts w:hint="cs"/>
          <w:rtl/>
        </w:rPr>
        <w:t xml:space="preserve"> תתכנס למרכז תחום היעד</w:t>
      </w:r>
      <w:r>
        <w:rPr>
          <w:rFonts w:hint="cs"/>
          <w:rtl/>
        </w:rPr>
        <w:t xml:space="preserve"> </w:t>
      </w:r>
      <w:r w:rsidR="008B1C63">
        <w:rPr>
          <w:rFonts w:hint="cs"/>
          <w:rtl/>
        </w:rPr>
        <w:t>והתוצר יוסיף לצמוח</w:t>
      </w:r>
      <w:r w:rsidR="00CC7B24">
        <w:rPr>
          <w:rFonts w:hint="cs"/>
          <w:rtl/>
        </w:rPr>
        <w:t xml:space="preserve"> </w:t>
      </w:r>
      <w:r>
        <w:rPr>
          <w:rFonts w:hint="cs"/>
          <w:rtl/>
        </w:rPr>
        <w:t xml:space="preserve">בהתאם לקצב ארוך הטווח.  </w:t>
      </w:r>
    </w:p>
    <w:p w:rsidR="002472EE" w:rsidRDefault="002472EE" w:rsidP="00C31D20">
      <w:pPr>
        <w:ind w:left="113"/>
        <w:rPr>
          <w:b/>
          <w:bCs/>
          <w:rtl/>
        </w:rPr>
      </w:pPr>
    </w:p>
    <w:tbl>
      <w:tblPr>
        <w:tblStyle w:val="2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לוח 2"/>
        <w:tblDescription w:val="השוואת התחזיות לאינפלציה ולריבית לשנה הקרובה"/>
      </w:tblPr>
      <w:tblGrid>
        <w:gridCol w:w="2368"/>
        <w:gridCol w:w="1984"/>
        <w:gridCol w:w="1984"/>
        <w:gridCol w:w="1984"/>
      </w:tblGrid>
      <w:tr w:rsidR="0098379D" w:rsidRPr="005133B3" w:rsidTr="0098379D">
        <w:trPr>
          <w:cantSplit/>
          <w:trHeight w:val="283"/>
          <w:tblHeader/>
          <w:jc w:val="center"/>
        </w:trPr>
        <w:tc>
          <w:tcPr>
            <w:tcW w:w="8320" w:type="dxa"/>
            <w:gridSpan w:val="4"/>
            <w:vAlign w:val="center"/>
          </w:tcPr>
          <w:p w:rsidR="0098379D" w:rsidRPr="00680D7F" w:rsidRDefault="0098379D" w:rsidP="00A96EA0">
            <w:pPr>
              <w:pStyle w:val="af6"/>
              <w:ind w:left="113"/>
              <w:rPr>
                <w:rFonts w:asciiTheme="minorHAnsi" w:eastAsiaTheme="minorHAnsi" w:hAnsiTheme="minorHAnsi" w:cstheme="minorBidi"/>
                <w:sz w:val="24"/>
                <w:szCs w:val="24"/>
                <w:rtl/>
              </w:rPr>
            </w:pPr>
            <w:bookmarkStart w:id="2" w:name="_Ref503164928"/>
            <w:r w:rsidRPr="00680D7F">
              <w:rPr>
                <w:rFonts w:asciiTheme="minorHAnsi" w:eastAsiaTheme="minorHAnsi" w:hAnsiTheme="minorHAnsi" w:cstheme="minorBidi"/>
                <w:sz w:val="24"/>
                <w:szCs w:val="24"/>
                <w:rtl/>
              </w:rPr>
              <w:t xml:space="preserve">לוח </w:t>
            </w:r>
            <w:r w:rsidRPr="00680D7F">
              <w:rPr>
                <w:rtl/>
              </w:rPr>
              <w:fldChar w:fldCharType="begin"/>
            </w:r>
            <w:r w:rsidRPr="00680D7F">
              <w:rPr>
                <w:rFonts w:asciiTheme="minorHAnsi" w:eastAsiaTheme="minorHAnsi" w:hAnsiTheme="minorHAnsi" w:cstheme="minorBidi"/>
                <w:sz w:val="24"/>
                <w:szCs w:val="24"/>
                <w:rtl/>
              </w:rPr>
              <w:instrText xml:space="preserve"> </w:instrText>
            </w:r>
            <w:r w:rsidRPr="00680D7F">
              <w:rPr>
                <w:rFonts w:asciiTheme="minorHAnsi" w:eastAsiaTheme="minorHAnsi" w:hAnsiTheme="minorHAnsi" w:cstheme="minorBidi" w:hint="cs"/>
                <w:sz w:val="24"/>
                <w:szCs w:val="24"/>
              </w:rPr>
              <w:instrText>SEQ</w:instrText>
            </w:r>
            <w:r w:rsidRPr="00680D7F">
              <w:rPr>
                <w:rFonts w:asciiTheme="minorHAnsi" w:eastAsiaTheme="minorHAnsi" w:hAnsiTheme="minorHAnsi" w:cstheme="minorBidi" w:hint="cs"/>
                <w:sz w:val="24"/>
                <w:szCs w:val="24"/>
                <w:rtl/>
              </w:rPr>
              <w:instrText xml:space="preserve"> לוח \* </w:instrText>
            </w:r>
            <w:r w:rsidRPr="00680D7F">
              <w:rPr>
                <w:rFonts w:asciiTheme="minorHAnsi" w:eastAsiaTheme="minorHAnsi" w:hAnsiTheme="minorHAnsi" w:cstheme="minorBidi" w:hint="cs"/>
                <w:sz w:val="24"/>
                <w:szCs w:val="24"/>
              </w:rPr>
              <w:instrText>ARABIC</w:instrText>
            </w:r>
            <w:r w:rsidRPr="00680D7F">
              <w:rPr>
                <w:rFonts w:asciiTheme="minorHAnsi" w:eastAsiaTheme="minorHAnsi" w:hAnsiTheme="minorHAnsi" w:cstheme="minorBidi"/>
                <w:sz w:val="24"/>
                <w:szCs w:val="24"/>
                <w:rtl/>
              </w:rPr>
              <w:instrText xml:space="preserve"> </w:instrText>
            </w:r>
            <w:r w:rsidRPr="00680D7F">
              <w:rPr>
                <w:rtl/>
              </w:rPr>
              <w:fldChar w:fldCharType="separate"/>
            </w:r>
            <w:r w:rsidR="00DD3AC6">
              <w:rPr>
                <w:rFonts w:asciiTheme="minorHAnsi" w:eastAsiaTheme="minorHAnsi" w:hAnsiTheme="minorHAnsi" w:cstheme="minorBidi"/>
                <w:noProof/>
                <w:sz w:val="24"/>
                <w:szCs w:val="24"/>
                <w:rtl/>
              </w:rPr>
              <w:t>2</w:t>
            </w:r>
            <w:r w:rsidRPr="00680D7F">
              <w:rPr>
                <w:rtl/>
              </w:rPr>
              <w:fldChar w:fldCharType="end"/>
            </w:r>
            <w:bookmarkEnd w:id="2"/>
          </w:p>
          <w:p w:rsidR="00366E28" w:rsidRDefault="00366E28" w:rsidP="00A96EA0">
            <w:pPr>
              <w:pStyle w:val="af6"/>
              <w:ind w:left="113"/>
              <w:rPr>
                <w:rFonts w:asciiTheme="minorHAnsi" w:eastAsiaTheme="minorHAnsi" w:hAnsiTheme="minorHAnsi" w:cstheme="minorBidi"/>
                <w:b w:val="0"/>
                <w:bCs w:val="0"/>
                <w:sz w:val="24"/>
                <w:szCs w:val="24"/>
                <w:rtl/>
              </w:rPr>
            </w:pPr>
            <w:r>
              <w:rPr>
                <w:rFonts w:asciiTheme="minorHAnsi" w:eastAsiaTheme="minorHAnsi" w:hAnsiTheme="minorHAnsi" w:cstheme="minorBidi" w:hint="cs"/>
                <w:sz w:val="24"/>
                <w:szCs w:val="24"/>
                <w:rtl/>
              </w:rPr>
              <w:t>התחזיות לגבי ה</w:t>
            </w:r>
            <w:r w:rsidRPr="00680D7F">
              <w:rPr>
                <w:rFonts w:asciiTheme="minorHAnsi" w:eastAsiaTheme="minorHAnsi" w:hAnsiTheme="minorHAnsi" w:cstheme="minorBidi" w:hint="cs"/>
                <w:sz w:val="24"/>
                <w:szCs w:val="24"/>
                <w:rtl/>
              </w:rPr>
              <w:t>אינפלציה ב</w:t>
            </w:r>
            <w:r>
              <w:rPr>
                <w:rFonts w:asciiTheme="minorHAnsi" w:eastAsiaTheme="minorHAnsi" w:hAnsiTheme="minorHAnsi" w:cstheme="minorBidi" w:hint="cs"/>
                <w:sz w:val="24"/>
                <w:szCs w:val="24"/>
                <w:rtl/>
              </w:rPr>
              <w:t>מהלך השנה הקרובה ולגבי ה</w:t>
            </w:r>
            <w:r w:rsidRPr="00680D7F">
              <w:rPr>
                <w:rFonts w:asciiTheme="minorHAnsi" w:eastAsiaTheme="minorHAnsi" w:hAnsiTheme="minorHAnsi" w:cstheme="minorBidi" w:hint="cs"/>
                <w:sz w:val="24"/>
                <w:szCs w:val="24"/>
                <w:rtl/>
              </w:rPr>
              <w:t>ריבית בעוד שנה</w:t>
            </w:r>
            <w:r w:rsidRPr="00680D7F">
              <w:rPr>
                <w:rFonts w:asciiTheme="minorHAnsi" w:eastAsiaTheme="minorHAnsi" w:hAnsiTheme="minorHAnsi" w:cstheme="minorBidi" w:hint="cs"/>
                <w:b w:val="0"/>
                <w:bCs w:val="0"/>
                <w:sz w:val="24"/>
                <w:szCs w:val="24"/>
                <w:rtl/>
              </w:rPr>
              <w:t xml:space="preserve"> </w:t>
            </w:r>
          </w:p>
          <w:p w:rsidR="0098379D" w:rsidRPr="005133B3" w:rsidRDefault="0098379D" w:rsidP="00A96EA0">
            <w:pPr>
              <w:pStyle w:val="af6"/>
              <w:ind w:left="113"/>
              <w:rPr>
                <w:b w:val="0"/>
                <w:bCs w:val="0"/>
                <w:highlight w:val="yellow"/>
                <w:rtl/>
              </w:rPr>
            </w:pPr>
            <w:r w:rsidRPr="00680D7F">
              <w:rPr>
                <w:rFonts w:asciiTheme="minorHAnsi" w:eastAsiaTheme="minorHAnsi" w:hAnsiTheme="minorHAnsi" w:cstheme="minorBidi" w:hint="cs"/>
                <w:b w:val="0"/>
                <w:bCs w:val="0"/>
                <w:sz w:val="24"/>
                <w:szCs w:val="24"/>
                <w:rtl/>
              </w:rPr>
              <w:t>(אחוזים)</w:t>
            </w:r>
          </w:p>
        </w:tc>
      </w:tr>
      <w:tr w:rsidR="0098379D" w:rsidRPr="005133B3" w:rsidTr="0098379D">
        <w:trPr>
          <w:cantSplit/>
          <w:trHeight w:val="283"/>
          <w:tblHeader/>
          <w:jc w:val="center"/>
        </w:trPr>
        <w:tc>
          <w:tcPr>
            <w:tcW w:w="0" w:type="auto"/>
            <w:tcBorders>
              <w:bottom w:val="single" w:sz="4" w:space="0" w:color="auto"/>
            </w:tcBorders>
            <w:vAlign w:val="center"/>
          </w:tcPr>
          <w:p w:rsidR="0098379D" w:rsidRPr="00A3127B" w:rsidRDefault="0098379D" w:rsidP="00A96EA0">
            <w:pPr>
              <w:pStyle w:val="Tablenc"/>
              <w:jc w:val="center"/>
              <w:rPr>
                <w:rFonts w:cstheme="minorBidi"/>
                <w:rtl/>
              </w:rPr>
            </w:pPr>
          </w:p>
        </w:tc>
        <w:tc>
          <w:tcPr>
            <w:tcW w:w="1984" w:type="dxa"/>
            <w:tcBorders>
              <w:bottom w:val="single" w:sz="4" w:space="0" w:color="auto"/>
            </w:tcBorders>
            <w:shd w:val="clear" w:color="auto" w:fill="auto"/>
            <w:vAlign w:val="center"/>
          </w:tcPr>
          <w:p w:rsidR="0098379D" w:rsidRPr="00A3127B" w:rsidRDefault="0098379D" w:rsidP="00A96EA0">
            <w:pPr>
              <w:pStyle w:val="Tablenc"/>
              <w:jc w:val="center"/>
              <w:rPr>
                <w:rFonts w:cstheme="minorBidi"/>
                <w:rtl/>
              </w:rPr>
            </w:pPr>
            <w:r w:rsidRPr="00A3127B">
              <w:rPr>
                <w:rFonts w:cstheme="minorBidi" w:hint="cs"/>
                <w:rtl/>
              </w:rPr>
              <w:t>חטיבת המחקר של בנק ישראל</w:t>
            </w:r>
          </w:p>
        </w:tc>
        <w:tc>
          <w:tcPr>
            <w:tcW w:w="1984" w:type="dxa"/>
            <w:tcBorders>
              <w:bottom w:val="single" w:sz="4" w:space="0" w:color="auto"/>
            </w:tcBorders>
            <w:shd w:val="clear" w:color="auto" w:fill="auto"/>
            <w:vAlign w:val="center"/>
          </w:tcPr>
          <w:p w:rsidR="0098379D" w:rsidRPr="00A3127B" w:rsidRDefault="0098379D" w:rsidP="00A96EA0">
            <w:pPr>
              <w:pStyle w:val="Tablenc"/>
              <w:jc w:val="center"/>
              <w:rPr>
                <w:rFonts w:cstheme="minorBidi"/>
                <w:rtl/>
              </w:rPr>
            </w:pPr>
            <w:r w:rsidRPr="00A3127B">
              <w:rPr>
                <w:rFonts w:cstheme="minorBidi" w:hint="cs"/>
                <w:rtl/>
              </w:rPr>
              <w:t>שוק ההון</w:t>
            </w:r>
            <w:r w:rsidR="002D6337" w:rsidRPr="00A3127B">
              <w:rPr>
                <w:rFonts w:cstheme="minorBidi" w:hint="cs"/>
                <w:vertAlign w:val="superscript"/>
                <w:rtl/>
              </w:rPr>
              <w:t>1</w:t>
            </w:r>
          </w:p>
        </w:tc>
        <w:tc>
          <w:tcPr>
            <w:tcW w:w="1984" w:type="dxa"/>
            <w:tcBorders>
              <w:bottom w:val="single" w:sz="4" w:space="0" w:color="auto"/>
            </w:tcBorders>
            <w:shd w:val="clear" w:color="auto" w:fill="auto"/>
            <w:vAlign w:val="center"/>
          </w:tcPr>
          <w:p w:rsidR="0098379D" w:rsidRPr="00A3127B" w:rsidRDefault="0098379D" w:rsidP="00A96EA0">
            <w:pPr>
              <w:pStyle w:val="Tablenc"/>
              <w:jc w:val="center"/>
              <w:rPr>
                <w:rFonts w:cstheme="minorBidi"/>
                <w:rtl/>
              </w:rPr>
            </w:pPr>
            <w:r w:rsidRPr="00A3127B">
              <w:rPr>
                <w:rFonts w:cstheme="minorBidi" w:hint="cs"/>
                <w:rtl/>
              </w:rPr>
              <w:t>החזאים הפרטיים</w:t>
            </w:r>
            <w:r w:rsidR="002D6337" w:rsidRPr="00A3127B">
              <w:rPr>
                <w:rFonts w:cstheme="minorBidi" w:hint="cs"/>
                <w:vertAlign w:val="superscript"/>
                <w:rtl/>
              </w:rPr>
              <w:t>2</w:t>
            </w:r>
          </w:p>
        </w:tc>
      </w:tr>
      <w:tr w:rsidR="0098379D" w:rsidRPr="005133B3" w:rsidTr="002D3AC4">
        <w:trPr>
          <w:cantSplit/>
          <w:trHeight w:val="283"/>
          <w:jc w:val="center"/>
        </w:trPr>
        <w:tc>
          <w:tcPr>
            <w:tcW w:w="0" w:type="auto"/>
            <w:tcBorders>
              <w:top w:val="single" w:sz="4" w:space="0" w:color="auto"/>
              <w:bottom w:val="single" w:sz="4" w:space="0" w:color="auto"/>
            </w:tcBorders>
            <w:vAlign w:val="center"/>
          </w:tcPr>
          <w:p w:rsidR="0098379D" w:rsidRPr="00A3127B" w:rsidRDefault="0098379D" w:rsidP="00A96EA0">
            <w:pPr>
              <w:pStyle w:val="Tablenc"/>
              <w:jc w:val="left"/>
              <w:rPr>
                <w:rFonts w:cstheme="minorBidi"/>
                <w:rtl/>
              </w:rPr>
            </w:pPr>
            <w:r w:rsidRPr="00A3127B">
              <w:rPr>
                <w:rFonts w:cstheme="minorBidi" w:hint="cs"/>
                <w:rtl/>
              </w:rPr>
              <w:t>האינפלציה</w:t>
            </w:r>
            <w:r w:rsidR="002D6337" w:rsidRPr="00A3127B">
              <w:rPr>
                <w:rFonts w:cstheme="minorBidi" w:hint="cs"/>
                <w:vertAlign w:val="superscript"/>
                <w:rtl/>
              </w:rPr>
              <w:t>3</w:t>
            </w:r>
            <w:r w:rsidRPr="00A3127B">
              <w:rPr>
                <w:rFonts w:cstheme="minorBidi" w:hint="cs"/>
                <w:rtl/>
              </w:rPr>
              <w:t xml:space="preserve"> (טווח התחזיות)</w:t>
            </w:r>
          </w:p>
        </w:tc>
        <w:tc>
          <w:tcPr>
            <w:tcW w:w="1984" w:type="dxa"/>
            <w:tcBorders>
              <w:top w:val="single" w:sz="4" w:space="0" w:color="auto"/>
              <w:bottom w:val="single" w:sz="4" w:space="0" w:color="auto"/>
            </w:tcBorders>
            <w:shd w:val="clear" w:color="auto" w:fill="auto"/>
            <w:vAlign w:val="center"/>
          </w:tcPr>
          <w:p w:rsidR="0098379D" w:rsidRPr="00A3127B" w:rsidRDefault="0098379D" w:rsidP="00512280">
            <w:pPr>
              <w:pStyle w:val="Tablenc"/>
              <w:jc w:val="center"/>
              <w:rPr>
                <w:rFonts w:cstheme="minorBidi"/>
                <w:rtl/>
              </w:rPr>
            </w:pPr>
            <w:r w:rsidRPr="00A3127B">
              <w:rPr>
                <w:rFonts w:cstheme="minorBidi" w:hint="cs"/>
                <w:rtl/>
              </w:rPr>
              <w:t>1.</w:t>
            </w:r>
            <w:r w:rsidR="00512280">
              <w:rPr>
                <w:rFonts w:cstheme="minorBidi" w:hint="cs"/>
                <w:rtl/>
              </w:rPr>
              <w:t>3</w:t>
            </w:r>
          </w:p>
        </w:tc>
        <w:tc>
          <w:tcPr>
            <w:tcW w:w="1984" w:type="dxa"/>
            <w:tcBorders>
              <w:top w:val="single" w:sz="4" w:space="0" w:color="auto"/>
              <w:bottom w:val="single" w:sz="4" w:space="0" w:color="auto"/>
            </w:tcBorders>
            <w:shd w:val="clear" w:color="auto" w:fill="auto"/>
            <w:vAlign w:val="center"/>
          </w:tcPr>
          <w:p w:rsidR="0098379D" w:rsidRPr="00A3127B" w:rsidRDefault="00D72D05" w:rsidP="00512280">
            <w:pPr>
              <w:pStyle w:val="Tablenc"/>
              <w:jc w:val="center"/>
              <w:rPr>
                <w:rFonts w:cstheme="minorBidi"/>
                <w:rtl/>
              </w:rPr>
            </w:pPr>
            <w:r w:rsidRPr="00A3127B">
              <w:rPr>
                <w:rFonts w:cstheme="minorBidi" w:hint="cs"/>
                <w:rtl/>
              </w:rPr>
              <w:t>1.</w:t>
            </w:r>
            <w:r w:rsidR="00512280">
              <w:rPr>
                <w:rFonts w:cstheme="minorBidi" w:hint="cs"/>
                <w:rtl/>
              </w:rPr>
              <w:t>2</w:t>
            </w:r>
          </w:p>
        </w:tc>
        <w:tc>
          <w:tcPr>
            <w:tcW w:w="1984" w:type="dxa"/>
            <w:tcBorders>
              <w:top w:val="single" w:sz="4" w:space="0" w:color="auto"/>
              <w:bottom w:val="single" w:sz="4" w:space="0" w:color="auto"/>
            </w:tcBorders>
            <w:shd w:val="clear" w:color="auto" w:fill="auto"/>
            <w:vAlign w:val="center"/>
          </w:tcPr>
          <w:p w:rsidR="0098379D" w:rsidRPr="00A3127B" w:rsidRDefault="00D72D05" w:rsidP="00556A60">
            <w:pPr>
              <w:pStyle w:val="Tablenc"/>
              <w:jc w:val="center"/>
              <w:rPr>
                <w:rFonts w:cstheme="minorBidi"/>
                <w:rtl/>
              </w:rPr>
            </w:pPr>
            <w:r w:rsidRPr="00A3127B">
              <w:rPr>
                <w:rFonts w:cstheme="minorBidi" w:hint="cs"/>
                <w:rtl/>
              </w:rPr>
              <w:t>1.</w:t>
            </w:r>
            <w:r w:rsidR="00556A60">
              <w:rPr>
                <w:rFonts w:cstheme="minorBidi" w:hint="cs"/>
                <w:rtl/>
              </w:rPr>
              <w:t>2</w:t>
            </w:r>
            <w:r w:rsidR="00556A60" w:rsidRPr="00A3127B">
              <w:rPr>
                <w:rFonts w:cstheme="minorBidi" w:hint="cs"/>
                <w:rtl/>
              </w:rPr>
              <w:t xml:space="preserve"> </w:t>
            </w:r>
            <w:r w:rsidR="0098379D" w:rsidRPr="00A3127B">
              <w:rPr>
                <w:rFonts w:cstheme="minorBidi" w:hint="cs"/>
                <w:rtl/>
              </w:rPr>
              <w:t>(</w:t>
            </w:r>
            <w:r w:rsidR="00556A60">
              <w:rPr>
                <w:rFonts w:cstheme="minorBidi" w:hint="cs"/>
                <w:rtl/>
              </w:rPr>
              <w:t>0.7</w:t>
            </w:r>
            <w:r w:rsidR="0098379D" w:rsidRPr="00A3127B">
              <w:rPr>
                <w:rFonts w:cstheme="minorBidi"/>
                <w:rtl/>
              </w:rPr>
              <w:t>–</w:t>
            </w:r>
            <w:r w:rsidR="00224DA1">
              <w:rPr>
                <w:rFonts w:cstheme="minorBidi" w:hint="cs"/>
                <w:rtl/>
              </w:rPr>
              <w:t>2</w:t>
            </w:r>
            <w:r w:rsidR="00F426FA" w:rsidRPr="00A3127B">
              <w:rPr>
                <w:rFonts w:cstheme="minorBidi" w:hint="cs"/>
                <w:rtl/>
              </w:rPr>
              <w:t>.</w:t>
            </w:r>
            <w:r w:rsidR="00224DA1">
              <w:rPr>
                <w:rFonts w:cstheme="minorBidi" w:hint="cs"/>
                <w:rtl/>
              </w:rPr>
              <w:t>2</w:t>
            </w:r>
            <w:r w:rsidR="0098379D" w:rsidRPr="00A3127B">
              <w:rPr>
                <w:rFonts w:cstheme="minorBidi" w:hint="cs"/>
                <w:rtl/>
              </w:rPr>
              <w:t>)</w:t>
            </w:r>
          </w:p>
        </w:tc>
      </w:tr>
      <w:tr w:rsidR="0098379D" w:rsidRPr="005133B3" w:rsidTr="002D3AC4">
        <w:trPr>
          <w:cantSplit/>
          <w:trHeight w:val="283"/>
          <w:jc w:val="center"/>
        </w:trPr>
        <w:tc>
          <w:tcPr>
            <w:tcW w:w="0" w:type="auto"/>
            <w:tcBorders>
              <w:top w:val="single" w:sz="4" w:space="0" w:color="auto"/>
              <w:bottom w:val="single" w:sz="4" w:space="0" w:color="auto"/>
            </w:tcBorders>
            <w:vAlign w:val="center"/>
          </w:tcPr>
          <w:p w:rsidR="0098379D" w:rsidRPr="00A3127B" w:rsidRDefault="0098379D" w:rsidP="00A96EA0">
            <w:pPr>
              <w:pStyle w:val="Tablenc"/>
              <w:jc w:val="left"/>
              <w:rPr>
                <w:rFonts w:cstheme="minorBidi"/>
                <w:rtl/>
              </w:rPr>
            </w:pPr>
            <w:r w:rsidRPr="00A3127B">
              <w:rPr>
                <w:rFonts w:cstheme="minorBidi" w:hint="cs"/>
                <w:rtl/>
              </w:rPr>
              <w:t>הריבית</w:t>
            </w:r>
            <w:r w:rsidR="002D6337" w:rsidRPr="00A3127B">
              <w:rPr>
                <w:rFonts w:cstheme="minorBidi" w:hint="cs"/>
                <w:vertAlign w:val="superscript"/>
                <w:rtl/>
              </w:rPr>
              <w:t xml:space="preserve">4 </w:t>
            </w:r>
            <w:r w:rsidRPr="00A3127B">
              <w:rPr>
                <w:rFonts w:cstheme="minorBidi" w:hint="cs"/>
                <w:rtl/>
              </w:rPr>
              <w:t>(טווח התחזיות)</w:t>
            </w:r>
          </w:p>
        </w:tc>
        <w:tc>
          <w:tcPr>
            <w:tcW w:w="1984" w:type="dxa"/>
            <w:tcBorders>
              <w:top w:val="single" w:sz="4" w:space="0" w:color="auto"/>
              <w:bottom w:val="single" w:sz="4" w:space="0" w:color="auto"/>
            </w:tcBorders>
            <w:shd w:val="clear" w:color="auto" w:fill="auto"/>
            <w:vAlign w:val="center"/>
          </w:tcPr>
          <w:p w:rsidR="0098379D" w:rsidRPr="00A3127B" w:rsidRDefault="0098379D" w:rsidP="00224DA1">
            <w:pPr>
              <w:pStyle w:val="Tablenc"/>
              <w:jc w:val="center"/>
              <w:rPr>
                <w:rFonts w:cstheme="minorBidi"/>
                <w:rtl/>
              </w:rPr>
            </w:pPr>
            <w:r w:rsidRPr="00A3127B">
              <w:rPr>
                <w:rFonts w:cstheme="minorBidi" w:hint="cs"/>
                <w:rtl/>
              </w:rPr>
              <w:t>0.5</w:t>
            </w:r>
            <w:r w:rsidR="001A6845">
              <w:rPr>
                <w:rFonts w:cstheme="minorBidi" w:hint="cs"/>
                <w:rtl/>
              </w:rPr>
              <w:t>0</w:t>
            </w:r>
          </w:p>
        </w:tc>
        <w:tc>
          <w:tcPr>
            <w:tcW w:w="1984" w:type="dxa"/>
            <w:tcBorders>
              <w:top w:val="single" w:sz="4" w:space="0" w:color="auto"/>
              <w:bottom w:val="single" w:sz="4" w:space="0" w:color="auto"/>
            </w:tcBorders>
            <w:shd w:val="clear" w:color="auto" w:fill="auto"/>
            <w:vAlign w:val="center"/>
          </w:tcPr>
          <w:p w:rsidR="0098379D" w:rsidRPr="00A3127B" w:rsidRDefault="0098379D" w:rsidP="001A6845">
            <w:pPr>
              <w:pStyle w:val="Tablenc"/>
              <w:jc w:val="center"/>
              <w:rPr>
                <w:rFonts w:cstheme="minorBidi"/>
                <w:rtl/>
              </w:rPr>
            </w:pPr>
            <w:r w:rsidRPr="00A3127B">
              <w:rPr>
                <w:rFonts w:cstheme="minorBidi" w:hint="cs"/>
                <w:rtl/>
              </w:rPr>
              <w:t>0.</w:t>
            </w:r>
            <w:r w:rsidR="001A6845">
              <w:rPr>
                <w:rFonts w:cstheme="minorBidi" w:hint="cs"/>
                <w:rtl/>
              </w:rPr>
              <w:t>76</w:t>
            </w:r>
          </w:p>
        </w:tc>
        <w:tc>
          <w:tcPr>
            <w:tcW w:w="1984" w:type="dxa"/>
            <w:tcBorders>
              <w:top w:val="single" w:sz="4" w:space="0" w:color="auto"/>
              <w:bottom w:val="single" w:sz="4" w:space="0" w:color="auto"/>
            </w:tcBorders>
            <w:shd w:val="clear" w:color="auto" w:fill="auto"/>
            <w:vAlign w:val="center"/>
          </w:tcPr>
          <w:p w:rsidR="0098379D" w:rsidRPr="00A3127B" w:rsidRDefault="0098379D" w:rsidP="000959E1">
            <w:pPr>
              <w:pStyle w:val="Tablenc"/>
              <w:jc w:val="center"/>
              <w:rPr>
                <w:rFonts w:cstheme="minorBidi"/>
                <w:rtl/>
              </w:rPr>
            </w:pPr>
            <w:r w:rsidRPr="00A3127B">
              <w:rPr>
                <w:rFonts w:cstheme="minorBidi" w:hint="cs"/>
                <w:rtl/>
              </w:rPr>
              <w:t>0.</w:t>
            </w:r>
            <w:r w:rsidR="00556A60">
              <w:rPr>
                <w:rFonts w:cstheme="minorBidi" w:hint="cs"/>
                <w:rtl/>
              </w:rPr>
              <w:t>65</w:t>
            </w:r>
            <w:r w:rsidR="00556A60" w:rsidRPr="00A3127B">
              <w:rPr>
                <w:rFonts w:cstheme="minorBidi" w:hint="cs"/>
                <w:rtl/>
              </w:rPr>
              <w:t xml:space="preserve">  </w:t>
            </w:r>
            <w:r w:rsidRPr="00A3127B">
              <w:rPr>
                <w:rFonts w:cstheme="minorBidi" w:hint="cs"/>
                <w:rtl/>
              </w:rPr>
              <w:t>(</w:t>
            </w:r>
            <w:r w:rsidR="00A3127B" w:rsidRPr="00A3127B">
              <w:rPr>
                <w:rFonts w:cstheme="minorBidi" w:hint="cs"/>
                <w:rtl/>
              </w:rPr>
              <w:t>0.1</w:t>
            </w:r>
            <w:r w:rsidR="00512280">
              <w:rPr>
                <w:rFonts w:cstheme="minorBidi" w:hint="cs"/>
                <w:rtl/>
              </w:rPr>
              <w:t xml:space="preserve">- </w:t>
            </w:r>
            <w:r w:rsidR="00F426FA" w:rsidRPr="00A3127B">
              <w:rPr>
                <w:rFonts w:cstheme="minorBidi"/>
                <w:rtl/>
              </w:rPr>
              <w:t>–</w:t>
            </w:r>
            <w:r w:rsidR="00512280">
              <w:rPr>
                <w:rFonts w:cstheme="minorBidi" w:hint="cs"/>
                <w:rtl/>
              </w:rPr>
              <w:t xml:space="preserve"> 1.0</w:t>
            </w:r>
            <w:r w:rsidRPr="00A3127B">
              <w:rPr>
                <w:rFonts w:cstheme="minorBidi" w:hint="cs"/>
                <w:rtl/>
              </w:rPr>
              <w:t>)</w:t>
            </w:r>
          </w:p>
        </w:tc>
      </w:tr>
      <w:tr w:rsidR="0098379D" w:rsidRPr="00940705" w:rsidTr="0098379D">
        <w:trPr>
          <w:cantSplit/>
          <w:trHeight w:val="283"/>
          <w:jc w:val="center"/>
        </w:trPr>
        <w:tc>
          <w:tcPr>
            <w:tcW w:w="8320" w:type="dxa"/>
            <w:gridSpan w:val="4"/>
            <w:tcBorders>
              <w:top w:val="single" w:sz="4" w:space="0" w:color="auto"/>
            </w:tcBorders>
            <w:vAlign w:val="center"/>
          </w:tcPr>
          <w:p w:rsidR="002D6337" w:rsidRPr="001362F8" w:rsidRDefault="002D6337" w:rsidP="007A79CD">
            <w:pPr>
              <w:numPr>
                <w:ilvl w:val="0"/>
                <w:numId w:val="9"/>
              </w:numPr>
              <w:spacing w:before="60" w:line="240" w:lineRule="auto"/>
              <w:ind w:left="423" w:hanging="283"/>
              <w:rPr>
                <w:rFonts w:cs="David"/>
                <w:sz w:val="18"/>
                <w:szCs w:val="18"/>
              </w:rPr>
            </w:pPr>
            <w:r w:rsidRPr="000052A4">
              <w:rPr>
                <w:rFonts w:cs="David" w:hint="cs"/>
                <w:sz w:val="18"/>
                <w:szCs w:val="18"/>
                <w:rtl/>
              </w:rPr>
              <w:t xml:space="preserve">הממוצע לאחר פרסום מדד המחירים לצרכן לחודש </w:t>
            </w:r>
            <w:r w:rsidR="008B1C63">
              <w:rPr>
                <w:rFonts w:cs="David" w:hint="cs"/>
                <w:sz w:val="18"/>
                <w:szCs w:val="18"/>
                <w:rtl/>
              </w:rPr>
              <w:t>נובמבר</w:t>
            </w:r>
            <w:r w:rsidRPr="001362F8">
              <w:rPr>
                <w:rFonts w:cs="David" w:hint="cs"/>
                <w:sz w:val="18"/>
                <w:szCs w:val="18"/>
                <w:rtl/>
              </w:rPr>
              <w:t>. ציפיות האינפלציה מנוכות עונתיות.</w:t>
            </w:r>
          </w:p>
          <w:p w:rsidR="002D6337" w:rsidRPr="001362F8" w:rsidRDefault="002D6337" w:rsidP="00512280">
            <w:pPr>
              <w:numPr>
                <w:ilvl w:val="0"/>
                <w:numId w:val="9"/>
              </w:numPr>
              <w:spacing w:before="60" w:line="240" w:lineRule="auto"/>
              <w:ind w:left="423" w:hanging="283"/>
              <w:rPr>
                <w:rFonts w:cs="David"/>
                <w:sz w:val="18"/>
                <w:szCs w:val="18"/>
              </w:rPr>
            </w:pPr>
            <w:r w:rsidRPr="001362F8">
              <w:rPr>
                <w:rFonts w:cs="David" w:hint="cs"/>
                <w:sz w:val="18"/>
                <w:szCs w:val="18"/>
                <w:rtl/>
              </w:rPr>
              <w:t xml:space="preserve">התחזיות </w:t>
            </w:r>
            <w:r w:rsidR="00512280">
              <w:rPr>
                <w:rFonts w:cs="David" w:hint="cs"/>
                <w:sz w:val="18"/>
                <w:szCs w:val="18"/>
                <w:rtl/>
              </w:rPr>
              <w:t xml:space="preserve">לשנת 2019 </w:t>
            </w:r>
            <w:r w:rsidRPr="001362F8">
              <w:rPr>
                <w:rFonts w:cs="David" w:hint="cs"/>
                <w:sz w:val="18"/>
                <w:szCs w:val="18"/>
                <w:rtl/>
              </w:rPr>
              <w:t xml:space="preserve">שפורסמו לאחר פרסום מדד המחירים לצרכן לחודש </w:t>
            </w:r>
            <w:r w:rsidR="00512280">
              <w:rPr>
                <w:rFonts w:cs="David" w:hint="cs"/>
                <w:sz w:val="18"/>
                <w:szCs w:val="18"/>
                <w:rtl/>
              </w:rPr>
              <w:t>נובמבר</w:t>
            </w:r>
            <w:r w:rsidRPr="001362F8">
              <w:rPr>
                <w:rFonts w:cs="David" w:hint="cs"/>
                <w:sz w:val="18"/>
                <w:szCs w:val="18"/>
                <w:rtl/>
              </w:rPr>
              <w:t>.</w:t>
            </w:r>
          </w:p>
          <w:p w:rsidR="002D6337" w:rsidRPr="000052A4" w:rsidRDefault="002D6337" w:rsidP="00512280">
            <w:pPr>
              <w:numPr>
                <w:ilvl w:val="0"/>
                <w:numId w:val="9"/>
              </w:numPr>
              <w:spacing w:before="60" w:line="240" w:lineRule="auto"/>
              <w:ind w:left="423" w:hanging="283"/>
              <w:rPr>
                <w:rFonts w:cs="David"/>
                <w:sz w:val="18"/>
                <w:szCs w:val="18"/>
              </w:rPr>
            </w:pPr>
            <w:r w:rsidRPr="000052A4">
              <w:rPr>
                <w:rFonts w:cs="David" w:hint="cs"/>
                <w:sz w:val="18"/>
                <w:szCs w:val="18"/>
                <w:rtl/>
              </w:rPr>
              <w:t>האינפלציה בשנה הקרובה (חטיבת המחקר</w:t>
            </w:r>
            <w:r>
              <w:rPr>
                <w:rFonts w:cs="David" w:hint="cs"/>
                <w:sz w:val="18"/>
                <w:szCs w:val="18"/>
                <w:rtl/>
              </w:rPr>
              <w:t xml:space="preserve"> </w:t>
            </w:r>
            <w:r>
              <w:rPr>
                <w:rFonts w:cs="David"/>
                <w:sz w:val="18"/>
                <w:szCs w:val="18"/>
                <w:rtl/>
              </w:rPr>
              <w:t>–</w:t>
            </w:r>
            <w:r>
              <w:rPr>
                <w:rFonts w:cs="David" w:hint="cs"/>
                <w:sz w:val="18"/>
                <w:szCs w:val="18"/>
                <w:rtl/>
              </w:rPr>
              <w:t xml:space="preserve"> </w:t>
            </w:r>
            <w:r w:rsidRPr="000052A4">
              <w:rPr>
                <w:rFonts w:cs="David" w:hint="cs"/>
                <w:sz w:val="18"/>
                <w:szCs w:val="18"/>
                <w:rtl/>
              </w:rPr>
              <w:t xml:space="preserve">בארבעת הרבעונים המסתיימים ברבעון </w:t>
            </w:r>
            <w:r>
              <w:rPr>
                <w:rFonts w:cs="David" w:hint="cs"/>
                <w:sz w:val="18"/>
                <w:szCs w:val="18"/>
                <w:rtl/>
              </w:rPr>
              <w:t>ה</w:t>
            </w:r>
            <w:r w:rsidR="00512280">
              <w:rPr>
                <w:rFonts w:cs="David" w:hint="cs"/>
                <w:sz w:val="18"/>
                <w:szCs w:val="18"/>
                <w:rtl/>
              </w:rPr>
              <w:t>רביעי</w:t>
            </w:r>
            <w:r>
              <w:rPr>
                <w:rFonts w:cs="David" w:hint="cs"/>
                <w:sz w:val="18"/>
                <w:szCs w:val="18"/>
                <w:rtl/>
              </w:rPr>
              <w:t xml:space="preserve"> של 2019</w:t>
            </w:r>
            <w:r w:rsidRPr="000052A4">
              <w:rPr>
                <w:rFonts w:cs="David" w:hint="cs"/>
                <w:sz w:val="18"/>
                <w:szCs w:val="18"/>
                <w:rtl/>
              </w:rPr>
              <w:t>).</w:t>
            </w:r>
          </w:p>
          <w:p w:rsidR="002D6337" w:rsidRPr="000052A4" w:rsidRDefault="002D6337" w:rsidP="00512280">
            <w:pPr>
              <w:numPr>
                <w:ilvl w:val="0"/>
                <w:numId w:val="9"/>
              </w:numPr>
              <w:spacing w:before="60" w:line="240" w:lineRule="auto"/>
              <w:ind w:left="423" w:hanging="283"/>
              <w:rPr>
                <w:rFonts w:cs="David"/>
                <w:sz w:val="18"/>
                <w:szCs w:val="18"/>
              </w:rPr>
            </w:pPr>
            <w:r w:rsidRPr="000052A4">
              <w:rPr>
                <w:rFonts w:cs="David" w:hint="cs"/>
                <w:sz w:val="18"/>
                <w:szCs w:val="18"/>
                <w:rtl/>
              </w:rPr>
              <w:t>הריבית בעוד שנה (חטיבת המחקר</w:t>
            </w:r>
            <w:r>
              <w:rPr>
                <w:rFonts w:cs="David" w:hint="cs"/>
                <w:sz w:val="18"/>
                <w:szCs w:val="18"/>
                <w:rtl/>
              </w:rPr>
              <w:t xml:space="preserve"> </w:t>
            </w:r>
            <w:r>
              <w:rPr>
                <w:rFonts w:cs="David"/>
                <w:sz w:val="18"/>
                <w:szCs w:val="18"/>
                <w:rtl/>
              </w:rPr>
              <w:t>–</w:t>
            </w:r>
            <w:r>
              <w:rPr>
                <w:rFonts w:cs="David" w:hint="cs"/>
                <w:sz w:val="18"/>
                <w:szCs w:val="18"/>
                <w:rtl/>
              </w:rPr>
              <w:t xml:space="preserve"> </w:t>
            </w:r>
            <w:r w:rsidRPr="000052A4">
              <w:rPr>
                <w:rFonts w:cs="David" w:hint="cs"/>
                <w:sz w:val="18"/>
                <w:szCs w:val="18"/>
                <w:rtl/>
              </w:rPr>
              <w:t xml:space="preserve">ברבעון </w:t>
            </w:r>
            <w:r>
              <w:rPr>
                <w:rFonts w:cs="David" w:hint="cs"/>
                <w:sz w:val="18"/>
                <w:szCs w:val="18"/>
                <w:rtl/>
              </w:rPr>
              <w:t>ה</w:t>
            </w:r>
            <w:r w:rsidR="00512280">
              <w:rPr>
                <w:rFonts w:cs="David" w:hint="cs"/>
                <w:sz w:val="18"/>
                <w:szCs w:val="18"/>
                <w:rtl/>
              </w:rPr>
              <w:t>רביע</w:t>
            </w:r>
            <w:r w:rsidR="0065160E">
              <w:rPr>
                <w:rFonts w:cs="David" w:hint="cs"/>
                <w:sz w:val="18"/>
                <w:szCs w:val="18"/>
                <w:rtl/>
              </w:rPr>
              <w:t>י</w:t>
            </w:r>
            <w:r>
              <w:rPr>
                <w:rFonts w:cs="David" w:hint="cs"/>
                <w:sz w:val="18"/>
                <w:szCs w:val="18"/>
                <w:rtl/>
              </w:rPr>
              <w:t xml:space="preserve"> </w:t>
            </w:r>
            <w:r w:rsidRPr="000052A4">
              <w:rPr>
                <w:rFonts w:cs="David" w:hint="cs"/>
                <w:sz w:val="18"/>
                <w:szCs w:val="18"/>
                <w:rtl/>
              </w:rPr>
              <w:t xml:space="preserve">של </w:t>
            </w:r>
            <w:r>
              <w:rPr>
                <w:rFonts w:cs="David" w:hint="cs"/>
                <w:sz w:val="18"/>
                <w:szCs w:val="18"/>
                <w:rtl/>
              </w:rPr>
              <w:t>2019</w:t>
            </w:r>
            <w:r w:rsidRPr="000052A4">
              <w:rPr>
                <w:rFonts w:cs="David" w:hint="cs"/>
                <w:sz w:val="18"/>
                <w:szCs w:val="18"/>
                <w:rtl/>
              </w:rPr>
              <w:t xml:space="preserve">). הציפיות משוק ההון מבוססות על שוק </w:t>
            </w:r>
            <w:proofErr w:type="spellStart"/>
            <w:r w:rsidRPr="000052A4">
              <w:rPr>
                <w:rFonts w:cs="David" w:hint="cs"/>
                <w:sz w:val="18"/>
                <w:szCs w:val="18"/>
                <w:rtl/>
              </w:rPr>
              <w:t>התלבור</w:t>
            </w:r>
            <w:proofErr w:type="spellEnd"/>
            <w:r w:rsidRPr="000052A4">
              <w:rPr>
                <w:rFonts w:cs="David" w:hint="cs"/>
                <w:sz w:val="18"/>
                <w:szCs w:val="18"/>
                <w:rtl/>
              </w:rPr>
              <w:t>.</w:t>
            </w:r>
          </w:p>
          <w:p w:rsidR="005C7A33" w:rsidRPr="002D6337" w:rsidRDefault="002D6337" w:rsidP="008B1C63">
            <w:pPr>
              <w:spacing w:before="60"/>
              <w:ind w:left="423"/>
              <w:jc w:val="left"/>
              <w:rPr>
                <w:rFonts w:cs="David"/>
                <w:sz w:val="18"/>
                <w:szCs w:val="18"/>
                <w:rtl/>
              </w:rPr>
            </w:pPr>
            <w:r w:rsidRPr="000052A4">
              <w:rPr>
                <w:rFonts w:cs="David" w:hint="cs"/>
                <w:sz w:val="18"/>
                <w:szCs w:val="18"/>
                <w:rtl/>
              </w:rPr>
              <w:t xml:space="preserve"> המקור: בנק ישראל.</w:t>
            </w:r>
          </w:p>
        </w:tc>
      </w:tr>
    </w:tbl>
    <w:p w:rsidR="00512280" w:rsidRPr="00506566" w:rsidRDefault="00512280" w:rsidP="00512280">
      <w:pPr>
        <w:spacing w:before="240"/>
        <w:ind w:left="113"/>
      </w:pPr>
      <w:r w:rsidRPr="00FA5F8B">
        <w:rPr>
          <w:rFonts w:hint="eastAsia"/>
          <w:rtl/>
        </w:rPr>
        <w:t>מ</w:t>
      </w:r>
      <w:r w:rsidRPr="00FA5F8B">
        <w:rPr>
          <w:rtl/>
        </w:rPr>
        <w:fldChar w:fldCharType="begin"/>
      </w:r>
      <w:r w:rsidRPr="00FA5F8B">
        <w:rPr>
          <w:rtl/>
        </w:rPr>
        <w:instrText xml:space="preserve"> </w:instrText>
      </w:r>
      <w:r w:rsidRPr="00FA5F8B">
        <w:instrText>REF</w:instrText>
      </w:r>
      <w:r w:rsidRPr="00FA5F8B">
        <w:rPr>
          <w:rtl/>
        </w:rPr>
        <w:instrText xml:space="preserve"> _</w:instrText>
      </w:r>
      <w:r w:rsidRPr="00FA5F8B">
        <w:instrText>Ref503164928 \h</w:instrText>
      </w:r>
      <w:r w:rsidRPr="00FA5F8B">
        <w:rPr>
          <w:rtl/>
        </w:rPr>
        <w:instrText xml:space="preserve">  \* </w:instrText>
      </w:r>
      <w:r w:rsidRPr="00FA5F8B">
        <w:instrText>MERGEFORMAT</w:instrText>
      </w:r>
      <w:r w:rsidRPr="00FA5F8B">
        <w:rPr>
          <w:rtl/>
        </w:rPr>
        <w:instrText xml:space="preserve"> </w:instrText>
      </w:r>
      <w:r w:rsidRPr="00FA5F8B">
        <w:rPr>
          <w:rtl/>
        </w:rPr>
      </w:r>
      <w:r w:rsidRPr="00FA5F8B">
        <w:rPr>
          <w:rtl/>
        </w:rPr>
        <w:fldChar w:fldCharType="separate"/>
      </w:r>
      <w:r w:rsidR="00DD3AC6" w:rsidRPr="00680D7F">
        <w:rPr>
          <w:rtl/>
        </w:rPr>
        <w:t xml:space="preserve">לוח </w:t>
      </w:r>
      <w:r w:rsidR="00DD3AC6">
        <w:rPr>
          <w:rtl/>
        </w:rPr>
        <w:t>2</w:t>
      </w:r>
      <w:r w:rsidRPr="00FA5F8B">
        <w:rPr>
          <w:rtl/>
        </w:rPr>
        <w:fldChar w:fldCharType="end"/>
      </w:r>
      <w:r w:rsidRPr="00FA5F8B">
        <w:rPr>
          <w:rtl/>
        </w:rPr>
        <w:t xml:space="preserve"> עולה כי תחזית חטיבת המחקר לגבי האינפלציה </w:t>
      </w:r>
      <w:r>
        <w:rPr>
          <w:rFonts w:hint="cs"/>
          <w:rtl/>
        </w:rPr>
        <w:t>קרובה לזו של</w:t>
      </w:r>
      <w:r w:rsidRPr="00FA5F8B">
        <w:rPr>
          <w:rtl/>
        </w:rPr>
        <w:t xml:space="preserve"> החזאים ו</w:t>
      </w:r>
      <w:r w:rsidRPr="00FA5F8B">
        <w:rPr>
          <w:rFonts w:hint="eastAsia"/>
          <w:rtl/>
        </w:rPr>
        <w:t>לציפיות</w:t>
      </w:r>
      <w:r w:rsidRPr="00FA5F8B">
        <w:rPr>
          <w:rtl/>
        </w:rPr>
        <w:t xml:space="preserve"> </w:t>
      </w:r>
      <w:r>
        <w:rPr>
          <w:rFonts w:hint="cs"/>
          <w:rtl/>
        </w:rPr>
        <w:t xml:space="preserve">הנגזרות </w:t>
      </w:r>
      <w:r w:rsidRPr="00FA5F8B">
        <w:rPr>
          <w:rFonts w:hint="eastAsia"/>
          <w:rtl/>
        </w:rPr>
        <w:t>משוק</w:t>
      </w:r>
      <w:r w:rsidRPr="00FA5F8B">
        <w:rPr>
          <w:rtl/>
        </w:rPr>
        <w:t xml:space="preserve"> ההון. </w:t>
      </w:r>
      <w:r>
        <w:rPr>
          <w:rFonts w:hint="cs"/>
          <w:rtl/>
        </w:rPr>
        <w:t xml:space="preserve">לעומת זאת, </w:t>
      </w:r>
      <w:r w:rsidRPr="00FA5F8B">
        <w:rPr>
          <w:rFonts w:hint="eastAsia"/>
          <w:rtl/>
        </w:rPr>
        <w:t>תחזית</w:t>
      </w:r>
      <w:r w:rsidRPr="00FA5F8B">
        <w:rPr>
          <w:rtl/>
        </w:rPr>
        <w:t xml:space="preserve"> </w:t>
      </w:r>
      <w:r w:rsidRPr="00FA5F8B">
        <w:rPr>
          <w:rFonts w:hint="eastAsia"/>
          <w:rtl/>
        </w:rPr>
        <w:t>חטיבת</w:t>
      </w:r>
      <w:r w:rsidRPr="00FA5F8B">
        <w:rPr>
          <w:rtl/>
        </w:rPr>
        <w:t xml:space="preserve"> </w:t>
      </w:r>
      <w:r w:rsidRPr="00FA5F8B">
        <w:rPr>
          <w:rFonts w:hint="eastAsia"/>
          <w:rtl/>
        </w:rPr>
        <w:t>המחקר</w:t>
      </w:r>
      <w:r w:rsidRPr="00FA5F8B">
        <w:rPr>
          <w:rtl/>
        </w:rPr>
        <w:t xml:space="preserve"> </w:t>
      </w:r>
      <w:r w:rsidRPr="00FA5F8B">
        <w:rPr>
          <w:rFonts w:hint="eastAsia"/>
          <w:rtl/>
        </w:rPr>
        <w:t>לגבי</w:t>
      </w:r>
      <w:r w:rsidRPr="00FA5F8B">
        <w:rPr>
          <w:rtl/>
        </w:rPr>
        <w:t xml:space="preserve"> </w:t>
      </w:r>
      <w:r w:rsidRPr="00FA5F8B">
        <w:rPr>
          <w:rFonts w:hint="eastAsia"/>
          <w:rtl/>
        </w:rPr>
        <w:t>הריבית</w:t>
      </w:r>
      <w:r w:rsidRPr="00FA5F8B">
        <w:rPr>
          <w:rtl/>
        </w:rPr>
        <w:t xml:space="preserve"> בעוד שנה </w:t>
      </w:r>
      <w:r>
        <w:rPr>
          <w:rFonts w:hint="cs"/>
          <w:rtl/>
        </w:rPr>
        <w:t>נמוכה</w:t>
      </w:r>
      <w:r w:rsidRPr="00FA5F8B">
        <w:rPr>
          <w:rtl/>
        </w:rPr>
        <w:t xml:space="preserve"> </w:t>
      </w:r>
      <w:r>
        <w:rPr>
          <w:rFonts w:hint="cs"/>
          <w:rtl/>
        </w:rPr>
        <w:t>מ</w:t>
      </w:r>
      <w:r w:rsidRPr="006708DE">
        <w:rPr>
          <w:rFonts w:hint="cs"/>
          <w:rtl/>
        </w:rPr>
        <w:t>הערכות החזאים</w:t>
      </w:r>
      <w:r w:rsidRPr="00502A99" w:rsidDel="00317D06">
        <w:rPr>
          <w:rFonts w:hint="cs"/>
          <w:rtl/>
        </w:rPr>
        <w:t xml:space="preserve"> </w:t>
      </w:r>
      <w:r>
        <w:rPr>
          <w:rFonts w:hint="cs"/>
          <w:rtl/>
        </w:rPr>
        <w:t>ומה</w:t>
      </w:r>
      <w:r w:rsidRPr="00FA5F8B">
        <w:rPr>
          <w:rFonts w:hint="eastAsia"/>
          <w:rtl/>
        </w:rPr>
        <w:t>ציפיות</w:t>
      </w:r>
      <w:r w:rsidRPr="00FA5F8B">
        <w:rPr>
          <w:rtl/>
        </w:rPr>
        <w:t xml:space="preserve"> </w:t>
      </w:r>
      <w:r w:rsidRPr="00FA5F8B">
        <w:rPr>
          <w:rFonts w:hint="eastAsia"/>
          <w:rtl/>
        </w:rPr>
        <w:t>הנגזרות</w:t>
      </w:r>
      <w:r w:rsidRPr="00FA5F8B">
        <w:rPr>
          <w:rtl/>
        </w:rPr>
        <w:t xml:space="preserve"> </w:t>
      </w:r>
      <w:r w:rsidRPr="00FA5F8B">
        <w:rPr>
          <w:rFonts w:hint="eastAsia"/>
          <w:rtl/>
        </w:rPr>
        <w:t>משוק</w:t>
      </w:r>
      <w:r w:rsidRPr="00FA5F8B">
        <w:rPr>
          <w:rtl/>
        </w:rPr>
        <w:t xml:space="preserve"> </w:t>
      </w:r>
      <w:r w:rsidRPr="00FA5F8B">
        <w:rPr>
          <w:rFonts w:hint="eastAsia"/>
          <w:rtl/>
        </w:rPr>
        <w:t>ההון</w:t>
      </w:r>
      <w:r w:rsidRPr="00FA5F8B">
        <w:rPr>
          <w:rtl/>
        </w:rPr>
        <w:t>.</w:t>
      </w:r>
    </w:p>
    <w:p w:rsidR="00F426FA" w:rsidRPr="00D90E69" w:rsidRDefault="00F426FA" w:rsidP="004036B6">
      <w:pPr>
        <w:pStyle w:val="2"/>
        <w:ind w:left="113" w:hanging="357"/>
        <w:rPr>
          <w:rtl/>
        </w:rPr>
      </w:pPr>
      <w:r>
        <w:rPr>
          <w:rFonts w:hint="cs"/>
          <w:rtl/>
        </w:rPr>
        <w:t xml:space="preserve">הסיכונים </w:t>
      </w:r>
      <w:r w:rsidR="004036B6">
        <w:rPr>
          <w:rFonts w:hint="cs"/>
          <w:rtl/>
        </w:rPr>
        <w:t>העיקריים לתחזית</w:t>
      </w:r>
    </w:p>
    <w:p w:rsidR="001A6845" w:rsidRDefault="001A6845" w:rsidP="009D52C2">
      <w:pPr>
        <w:ind w:left="113"/>
        <w:rPr>
          <w:rtl/>
        </w:rPr>
      </w:pPr>
      <w:r w:rsidRPr="00AB222C">
        <w:rPr>
          <w:rtl/>
        </w:rPr>
        <w:t xml:space="preserve">גורמים </w:t>
      </w:r>
      <w:r w:rsidR="00960823">
        <w:rPr>
          <w:rFonts w:hint="cs"/>
          <w:rtl/>
        </w:rPr>
        <w:t>רבים</w:t>
      </w:r>
      <w:r w:rsidRPr="00AB222C">
        <w:rPr>
          <w:rtl/>
        </w:rPr>
        <w:t xml:space="preserve"> עשויים להביא </w:t>
      </w:r>
      <w:r w:rsidRPr="00AB222C">
        <w:rPr>
          <w:rFonts w:hint="cs"/>
          <w:rtl/>
        </w:rPr>
        <w:t xml:space="preserve">להתפתחויות כלכליות שונות מאלה </w:t>
      </w:r>
      <w:r w:rsidR="00960823">
        <w:rPr>
          <w:rFonts w:hint="cs"/>
          <w:rtl/>
        </w:rPr>
        <w:t>ש</w:t>
      </w:r>
      <w:r w:rsidRPr="00AB222C">
        <w:rPr>
          <w:rFonts w:hint="cs"/>
          <w:rtl/>
        </w:rPr>
        <w:t>מוצגות בתחזית</w:t>
      </w:r>
      <w:r w:rsidRPr="00AB222C">
        <w:rPr>
          <w:rtl/>
        </w:rPr>
        <w:t>.</w:t>
      </w:r>
      <w:r>
        <w:rPr>
          <w:rFonts w:hint="cs"/>
          <w:rtl/>
        </w:rPr>
        <w:t xml:space="preserve"> אשר לסביבה העולמית, קרן המטבע הבי</w:t>
      </w:r>
      <w:r w:rsidR="00960823">
        <w:rPr>
          <w:rFonts w:hint="cs"/>
          <w:rtl/>
        </w:rPr>
        <w:t>ן-</w:t>
      </w:r>
      <w:r>
        <w:rPr>
          <w:rFonts w:hint="cs"/>
          <w:rtl/>
        </w:rPr>
        <w:t>לאומית וה-</w:t>
      </w:r>
      <w:r>
        <w:rPr>
          <w:rFonts w:ascii="Times New Roman" w:hAnsi="Times New Roman"/>
        </w:rPr>
        <w:t>OECD</w:t>
      </w:r>
      <w:r>
        <w:rPr>
          <w:rFonts w:ascii="Times New Roman" w:hAnsi="Times New Roman" w:hint="cs"/>
          <w:rtl/>
        </w:rPr>
        <w:t xml:space="preserve"> ציינו בפרסומיהם האחרונים כי גברו הסיכונים כלפי מטה לצמיחה ולסחר העולמיים. הסיכונים המרכזיים </w:t>
      </w:r>
      <w:r w:rsidR="00960823">
        <w:rPr>
          <w:rFonts w:ascii="Times New Roman" w:hAnsi="Times New Roman" w:hint="cs"/>
          <w:rtl/>
        </w:rPr>
        <w:t>כוללים את</w:t>
      </w:r>
      <w:r>
        <w:rPr>
          <w:rFonts w:ascii="Times New Roman" w:hAnsi="Times New Roman" w:hint="cs"/>
          <w:rtl/>
        </w:rPr>
        <w:t xml:space="preserve"> האפשרות </w:t>
      </w:r>
      <w:r w:rsidR="00960823">
        <w:rPr>
          <w:rFonts w:ascii="Times New Roman" w:hAnsi="Times New Roman" w:hint="cs"/>
          <w:rtl/>
        </w:rPr>
        <w:t xml:space="preserve">שתחול </w:t>
      </w:r>
      <w:r>
        <w:rPr>
          <w:rFonts w:ascii="Times New Roman" w:hAnsi="Times New Roman" w:hint="cs"/>
          <w:rtl/>
        </w:rPr>
        <w:t xml:space="preserve">החרפה במלחמות הסחר בין ארה"ב וסין, אי-הוודאות באשר להסכם </w:t>
      </w:r>
      <w:r w:rsidR="00960823">
        <w:rPr>
          <w:rFonts w:ascii="Times New Roman" w:hAnsi="Times New Roman" w:hint="cs"/>
          <w:rtl/>
        </w:rPr>
        <w:t>הנוגע לפרישת</w:t>
      </w:r>
      <w:r>
        <w:rPr>
          <w:rFonts w:ascii="Times New Roman" w:hAnsi="Times New Roman" w:hint="cs"/>
          <w:rtl/>
        </w:rPr>
        <w:t xml:space="preserve"> בריטניה מהאיחוד האירופי,</w:t>
      </w:r>
      <w:r w:rsidR="005043A6" w:rsidRPr="005043A6">
        <w:rPr>
          <w:rFonts w:ascii="Times New Roman" w:hAnsi="Times New Roman" w:hint="cs"/>
          <w:rtl/>
        </w:rPr>
        <w:t xml:space="preserve"> </w:t>
      </w:r>
      <w:r w:rsidR="005043A6">
        <w:rPr>
          <w:rFonts w:ascii="Times New Roman" w:hAnsi="Times New Roman" w:hint="cs"/>
          <w:rtl/>
        </w:rPr>
        <w:t>ו</w:t>
      </w:r>
      <w:r w:rsidR="005043A6">
        <w:rPr>
          <w:rtl/>
        </w:rPr>
        <w:t xml:space="preserve">תהיות בקשר ליכולת של ארה"ב וחלק ממדינות אירופה </w:t>
      </w:r>
      <w:r w:rsidR="005043A6">
        <w:rPr>
          <w:rFonts w:hint="cs"/>
          <w:rtl/>
        </w:rPr>
        <w:t>לשאת</w:t>
      </w:r>
      <w:r w:rsidR="005043A6">
        <w:rPr>
          <w:rtl/>
        </w:rPr>
        <w:t xml:space="preserve"> גירעונות ברמות </w:t>
      </w:r>
      <w:r w:rsidR="005043A6">
        <w:rPr>
          <w:rFonts w:hint="cs"/>
          <w:rtl/>
        </w:rPr>
        <w:t>הניצבות ביסוד התחזית</w:t>
      </w:r>
      <w:r>
        <w:rPr>
          <w:rFonts w:ascii="Times New Roman" w:hAnsi="Times New Roman" w:hint="cs"/>
          <w:rtl/>
        </w:rPr>
        <w:t xml:space="preserve">. חוסר הוודאות בסביבה העולמית התבטא </w:t>
      </w:r>
      <w:r w:rsidR="00960823">
        <w:rPr>
          <w:rFonts w:ascii="Times New Roman" w:hAnsi="Times New Roman" w:hint="cs"/>
          <w:rtl/>
        </w:rPr>
        <w:t>בין השאר</w:t>
      </w:r>
      <w:r>
        <w:rPr>
          <w:rFonts w:ascii="Times New Roman" w:hAnsi="Times New Roman" w:hint="cs"/>
          <w:rtl/>
        </w:rPr>
        <w:t xml:space="preserve"> </w:t>
      </w:r>
      <w:r w:rsidR="00960823">
        <w:rPr>
          <w:rFonts w:ascii="Times New Roman" w:hAnsi="Times New Roman" w:hint="cs"/>
          <w:rtl/>
        </w:rPr>
        <w:t>בכך</w:t>
      </w:r>
      <w:r>
        <w:rPr>
          <w:rFonts w:ascii="Times New Roman" w:hAnsi="Times New Roman" w:hint="cs"/>
          <w:rtl/>
        </w:rPr>
        <w:t xml:space="preserve"> </w:t>
      </w:r>
      <w:r w:rsidR="00960823">
        <w:rPr>
          <w:rFonts w:ascii="Times New Roman" w:hAnsi="Times New Roman" w:hint="cs"/>
          <w:rtl/>
        </w:rPr>
        <w:t>שה</w:t>
      </w:r>
      <w:r>
        <w:rPr>
          <w:rFonts w:ascii="Times New Roman" w:hAnsi="Times New Roman" w:hint="cs"/>
          <w:rtl/>
        </w:rPr>
        <w:t xml:space="preserve">שווקים הפיננסיים </w:t>
      </w:r>
      <w:r w:rsidR="00960823">
        <w:rPr>
          <w:rFonts w:ascii="Times New Roman" w:hAnsi="Times New Roman" w:hint="cs"/>
          <w:rtl/>
        </w:rPr>
        <w:t xml:space="preserve">הציגו תנודתיות </w:t>
      </w:r>
      <w:r>
        <w:rPr>
          <w:rFonts w:ascii="Times New Roman" w:hAnsi="Times New Roman" w:hint="cs"/>
          <w:rtl/>
        </w:rPr>
        <w:t xml:space="preserve">בשבועות האחרונים, וזו בפני עצמה </w:t>
      </w:r>
      <w:r w:rsidR="00960823">
        <w:rPr>
          <w:rFonts w:ascii="Times New Roman" w:hAnsi="Times New Roman" w:hint="cs"/>
          <w:rtl/>
        </w:rPr>
        <w:t xml:space="preserve">עלולה </w:t>
      </w:r>
      <w:r w:rsidR="005043A6">
        <w:rPr>
          <w:rFonts w:ascii="Times New Roman" w:hAnsi="Times New Roman"/>
          <w:rtl/>
        </w:rPr>
        <w:t>–</w:t>
      </w:r>
      <w:r w:rsidR="005043A6">
        <w:rPr>
          <w:rFonts w:ascii="Times New Roman" w:hAnsi="Times New Roman" w:hint="cs"/>
          <w:rtl/>
        </w:rPr>
        <w:t xml:space="preserve"> בנסיבות מסוימות </w:t>
      </w:r>
      <w:r w:rsidR="005043A6">
        <w:rPr>
          <w:rFonts w:ascii="Times New Roman" w:hAnsi="Times New Roman"/>
          <w:rtl/>
        </w:rPr>
        <w:t>–</w:t>
      </w:r>
      <w:r w:rsidR="005043A6">
        <w:rPr>
          <w:rFonts w:ascii="Times New Roman" w:hAnsi="Times New Roman" w:hint="cs"/>
          <w:rtl/>
        </w:rPr>
        <w:t xml:space="preserve"> </w:t>
      </w:r>
      <w:r>
        <w:rPr>
          <w:rFonts w:ascii="Times New Roman" w:hAnsi="Times New Roman" w:hint="cs"/>
          <w:rtl/>
        </w:rPr>
        <w:t xml:space="preserve">להוביל להאטה ריאלית, בעולם </w:t>
      </w:r>
      <w:r w:rsidR="00FD696F">
        <w:rPr>
          <w:rFonts w:ascii="Times New Roman" w:hAnsi="Times New Roman" w:hint="cs"/>
          <w:rtl/>
        </w:rPr>
        <w:t>ו</w:t>
      </w:r>
      <w:r>
        <w:rPr>
          <w:rFonts w:ascii="Times New Roman" w:hAnsi="Times New Roman" w:hint="cs"/>
          <w:rtl/>
        </w:rPr>
        <w:t xml:space="preserve">בישראל. אשר לסביבה המקומית, </w:t>
      </w:r>
      <w:r>
        <w:rPr>
          <w:rFonts w:hint="cs"/>
          <w:rtl/>
        </w:rPr>
        <w:t>קיימת אי-ודאות לגבי המידה שבה העלייה הצפויה</w:t>
      </w:r>
      <w:r w:rsidR="005043A6">
        <w:rPr>
          <w:rFonts w:hint="cs"/>
          <w:rtl/>
        </w:rPr>
        <w:t xml:space="preserve"> בשכר ו</w:t>
      </w:r>
      <w:r>
        <w:rPr>
          <w:rFonts w:hint="cs"/>
          <w:rtl/>
        </w:rPr>
        <w:t xml:space="preserve">במחירי </w:t>
      </w:r>
      <w:r w:rsidR="005043A6">
        <w:rPr>
          <w:rFonts w:hint="cs"/>
          <w:rtl/>
        </w:rPr>
        <w:t>חלק מ</w:t>
      </w:r>
      <w:r>
        <w:rPr>
          <w:rFonts w:hint="cs"/>
          <w:rtl/>
        </w:rPr>
        <w:t xml:space="preserve">התשומות (חשמל </w:t>
      </w:r>
      <w:r w:rsidR="005043A6">
        <w:rPr>
          <w:rFonts w:hint="cs"/>
          <w:rtl/>
        </w:rPr>
        <w:t>ו</w:t>
      </w:r>
      <w:r>
        <w:rPr>
          <w:rFonts w:hint="cs"/>
          <w:rtl/>
        </w:rPr>
        <w:t xml:space="preserve">מים) תתגלגל למחירי המוצרים, בין היתר </w:t>
      </w:r>
      <w:r w:rsidR="00FD696F">
        <w:rPr>
          <w:rFonts w:hint="cs"/>
          <w:rtl/>
        </w:rPr>
        <w:t xml:space="preserve">מפני שהתעורר </w:t>
      </w:r>
      <w:r w:rsidR="009D52C2">
        <w:rPr>
          <w:rFonts w:hint="cs"/>
          <w:rtl/>
        </w:rPr>
        <w:t xml:space="preserve">שיח </w:t>
      </w:r>
      <w:r>
        <w:rPr>
          <w:rFonts w:hint="cs"/>
          <w:rtl/>
        </w:rPr>
        <w:t>ציבורי</w:t>
      </w:r>
      <w:r w:rsidR="009D52C2">
        <w:rPr>
          <w:rFonts w:hint="cs"/>
          <w:rtl/>
        </w:rPr>
        <w:t xml:space="preserve"> ער</w:t>
      </w:r>
      <w:r>
        <w:rPr>
          <w:rFonts w:hint="cs"/>
          <w:rtl/>
        </w:rPr>
        <w:t xml:space="preserve"> </w:t>
      </w:r>
      <w:r w:rsidR="00FD696F">
        <w:rPr>
          <w:rFonts w:hint="cs"/>
          <w:rtl/>
        </w:rPr>
        <w:t>ו</w:t>
      </w:r>
      <w:r>
        <w:rPr>
          <w:rFonts w:hint="cs"/>
          <w:rtl/>
        </w:rPr>
        <w:t xml:space="preserve">הממשלה </w:t>
      </w:r>
      <w:r w:rsidR="00FD696F" w:rsidRPr="00A5331B">
        <w:rPr>
          <w:rFonts w:hint="eastAsia"/>
          <w:rtl/>
        </w:rPr>
        <w:t>הכריזה</w:t>
      </w:r>
      <w:r w:rsidR="005043A6">
        <w:rPr>
          <w:rFonts w:hint="cs"/>
          <w:rtl/>
        </w:rPr>
        <w:t xml:space="preserve"> שתפעל להפחית התייקרויות במחירים</w:t>
      </w:r>
      <w:r>
        <w:rPr>
          <w:rFonts w:hint="cs"/>
          <w:rtl/>
        </w:rPr>
        <w:t xml:space="preserve">. נוסף על אלו קיים סיכון כלפי מטה לתחזית הצמיחה והאינפלציה </w:t>
      </w:r>
      <w:r w:rsidR="00FD696F">
        <w:rPr>
          <w:rFonts w:hint="cs"/>
          <w:rtl/>
        </w:rPr>
        <w:t xml:space="preserve">עקב </w:t>
      </w:r>
      <w:r>
        <w:rPr>
          <w:rFonts w:hint="cs"/>
          <w:rtl/>
        </w:rPr>
        <w:t>אי-הוודאות לגבי הגורמים לירידה בצמיחה.</w:t>
      </w:r>
      <w:r w:rsidRPr="005F54EE">
        <w:rPr>
          <w:rFonts w:hint="cs"/>
          <w:rtl/>
        </w:rPr>
        <w:t xml:space="preserve"> </w:t>
      </w:r>
      <w:r w:rsidR="00FD696F">
        <w:rPr>
          <w:rFonts w:hint="cs"/>
          <w:rtl/>
        </w:rPr>
        <w:t xml:space="preserve">ביסוד </w:t>
      </w:r>
      <w:r>
        <w:rPr>
          <w:rFonts w:hint="cs"/>
          <w:rtl/>
        </w:rPr>
        <w:t xml:space="preserve">התחזית </w:t>
      </w:r>
      <w:r w:rsidR="00FD696F">
        <w:rPr>
          <w:rFonts w:hint="cs"/>
          <w:rtl/>
        </w:rPr>
        <w:t>ניצבת ההערכה</w:t>
      </w:r>
      <w:r>
        <w:rPr>
          <w:rFonts w:hint="cs"/>
          <w:rtl/>
        </w:rPr>
        <w:t xml:space="preserve"> שההאטה בקצב הצמיחה נובעת בעיקר </w:t>
      </w:r>
      <w:r w:rsidR="00FD696F">
        <w:rPr>
          <w:rFonts w:hint="cs"/>
          <w:rtl/>
        </w:rPr>
        <w:t>מכך ש</w:t>
      </w:r>
      <w:r>
        <w:rPr>
          <w:rFonts w:hint="cs"/>
          <w:rtl/>
        </w:rPr>
        <w:t xml:space="preserve">המשק </w:t>
      </w:r>
      <w:r w:rsidR="00FD696F">
        <w:rPr>
          <w:rFonts w:hint="cs"/>
          <w:rtl/>
        </w:rPr>
        <w:t>מיצה</w:t>
      </w:r>
      <w:r>
        <w:rPr>
          <w:rFonts w:hint="cs"/>
          <w:rtl/>
        </w:rPr>
        <w:t xml:space="preserve"> </w:t>
      </w:r>
      <w:r w:rsidR="00FD696F">
        <w:rPr>
          <w:rFonts w:hint="cs"/>
          <w:rtl/>
        </w:rPr>
        <w:t>את ה</w:t>
      </w:r>
      <w:r>
        <w:rPr>
          <w:rFonts w:hint="cs"/>
          <w:rtl/>
        </w:rPr>
        <w:t xml:space="preserve">עודף </w:t>
      </w:r>
      <w:r w:rsidR="00FD696F">
        <w:rPr>
          <w:rFonts w:hint="cs"/>
          <w:rtl/>
        </w:rPr>
        <w:t>ב</w:t>
      </w:r>
      <w:r>
        <w:rPr>
          <w:rFonts w:hint="cs"/>
          <w:rtl/>
        </w:rPr>
        <w:t xml:space="preserve">כושר הייצור </w:t>
      </w:r>
      <w:r w:rsidR="00FD696F">
        <w:rPr>
          <w:rFonts w:hint="cs"/>
          <w:rtl/>
        </w:rPr>
        <w:t>ו</w:t>
      </w:r>
      <w:r>
        <w:rPr>
          <w:rFonts w:hint="cs"/>
          <w:rtl/>
        </w:rPr>
        <w:t xml:space="preserve">גוברת </w:t>
      </w:r>
      <w:r w:rsidR="00FD696F">
        <w:rPr>
          <w:rFonts w:hint="cs"/>
          <w:rtl/>
        </w:rPr>
        <w:t xml:space="preserve">השפעתן </w:t>
      </w:r>
      <w:r>
        <w:rPr>
          <w:rFonts w:hint="cs"/>
          <w:rtl/>
        </w:rPr>
        <w:t xml:space="preserve">של </w:t>
      </w:r>
      <w:r w:rsidR="00FD696F">
        <w:rPr>
          <w:rFonts w:hint="cs"/>
          <w:rtl/>
        </w:rPr>
        <w:t>ה</w:t>
      </w:r>
      <w:r>
        <w:rPr>
          <w:rFonts w:hint="cs"/>
          <w:rtl/>
        </w:rPr>
        <w:t xml:space="preserve">מגבלות בצד ההיצע. </w:t>
      </w:r>
      <w:r w:rsidR="00FD696F">
        <w:rPr>
          <w:rFonts w:hint="cs"/>
          <w:rtl/>
        </w:rPr>
        <w:t>אולם</w:t>
      </w:r>
      <w:r>
        <w:rPr>
          <w:rFonts w:hint="cs"/>
          <w:rtl/>
        </w:rPr>
        <w:t xml:space="preserve"> ייתכן שההאטה בצמיחה משקפת האטה מסוימת בקצב </w:t>
      </w:r>
      <w:r w:rsidR="00FD696F">
        <w:rPr>
          <w:rFonts w:hint="cs"/>
          <w:rtl/>
        </w:rPr>
        <w:t>ה</w:t>
      </w:r>
      <w:r>
        <w:rPr>
          <w:rFonts w:hint="cs"/>
          <w:rtl/>
        </w:rPr>
        <w:t>צמיח</w:t>
      </w:r>
      <w:r w:rsidR="00FD696F">
        <w:rPr>
          <w:rFonts w:hint="cs"/>
          <w:rtl/>
        </w:rPr>
        <w:t>ה</w:t>
      </w:r>
      <w:r>
        <w:rPr>
          <w:rFonts w:hint="cs"/>
          <w:rtl/>
        </w:rPr>
        <w:t xml:space="preserve"> </w:t>
      </w:r>
      <w:r w:rsidR="00FD696F">
        <w:rPr>
          <w:rFonts w:hint="cs"/>
          <w:rtl/>
        </w:rPr>
        <w:t xml:space="preserve">של </w:t>
      </w:r>
      <w:r>
        <w:rPr>
          <w:rFonts w:hint="cs"/>
          <w:rtl/>
        </w:rPr>
        <w:t xml:space="preserve">הביקוש המקומי. במצב כזה תיתכן </w:t>
      </w:r>
      <w:r w:rsidR="00FD696F">
        <w:rPr>
          <w:rFonts w:hint="cs"/>
          <w:rtl/>
        </w:rPr>
        <w:t xml:space="preserve">בצמיחה </w:t>
      </w:r>
      <w:r>
        <w:rPr>
          <w:rFonts w:hint="cs"/>
          <w:rtl/>
        </w:rPr>
        <w:t>האטה משמעותית יותר מאשר האטה אל הקצב ארוך הטווח</w:t>
      </w:r>
      <w:r w:rsidR="00FD696F">
        <w:rPr>
          <w:rFonts w:hint="cs"/>
          <w:rtl/>
        </w:rPr>
        <w:t>,</w:t>
      </w:r>
      <w:r>
        <w:rPr>
          <w:rFonts w:hint="cs"/>
          <w:rtl/>
        </w:rPr>
        <w:t xml:space="preserve"> וכן </w:t>
      </w:r>
      <w:r w:rsidR="00FD696F">
        <w:rPr>
          <w:rFonts w:hint="cs"/>
          <w:rtl/>
        </w:rPr>
        <w:t xml:space="preserve">תיתכן </w:t>
      </w:r>
      <w:r>
        <w:rPr>
          <w:rFonts w:hint="cs"/>
          <w:rtl/>
        </w:rPr>
        <w:t>עלייה מתונה יותר באינפלציה המקומית.</w:t>
      </w:r>
    </w:p>
    <w:p w:rsidR="007D727D" w:rsidRDefault="00F426FA" w:rsidP="00F21FD2">
      <w:pPr>
        <w:ind w:left="113"/>
        <w:rPr>
          <w:rFonts w:ascii="Times New Roman" w:hAnsi="Times New Roman"/>
          <w:rtl/>
        </w:rPr>
      </w:pPr>
      <w:r w:rsidRPr="00DB1EFB">
        <w:rPr>
          <w:rFonts w:hint="cs"/>
          <w:rtl/>
        </w:rPr>
        <w:lastRenderedPageBreak/>
        <w:t>איורים 1</w:t>
      </w:r>
      <w:r w:rsidRPr="00DB1EFB">
        <w:rPr>
          <w:rtl/>
        </w:rPr>
        <w:t>–</w:t>
      </w:r>
      <w:r w:rsidRPr="00DB1EFB">
        <w:rPr>
          <w:rFonts w:hint="cs"/>
          <w:rtl/>
        </w:rPr>
        <w:t>3 מציגים מניפות לתחזיות האינפלציה, הריבית וקצב הצמיחה של התוצר. מרכז המניפה (הקו הלבן) משקף את תחזית חטיבת המחקר</w:t>
      </w:r>
      <w:r w:rsidRPr="00DB1EFB">
        <w:rPr>
          <w:rStyle w:val="ac"/>
          <w:rtl/>
        </w:rPr>
        <w:footnoteReference w:id="5"/>
      </w:r>
      <w:r w:rsidRPr="00DB1EFB">
        <w:rPr>
          <w:rFonts w:hint="cs"/>
          <w:rtl/>
        </w:rPr>
        <w:t xml:space="preserve">. הקו המרוסק מייצג את תחזית החטיבה מהרבעון הקודם. מוטת המניפות </w:t>
      </w:r>
      <w:r w:rsidR="00F21FD2" w:rsidRPr="00DB1EFB">
        <w:rPr>
          <w:rFonts w:hint="cs"/>
          <w:rtl/>
        </w:rPr>
        <w:t xml:space="preserve">אינה מבטאת הערכה שיפוטית בנוגע לסיכונים לתחזית ולהתפלגותם אלא </w:t>
      </w:r>
      <w:r w:rsidRPr="00DB1EFB">
        <w:rPr>
          <w:rFonts w:hint="cs"/>
          <w:rtl/>
        </w:rPr>
        <w:t>נגזרת מהתפלגויות הזעזועים הנאמדות במודל ה-</w:t>
      </w:r>
      <w:r w:rsidRPr="00DB1EFB">
        <w:rPr>
          <w:rFonts w:hint="cs"/>
        </w:rPr>
        <w:t>DSGE</w:t>
      </w:r>
      <w:r w:rsidRPr="00DB1EFB">
        <w:rPr>
          <w:rFonts w:hint="cs"/>
          <w:rtl/>
        </w:rPr>
        <w:t xml:space="preserve"> של חטיבת המחקר</w:t>
      </w:r>
      <w:r w:rsidR="00F21FD2" w:rsidRPr="00DB1EFB">
        <w:rPr>
          <w:rFonts w:hint="cs"/>
          <w:rtl/>
        </w:rPr>
        <w:t xml:space="preserve">. </w:t>
      </w:r>
      <w:r w:rsidRPr="00DB1EFB">
        <w:rPr>
          <w:rFonts w:hint="cs"/>
          <w:rtl/>
        </w:rPr>
        <w:t>מלוא מוטת המניפה מכסה 66% מההתפלגות הצפויה.</w:t>
      </w:r>
    </w:p>
    <w:p w:rsidR="001A4894" w:rsidRPr="00DB1EFB" w:rsidRDefault="001A4894" w:rsidP="00F21FD2">
      <w:pPr>
        <w:ind w:left="113"/>
        <w:rPr>
          <w:rFonts w:ascii="Times New Roman" w:hAnsi="Times New Roman"/>
          <w:rtl/>
        </w:rPr>
      </w:pPr>
    </w:p>
    <w:p w:rsidR="001F0DFC" w:rsidRPr="00DB1EFB" w:rsidRDefault="00DF5F29" w:rsidP="00A96EA0">
      <w:pPr>
        <w:pStyle w:val="af6"/>
        <w:ind w:left="113"/>
        <w:rPr>
          <w:rtl/>
        </w:rPr>
      </w:pPr>
      <w:r w:rsidRPr="00DB1EFB">
        <w:rPr>
          <w:rtl/>
        </w:rPr>
        <w:t xml:space="preserve">איור </w:t>
      </w:r>
      <w:r w:rsidR="00A96EA0" w:rsidRPr="00DB1EFB">
        <w:rPr>
          <w:noProof/>
        </w:rPr>
        <w:fldChar w:fldCharType="begin"/>
      </w:r>
      <w:r w:rsidR="00A96EA0" w:rsidRPr="00DB1EFB">
        <w:rPr>
          <w:noProof/>
        </w:rPr>
        <w:instrText xml:space="preserve"> SEQ </w:instrText>
      </w:r>
      <w:r w:rsidR="00A96EA0" w:rsidRPr="00DB1EFB">
        <w:rPr>
          <w:noProof/>
          <w:rtl/>
        </w:rPr>
        <w:instrText>איור</w:instrText>
      </w:r>
      <w:r w:rsidR="00A96EA0" w:rsidRPr="00DB1EFB">
        <w:rPr>
          <w:noProof/>
        </w:rPr>
        <w:instrText xml:space="preserve"> \* ARABIC \* Arabic </w:instrText>
      </w:r>
      <w:r w:rsidR="00A96EA0" w:rsidRPr="00DB1EFB">
        <w:rPr>
          <w:noProof/>
        </w:rPr>
        <w:fldChar w:fldCharType="separate"/>
      </w:r>
      <w:r w:rsidR="00DD3AC6">
        <w:rPr>
          <w:noProof/>
        </w:rPr>
        <w:t>1</w:t>
      </w:r>
      <w:r w:rsidR="00A96EA0" w:rsidRPr="00DB1EFB">
        <w:rPr>
          <w:noProof/>
        </w:rPr>
        <w:fldChar w:fldCharType="end"/>
      </w:r>
    </w:p>
    <w:p w:rsidR="00E2225A" w:rsidRPr="00DB1EFB" w:rsidRDefault="00E2225A" w:rsidP="00A96EA0">
      <w:pPr>
        <w:pStyle w:val="af6"/>
        <w:ind w:left="113"/>
        <w:rPr>
          <w:rtl/>
        </w:rPr>
      </w:pPr>
      <w:r w:rsidRPr="00DB1EFB">
        <w:rPr>
          <w:rFonts w:hint="cs"/>
          <w:rtl/>
        </w:rPr>
        <w:t>האינפלציה בפועל ומניפה לאינפלציה הצפויה</w:t>
      </w:r>
    </w:p>
    <w:p w:rsidR="00E2225A" w:rsidRPr="00DB1EFB" w:rsidRDefault="00E2225A" w:rsidP="00A96EA0">
      <w:pPr>
        <w:pStyle w:val="af6"/>
        <w:ind w:left="113"/>
        <w:rPr>
          <w:b w:val="0"/>
          <w:bCs w:val="0"/>
          <w:rtl/>
        </w:rPr>
      </w:pPr>
      <w:r w:rsidRPr="00DB1EFB">
        <w:rPr>
          <w:rFonts w:hint="cs"/>
          <w:b w:val="0"/>
          <w:bCs w:val="0"/>
          <w:rtl/>
        </w:rPr>
        <w:t>(שיעור העלייה המצטברת במחירים בארבעת הרבעונים האחרונים)</w:t>
      </w:r>
    </w:p>
    <w:p w:rsidR="00A61184" w:rsidRPr="00DB1EFB" w:rsidRDefault="00AA61B7" w:rsidP="00A96EA0">
      <w:pPr>
        <w:ind w:left="113"/>
        <w:jc w:val="center"/>
        <w:rPr>
          <w:rtl/>
        </w:rPr>
      </w:pPr>
      <w:r>
        <w:rPr>
          <w:noProof/>
        </w:rPr>
        <w:drawing>
          <wp:inline distT="0" distB="0" distL="0" distR="0" wp14:anchorId="53DD54D0">
            <wp:extent cx="5529600" cy="3369600"/>
            <wp:effectExtent l="0" t="0" r="0" b="254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9600" cy="3369600"/>
                    </a:xfrm>
                    <a:prstGeom prst="rect">
                      <a:avLst/>
                    </a:prstGeom>
                    <a:noFill/>
                  </pic:spPr>
                </pic:pic>
              </a:graphicData>
            </a:graphic>
          </wp:inline>
        </w:drawing>
      </w:r>
    </w:p>
    <w:p w:rsidR="001F0DFC" w:rsidRPr="00DB1EFB" w:rsidRDefault="00DF5F29" w:rsidP="00A96EA0">
      <w:pPr>
        <w:pStyle w:val="af6"/>
        <w:ind w:left="113"/>
        <w:rPr>
          <w:rtl/>
        </w:rPr>
      </w:pPr>
      <w:r w:rsidRPr="00DB1EFB">
        <w:rPr>
          <w:rtl/>
        </w:rPr>
        <w:lastRenderedPageBreak/>
        <w:t xml:space="preserve">איור </w:t>
      </w:r>
      <w:r w:rsidRPr="00DB1EFB">
        <w:rPr>
          <w:rtl/>
        </w:rPr>
        <w:fldChar w:fldCharType="begin"/>
      </w:r>
      <w:r w:rsidRPr="00DB1EFB">
        <w:rPr>
          <w:rtl/>
        </w:rPr>
        <w:instrText xml:space="preserve"> </w:instrText>
      </w:r>
      <w:r w:rsidRPr="00DB1EFB">
        <w:rPr>
          <w:rFonts w:hint="cs"/>
        </w:rPr>
        <w:instrText>SEQ</w:instrText>
      </w:r>
      <w:r w:rsidRPr="00DB1EFB">
        <w:rPr>
          <w:rFonts w:hint="cs"/>
          <w:rtl/>
        </w:rPr>
        <w:instrText xml:space="preserve"> איור \* </w:instrText>
      </w:r>
      <w:r w:rsidRPr="00DB1EFB">
        <w:rPr>
          <w:rFonts w:hint="cs"/>
        </w:rPr>
        <w:instrText>ARABIC</w:instrText>
      </w:r>
      <w:r w:rsidRPr="00DB1EFB">
        <w:rPr>
          <w:rtl/>
        </w:rPr>
        <w:instrText xml:space="preserve"> </w:instrText>
      </w:r>
      <w:r w:rsidRPr="00DB1EFB">
        <w:rPr>
          <w:rtl/>
        </w:rPr>
        <w:fldChar w:fldCharType="separate"/>
      </w:r>
      <w:r w:rsidR="00DD3AC6">
        <w:rPr>
          <w:noProof/>
          <w:rtl/>
        </w:rPr>
        <w:t>2</w:t>
      </w:r>
      <w:r w:rsidRPr="00DB1EFB">
        <w:rPr>
          <w:rtl/>
        </w:rPr>
        <w:fldChar w:fldCharType="end"/>
      </w:r>
      <w:r w:rsidR="001B3457" w:rsidRPr="00DB1EFB">
        <w:rPr>
          <w:rFonts w:hint="cs"/>
          <w:rtl/>
        </w:rPr>
        <w:t xml:space="preserve"> </w:t>
      </w:r>
    </w:p>
    <w:p w:rsidR="00E2225A" w:rsidRPr="00DB1EFB" w:rsidRDefault="00E2225A" w:rsidP="00A96EA0">
      <w:pPr>
        <w:pStyle w:val="af6"/>
        <w:ind w:left="113"/>
        <w:rPr>
          <w:sz w:val="20"/>
          <w:szCs w:val="20"/>
          <w:rtl/>
        </w:rPr>
      </w:pPr>
      <w:r w:rsidRPr="00DB1EFB">
        <w:rPr>
          <w:rFonts w:hint="cs"/>
          <w:rtl/>
        </w:rPr>
        <w:t>ריבית בנק ישראל בפועל ומניפה לריבית הצפויה</w:t>
      </w:r>
    </w:p>
    <w:p w:rsidR="00A61184" w:rsidRPr="00DB1EFB" w:rsidRDefault="00AA61B7" w:rsidP="00A96EA0">
      <w:pPr>
        <w:ind w:left="113"/>
        <w:jc w:val="center"/>
        <w:rPr>
          <w:rtl/>
        </w:rPr>
      </w:pPr>
      <w:r>
        <w:rPr>
          <w:noProof/>
        </w:rPr>
        <w:drawing>
          <wp:inline distT="0" distB="0" distL="0" distR="0" wp14:anchorId="4E8F317B">
            <wp:extent cx="5529600" cy="3369600"/>
            <wp:effectExtent l="0" t="0" r="0" b="254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9600" cy="3369600"/>
                    </a:xfrm>
                    <a:prstGeom prst="rect">
                      <a:avLst/>
                    </a:prstGeom>
                    <a:noFill/>
                  </pic:spPr>
                </pic:pic>
              </a:graphicData>
            </a:graphic>
          </wp:inline>
        </w:drawing>
      </w:r>
    </w:p>
    <w:p w:rsidR="00557EC4" w:rsidRPr="00DB1EFB" w:rsidRDefault="00DF5F29" w:rsidP="00A96EA0">
      <w:pPr>
        <w:pStyle w:val="af6"/>
        <w:ind w:left="113"/>
        <w:rPr>
          <w:color w:val="auto"/>
          <w:sz w:val="28"/>
          <w:szCs w:val="28"/>
          <w:rtl/>
        </w:rPr>
      </w:pPr>
      <w:bookmarkStart w:id="3" w:name="_Ref503088452"/>
      <w:r w:rsidRPr="00DB1EFB">
        <w:rPr>
          <w:rtl/>
        </w:rPr>
        <w:t xml:space="preserve">איור </w:t>
      </w:r>
      <w:r w:rsidRPr="00DB1EFB">
        <w:rPr>
          <w:rtl/>
        </w:rPr>
        <w:fldChar w:fldCharType="begin"/>
      </w:r>
      <w:r w:rsidRPr="00DB1EFB">
        <w:rPr>
          <w:rtl/>
        </w:rPr>
        <w:instrText xml:space="preserve"> </w:instrText>
      </w:r>
      <w:r w:rsidRPr="00DB1EFB">
        <w:rPr>
          <w:rFonts w:hint="eastAsia"/>
        </w:rPr>
        <w:instrText>SEQ</w:instrText>
      </w:r>
      <w:r w:rsidRPr="00DB1EFB">
        <w:rPr>
          <w:rFonts w:hint="eastAsia"/>
          <w:rtl/>
        </w:rPr>
        <w:instrText xml:space="preserve"> איור \* </w:instrText>
      </w:r>
      <w:r w:rsidRPr="00DB1EFB">
        <w:rPr>
          <w:rFonts w:hint="eastAsia"/>
        </w:rPr>
        <w:instrText>ARABIC</w:instrText>
      </w:r>
      <w:r w:rsidRPr="00DB1EFB">
        <w:rPr>
          <w:rtl/>
        </w:rPr>
        <w:instrText xml:space="preserve"> </w:instrText>
      </w:r>
      <w:r w:rsidRPr="00DB1EFB">
        <w:rPr>
          <w:rtl/>
        </w:rPr>
        <w:fldChar w:fldCharType="separate"/>
      </w:r>
      <w:r w:rsidR="00DD3AC6">
        <w:rPr>
          <w:noProof/>
          <w:rtl/>
        </w:rPr>
        <w:t>3</w:t>
      </w:r>
      <w:r w:rsidRPr="00DB1EFB">
        <w:rPr>
          <w:rtl/>
        </w:rPr>
        <w:fldChar w:fldCharType="end"/>
      </w:r>
      <w:bookmarkEnd w:id="3"/>
      <w:r w:rsidR="00A61184" w:rsidRPr="00DB1EFB">
        <w:rPr>
          <w:rFonts w:hint="cs"/>
          <w:rtl/>
        </w:rPr>
        <w:t xml:space="preserve"> </w:t>
      </w:r>
    </w:p>
    <w:p w:rsidR="00E2225A" w:rsidRPr="00DB1EFB" w:rsidRDefault="00E2225A" w:rsidP="00A96EA0">
      <w:pPr>
        <w:pStyle w:val="af6"/>
        <w:ind w:left="113"/>
        <w:rPr>
          <w:rtl/>
        </w:rPr>
      </w:pPr>
      <w:r w:rsidRPr="00DB1EFB">
        <w:rPr>
          <w:rFonts w:hint="cs"/>
          <w:rtl/>
        </w:rPr>
        <w:t>שיעור הצמיחה בפועל בארבעת הרבעונים האחרונים ומניפה לשיעור הצמיחה הצפוי</w:t>
      </w:r>
    </w:p>
    <w:p w:rsidR="00E2225A" w:rsidRPr="002E23E3" w:rsidRDefault="00E2225A" w:rsidP="00A96EA0">
      <w:pPr>
        <w:pStyle w:val="af6"/>
        <w:ind w:left="113"/>
        <w:rPr>
          <w:b w:val="0"/>
          <w:bCs w:val="0"/>
          <w:rtl/>
        </w:rPr>
      </w:pPr>
      <w:r w:rsidRPr="00DB1EFB">
        <w:rPr>
          <w:rFonts w:hint="cs"/>
          <w:b w:val="0"/>
          <w:bCs w:val="0"/>
          <w:rtl/>
        </w:rPr>
        <w:t>(התוצר בארבעת הרבעונים האחרונים לעומת התוצר בארבעת הרבעונים הקודמים להם)</w:t>
      </w:r>
    </w:p>
    <w:p w:rsidR="003A111B" w:rsidRDefault="00556A60" w:rsidP="003B6CBA">
      <w:pPr>
        <w:pStyle w:val="ad"/>
        <w:ind w:left="113"/>
        <w:rPr>
          <w:rtl/>
        </w:rPr>
      </w:pPr>
      <w:r>
        <w:rPr>
          <w:noProof/>
        </w:rPr>
        <w:drawing>
          <wp:inline distT="0" distB="0" distL="0" distR="0" wp14:anchorId="1E0049C0" wp14:editId="0C1A08B8">
            <wp:extent cx="5529600" cy="3369600"/>
            <wp:effectExtent l="0" t="0" r="0" b="254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9600" cy="3369600"/>
                    </a:xfrm>
                    <a:prstGeom prst="rect">
                      <a:avLst/>
                    </a:prstGeom>
                    <a:noFill/>
                  </pic:spPr>
                </pic:pic>
              </a:graphicData>
            </a:graphic>
          </wp:inline>
        </w:drawing>
      </w:r>
    </w:p>
    <w:sectPr w:rsidR="003A111B" w:rsidSect="003D17B1">
      <w:footerReference w:type="default" r:id="rId16"/>
      <w:pgSz w:w="11906" w:h="16838"/>
      <w:pgMar w:top="1440" w:right="1077" w:bottom="1440" w:left="1077" w:header="709" w:footer="397"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24" w:rsidRDefault="00C33824" w:rsidP="002D3013">
      <w:r>
        <w:separator/>
      </w:r>
    </w:p>
    <w:p w:rsidR="00C33824" w:rsidRDefault="00C33824" w:rsidP="002D3013"/>
    <w:p w:rsidR="00C33824" w:rsidRDefault="00C33824" w:rsidP="002D3013"/>
    <w:p w:rsidR="00C33824" w:rsidRDefault="00C33824" w:rsidP="002D3013"/>
  </w:endnote>
  <w:endnote w:type="continuationSeparator" w:id="0">
    <w:p w:rsidR="00C33824" w:rsidRDefault="00C33824" w:rsidP="002D3013">
      <w:r>
        <w:continuationSeparator/>
      </w:r>
    </w:p>
    <w:p w:rsidR="00C33824" w:rsidRDefault="00C33824" w:rsidP="002D3013"/>
    <w:p w:rsidR="00C33824" w:rsidRDefault="00C33824" w:rsidP="002D3013"/>
    <w:p w:rsidR="00C33824" w:rsidRDefault="00C33824" w:rsidP="002D3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bidiVisual/>
      <w:tblW w:w="9395"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229"/>
      <w:gridCol w:w="2166"/>
    </w:tblGrid>
    <w:tr w:rsidR="00625305" w:rsidRPr="0071030A" w:rsidTr="00B0741E">
      <w:tc>
        <w:tcPr>
          <w:tcW w:w="7229" w:type="dxa"/>
          <w:vAlign w:val="center"/>
        </w:tcPr>
        <w:p w:rsidR="00625305" w:rsidRPr="00DD3AC6" w:rsidRDefault="00625305" w:rsidP="001A6845">
          <w:pPr>
            <w:ind w:left="0"/>
            <w:jc w:val="left"/>
            <w:rPr>
              <w:rFonts w:cstheme="minorBidi"/>
              <w:color w:val="808080" w:themeColor="background1" w:themeShade="80"/>
              <w:sz w:val="22"/>
              <w:szCs w:val="22"/>
              <w:rtl/>
            </w:rPr>
          </w:pPr>
          <w:r w:rsidRPr="00DD3AC6">
            <w:rPr>
              <w:rFonts w:cstheme="minorBidi" w:hint="cs"/>
              <w:color w:val="808080" w:themeColor="background1" w:themeShade="80"/>
              <w:sz w:val="22"/>
              <w:szCs w:val="22"/>
              <w:rtl/>
            </w:rPr>
            <w:t xml:space="preserve">בנק ישראל </w:t>
          </w:r>
          <w:r w:rsidRPr="00DD3AC6">
            <w:rPr>
              <w:rFonts w:cstheme="minorBidi"/>
              <w:color w:val="808080" w:themeColor="background1" w:themeShade="80"/>
              <w:sz w:val="22"/>
              <w:szCs w:val="22"/>
              <w:rtl/>
            </w:rPr>
            <w:t>–</w:t>
          </w:r>
          <w:r w:rsidRPr="00DD3AC6">
            <w:rPr>
              <w:rFonts w:cstheme="minorBidi" w:hint="cs"/>
              <w:color w:val="808080" w:themeColor="background1" w:themeShade="80"/>
              <w:sz w:val="22"/>
              <w:szCs w:val="22"/>
              <w:rtl/>
            </w:rPr>
            <w:t xml:space="preserve"> התחזית המקרו-כלכלית של חטיבת המחקר, </w:t>
          </w:r>
          <w:r w:rsidR="001A6845" w:rsidRPr="00DD3AC6">
            <w:rPr>
              <w:rFonts w:cstheme="minorBidi" w:hint="cs"/>
              <w:color w:val="808080" w:themeColor="background1" w:themeShade="80"/>
              <w:sz w:val="22"/>
              <w:szCs w:val="22"/>
              <w:rtl/>
            </w:rPr>
            <w:t xml:space="preserve">ינואר </w:t>
          </w:r>
          <w:r w:rsidRPr="00DD3AC6">
            <w:rPr>
              <w:rFonts w:cstheme="minorBidi" w:hint="cs"/>
              <w:color w:val="808080" w:themeColor="background1" w:themeShade="80"/>
              <w:sz w:val="22"/>
              <w:szCs w:val="22"/>
              <w:rtl/>
            </w:rPr>
            <w:t xml:space="preserve"> 201</w:t>
          </w:r>
          <w:r w:rsidR="001A6845" w:rsidRPr="00DD3AC6">
            <w:rPr>
              <w:rFonts w:cstheme="minorBidi" w:hint="cs"/>
              <w:color w:val="808080" w:themeColor="background1" w:themeShade="80"/>
              <w:sz w:val="22"/>
              <w:szCs w:val="22"/>
              <w:rtl/>
            </w:rPr>
            <w:t>9</w:t>
          </w:r>
          <w:r w:rsidRPr="00DD3AC6">
            <w:rPr>
              <w:rFonts w:cstheme="minorBidi" w:hint="cs"/>
              <w:color w:val="808080" w:themeColor="background1" w:themeShade="80"/>
              <w:sz w:val="22"/>
              <w:szCs w:val="22"/>
              <w:rtl/>
            </w:rPr>
            <w:tab/>
          </w:r>
        </w:p>
      </w:tc>
      <w:tc>
        <w:tcPr>
          <w:tcW w:w="2166" w:type="dxa"/>
        </w:tcPr>
        <w:p w:rsidR="00625305" w:rsidRPr="00DD3AC6" w:rsidRDefault="00625305" w:rsidP="00625305">
          <w:pPr>
            <w:jc w:val="right"/>
            <w:rPr>
              <w:rFonts w:cstheme="minorBidi"/>
              <w:color w:val="808080" w:themeColor="background1" w:themeShade="80"/>
              <w:sz w:val="22"/>
              <w:szCs w:val="22"/>
              <w:rtl/>
            </w:rPr>
          </w:pPr>
          <w:r w:rsidRPr="00DD3AC6">
            <w:rPr>
              <w:rFonts w:cstheme="minorBidi" w:hint="cs"/>
              <w:color w:val="808080" w:themeColor="background1" w:themeShade="80"/>
              <w:sz w:val="22"/>
              <w:szCs w:val="22"/>
              <w:rtl/>
            </w:rPr>
            <w:t xml:space="preserve">עמוד </w:t>
          </w:r>
          <w:r w:rsidRPr="00DD3AC6">
            <w:rPr>
              <w:color w:val="808080" w:themeColor="background1" w:themeShade="80"/>
              <w:sz w:val="22"/>
              <w:szCs w:val="22"/>
              <w:rtl/>
            </w:rPr>
            <w:fldChar w:fldCharType="begin"/>
          </w:r>
          <w:r w:rsidRPr="00DD3AC6">
            <w:rPr>
              <w:rFonts w:cstheme="minorBidi" w:hint="cs"/>
              <w:color w:val="808080" w:themeColor="background1" w:themeShade="80"/>
              <w:sz w:val="22"/>
              <w:szCs w:val="22"/>
            </w:rPr>
            <w:instrText>PAGE</w:instrText>
          </w:r>
          <w:r w:rsidRPr="00DD3AC6">
            <w:rPr>
              <w:color w:val="808080" w:themeColor="background1" w:themeShade="80"/>
              <w:sz w:val="22"/>
              <w:szCs w:val="22"/>
              <w:rtl/>
            </w:rPr>
            <w:fldChar w:fldCharType="separate"/>
          </w:r>
          <w:r w:rsidR="00DD3AC6">
            <w:rPr>
              <w:noProof/>
              <w:color w:val="808080" w:themeColor="background1" w:themeShade="80"/>
              <w:sz w:val="22"/>
              <w:szCs w:val="22"/>
              <w:rtl/>
            </w:rPr>
            <w:t>2</w:t>
          </w:r>
          <w:r w:rsidRPr="00DD3AC6">
            <w:rPr>
              <w:color w:val="808080" w:themeColor="background1" w:themeShade="80"/>
              <w:sz w:val="22"/>
              <w:szCs w:val="22"/>
              <w:rtl/>
            </w:rPr>
            <w:fldChar w:fldCharType="end"/>
          </w:r>
          <w:r w:rsidRPr="00DD3AC6">
            <w:rPr>
              <w:rFonts w:cstheme="minorBidi" w:hint="cs"/>
              <w:color w:val="808080" w:themeColor="background1" w:themeShade="80"/>
              <w:sz w:val="22"/>
              <w:szCs w:val="22"/>
              <w:rtl/>
            </w:rPr>
            <w:t xml:space="preserve"> מתוך </w:t>
          </w:r>
          <w:r w:rsidRPr="00DD3AC6">
            <w:rPr>
              <w:color w:val="808080" w:themeColor="background1" w:themeShade="80"/>
              <w:sz w:val="22"/>
              <w:szCs w:val="22"/>
              <w:rtl/>
            </w:rPr>
            <w:fldChar w:fldCharType="begin"/>
          </w:r>
          <w:r w:rsidRPr="00DD3AC6">
            <w:rPr>
              <w:rFonts w:cstheme="minorBidi" w:hint="cs"/>
              <w:color w:val="808080" w:themeColor="background1" w:themeShade="80"/>
              <w:sz w:val="22"/>
              <w:szCs w:val="22"/>
            </w:rPr>
            <w:instrText>NUMPAGES</w:instrText>
          </w:r>
          <w:r w:rsidRPr="00DD3AC6">
            <w:rPr>
              <w:color w:val="808080" w:themeColor="background1" w:themeShade="80"/>
              <w:sz w:val="22"/>
              <w:szCs w:val="22"/>
              <w:rtl/>
            </w:rPr>
            <w:fldChar w:fldCharType="separate"/>
          </w:r>
          <w:r w:rsidR="00DD3AC6">
            <w:rPr>
              <w:noProof/>
              <w:color w:val="808080" w:themeColor="background1" w:themeShade="80"/>
              <w:sz w:val="22"/>
              <w:szCs w:val="22"/>
              <w:rtl/>
            </w:rPr>
            <w:t>5</w:t>
          </w:r>
          <w:r w:rsidRPr="00DD3AC6">
            <w:rPr>
              <w:color w:val="808080" w:themeColor="background1" w:themeShade="80"/>
              <w:sz w:val="22"/>
              <w:szCs w:val="22"/>
              <w:rtl/>
            </w:rPr>
            <w:fldChar w:fldCharType="end"/>
          </w:r>
        </w:p>
      </w:tc>
    </w:tr>
  </w:tbl>
  <w:p w:rsidR="000850E0" w:rsidRDefault="000850E0" w:rsidP="007103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24" w:rsidRDefault="00C33824" w:rsidP="002D3013">
      <w:r>
        <w:separator/>
      </w:r>
    </w:p>
  </w:footnote>
  <w:footnote w:type="continuationSeparator" w:id="0">
    <w:p w:rsidR="00C33824" w:rsidRDefault="00C33824" w:rsidP="002D3013">
      <w:r>
        <w:continuationSeparator/>
      </w:r>
    </w:p>
  </w:footnote>
  <w:footnote w:type="continuationNotice" w:id="1">
    <w:p w:rsidR="00C33824" w:rsidRDefault="00C33824">
      <w:pPr>
        <w:spacing w:line="240" w:lineRule="auto"/>
      </w:pPr>
    </w:p>
  </w:footnote>
  <w:footnote w:id="2">
    <w:p w:rsidR="00073E16" w:rsidRPr="00E178D1" w:rsidRDefault="00073E16" w:rsidP="00847258">
      <w:pPr>
        <w:pStyle w:val="aa"/>
        <w:ind w:left="254"/>
      </w:pPr>
      <w:r>
        <w:rPr>
          <w:rStyle w:val="ac"/>
        </w:rPr>
        <w:footnoteRef/>
      </w:r>
      <w:r>
        <w:rPr>
          <w:rtl/>
        </w:rPr>
        <w:t xml:space="preserve"> </w:t>
      </w:r>
      <w:r w:rsidRPr="00E178D1">
        <w:rPr>
          <w:rFonts w:cs="David"/>
          <w:rtl/>
        </w:rPr>
        <w:t>התחזית הוצגה לוועדה המוניטרית ב-</w:t>
      </w:r>
      <w:r>
        <w:rPr>
          <w:rFonts w:cs="David" w:hint="cs"/>
          <w:rtl/>
        </w:rPr>
        <w:t>6 בינואר 2019</w:t>
      </w:r>
      <w:r w:rsidRPr="00E178D1">
        <w:rPr>
          <w:rFonts w:cs="David"/>
          <w:rtl/>
        </w:rPr>
        <w:t>, לקראת החלטת הריבית שהתקבלה ב-</w:t>
      </w:r>
      <w:r>
        <w:rPr>
          <w:rFonts w:cs="David" w:hint="cs"/>
          <w:rtl/>
        </w:rPr>
        <w:t>7 בינואר 2019</w:t>
      </w:r>
      <w:r>
        <w:rPr>
          <w:rFonts w:hint="cs"/>
          <w:rtl/>
        </w:rPr>
        <w:t>.</w:t>
      </w:r>
    </w:p>
  </w:footnote>
  <w:footnote w:id="3">
    <w:p w:rsidR="00257C94" w:rsidRPr="0009398B" w:rsidRDefault="005D72AD" w:rsidP="00241EFC">
      <w:pPr>
        <w:pStyle w:val="aa"/>
        <w:spacing w:line="276" w:lineRule="auto"/>
        <w:ind w:left="254"/>
        <w:rPr>
          <w:rFonts w:cs="David"/>
          <w:rtl/>
        </w:rPr>
      </w:pPr>
      <w:r>
        <w:rPr>
          <w:rStyle w:val="ac"/>
        </w:rPr>
        <w:footnoteRef/>
      </w:r>
      <w:r>
        <w:rPr>
          <w:rtl/>
        </w:rPr>
        <w:t xml:space="preserve"> </w:t>
      </w:r>
      <w:r w:rsidR="00257C94" w:rsidRPr="0009398B">
        <w:rPr>
          <w:rFonts w:cs="David" w:hint="cs"/>
          <w:rtl/>
        </w:rPr>
        <w:t>הסבר על התחזיות המקרו-כלכליות שחטיבת המחקר מגבשת, וכן סקירה של המודלים שהן מושתתות עליהם, מופיעים בדוח האינפלציה 31 (לרבעון השני של 2010), סעיף 3ג. נייר העבודה על מודל ה-</w:t>
      </w:r>
      <w:r w:rsidR="00257C94" w:rsidRPr="0009398B">
        <w:rPr>
          <w:rFonts w:cs="David"/>
        </w:rPr>
        <w:t>DSGE</w:t>
      </w:r>
      <w:r w:rsidR="00257C94" w:rsidRPr="0009398B">
        <w:rPr>
          <w:rFonts w:cs="David" w:hint="cs"/>
          <w:rtl/>
        </w:rPr>
        <w:t xml:space="preserve"> זמין באתר האינטרנט של בנק ישראל. כותרתו</w:t>
      </w:r>
    </w:p>
    <w:p w:rsidR="005D72AD" w:rsidRPr="00257C94" w:rsidRDefault="00257C94" w:rsidP="00241EFC">
      <w:pPr>
        <w:pStyle w:val="aa"/>
        <w:bidi w:val="0"/>
        <w:spacing w:line="276" w:lineRule="auto"/>
        <w:ind w:left="254"/>
        <w:rPr>
          <w:rFonts w:ascii="Times New Roman" w:hAnsi="Times New Roman"/>
        </w:rPr>
      </w:pPr>
      <w:r w:rsidRPr="0009398B">
        <w:rPr>
          <w:rFonts w:cs="David"/>
        </w:rPr>
        <w:t>MOISE: A DSGE Model for the Israeli Economy, Discussion Paper No. 2012.06.</w:t>
      </w:r>
    </w:p>
  </w:footnote>
  <w:footnote w:id="4">
    <w:p w:rsidR="00FB545A" w:rsidRPr="00847258" w:rsidRDefault="00FB545A" w:rsidP="0075509A">
      <w:pPr>
        <w:pStyle w:val="aa"/>
        <w:ind w:left="254"/>
        <w:rPr>
          <w:rFonts w:ascii="Times New Roman" w:hAnsi="Times New Roman"/>
          <w:rtl/>
        </w:rPr>
      </w:pPr>
      <w:r>
        <w:rPr>
          <w:rStyle w:val="ac"/>
        </w:rPr>
        <w:footnoteRef/>
      </w:r>
      <w:r>
        <w:rPr>
          <w:rtl/>
        </w:rPr>
        <w:t xml:space="preserve"> </w:t>
      </w:r>
      <w:r>
        <w:rPr>
          <w:rFonts w:hint="cs"/>
          <w:rtl/>
        </w:rPr>
        <w:t>הציפיות הנגזרות מחוזים עתידיים על ריבית ה-</w:t>
      </w:r>
      <w:r>
        <w:rPr>
          <w:rFonts w:ascii="Times New Roman" w:hAnsi="Times New Roman"/>
        </w:rPr>
        <w:t>Fed</w:t>
      </w:r>
      <w:r>
        <w:rPr>
          <w:rFonts w:ascii="Times New Roman" w:hAnsi="Times New Roman" w:hint="cs"/>
          <w:rtl/>
        </w:rPr>
        <w:t xml:space="preserve"> ירדו ב</w:t>
      </w:r>
      <w:r w:rsidR="009D52C2">
        <w:rPr>
          <w:rFonts w:ascii="Times New Roman" w:hAnsi="Times New Roman" w:hint="cs"/>
          <w:rtl/>
        </w:rPr>
        <w:t>ימים</w:t>
      </w:r>
      <w:r>
        <w:rPr>
          <w:rFonts w:ascii="Times New Roman" w:hAnsi="Times New Roman" w:hint="cs"/>
          <w:rtl/>
        </w:rPr>
        <w:t xml:space="preserve"> האחרונים והן עומדות על 2.35% לסוף 2019 ו-</w:t>
      </w:r>
      <w:r w:rsidR="009D52C2">
        <w:rPr>
          <w:rFonts w:ascii="Times New Roman" w:hAnsi="Times New Roman" w:hint="cs"/>
          <w:rtl/>
        </w:rPr>
        <w:t>2.1% לסוף 2020.</w:t>
      </w:r>
      <w:r w:rsidR="00241EFC">
        <w:rPr>
          <w:rFonts w:ascii="Times New Roman" w:hAnsi="Times New Roman" w:hint="cs"/>
          <w:rtl/>
        </w:rPr>
        <w:t xml:space="preserve"> התחזיות של בתי ההשקעות נותרו ללא שינוי</w:t>
      </w:r>
      <w:r w:rsidR="00BA230C">
        <w:rPr>
          <w:rFonts w:ascii="Times New Roman" w:hAnsi="Times New Roman" w:hint="cs"/>
          <w:rtl/>
        </w:rPr>
        <w:t xml:space="preserve"> נכון למועד עריכת התחזית</w:t>
      </w:r>
      <w:r w:rsidR="00241EFC">
        <w:rPr>
          <w:rFonts w:ascii="Times New Roman" w:hAnsi="Times New Roman" w:hint="cs"/>
          <w:rtl/>
        </w:rPr>
        <w:t>.</w:t>
      </w:r>
      <w:r w:rsidR="0075509A">
        <w:rPr>
          <w:rFonts w:ascii="Times New Roman" w:hAnsi="Times New Roman" w:hint="cs"/>
          <w:rtl/>
        </w:rPr>
        <w:t xml:space="preserve"> על פי ניתוח המבוסס על מודל חטיבת המחקר, להתפתחות הנ"ל, שאינה מלווה בעדכון תחזיות האינפלציה והפעילות בחו"ל, לא צפויה השפעה משמעותית על ההתפתחויות המקומיות.</w:t>
      </w:r>
    </w:p>
  </w:footnote>
  <w:footnote w:id="5">
    <w:p w:rsidR="00F426FA" w:rsidRDefault="00F426FA" w:rsidP="001A6845">
      <w:pPr>
        <w:pStyle w:val="aa"/>
        <w:rPr>
          <w:rtl/>
        </w:rPr>
      </w:pPr>
      <w:r>
        <w:rPr>
          <w:rStyle w:val="ac"/>
        </w:rPr>
        <w:footnoteRef/>
      </w:r>
      <w:r>
        <w:rPr>
          <w:rtl/>
        </w:rPr>
        <w:t xml:space="preserve"> </w:t>
      </w:r>
      <w:r>
        <w:rPr>
          <w:rFonts w:cs="David" w:hint="cs"/>
          <w:rtl/>
        </w:rPr>
        <w:t>לגבי</w:t>
      </w:r>
      <w:r w:rsidRPr="00B07DD6">
        <w:rPr>
          <w:rFonts w:cs="David"/>
          <w:rtl/>
        </w:rPr>
        <w:t xml:space="preserve"> צמיחת התוצר (</w:t>
      </w:r>
      <w:r>
        <w:rPr>
          <w:rFonts w:cs="David"/>
          <w:rtl/>
        </w:rPr>
        <w:fldChar w:fldCharType="begin"/>
      </w:r>
      <w:r>
        <w:rPr>
          <w:rFonts w:cs="David"/>
          <w:rtl/>
        </w:rPr>
        <w:instrText xml:space="preserve"> </w:instrText>
      </w:r>
      <w:r>
        <w:rPr>
          <w:rFonts w:cs="David"/>
        </w:rPr>
        <w:instrText>REF</w:instrText>
      </w:r>
      <w:r>
        <w:rPr>
          <w:rFonts w:cs="David"/>
          <w:rtl/>
        </w:rPr>
        <w:instrText xml:space="preserve"> _</w:instrText>
      </w:r>
      <w:r>
        <w:rPr>
          <w:rFonts w:cs="David"/>
        </w:rPr>
        <w:instrText>Ref503088452 \h</w:instrText>
      </w:r>
      <w:r>
        <w:rPr>
          <w:rFonts w:cs="David"/>
          <w:rtl/>
        </w:rPr>
        <w:instrText xml:space="preserve"> </w:instrText>
      </w:r>
      <w:r>
        <w:rPr>
          <w:rFonts w:cs="David"/>
          <w:rtl/>
        </w:rPr>
      </w:r>
      <w:r>
        <w:rPr>
          <w:rFonts w:cs="David"/>
          <w:rtl/>
        </w:rPr>
        <w:fldChar w:fldCharType="separate"/>
      </w:r>
      <w:r w:rsidR="00DD3AC6" w:rsidRPr="00DB1EFB">
        <w:rPr>
          <w:rtl/>
        </w:rPr>
        <w:t xml:space="preserve">איור </w:t>
      </w:r>
      <w:r w:rsidR="00DD3AC6">
        <w:rPr>
          <w:noProof/>
          <w:rtl/>
        </w:rPr>
        <w:t>3</w:t>
      </w:r>
      <w:r>
        <w:rPr>
          <w:rFonts w:cs="David"/>
          <w:rtl/>
        </w:rPr>
        <w:fldChar w:fldCharType="end"/>
      </w:r>
      <w:r w:rsidRPr="00B07DD6">
        <w:rPr>
          <w:rFonts w:cs="David"/>
          <w:rtl/>
        </w:rPr>
        <w:t>), עד</w:t>
      </w:r>
      <w:r>
        <w:rPr>
          <w:rFonts w:cs="David" w:hint="cs"/>
          <w:rtl/>
        </w:rPr>
        <w:t xml:space="preserve"> </w:t>
      </w:r>
      <w:r w:rsidR="001A6845">
        <w:rPr>
          <w:rFonts w:cs="David" w:hint="cs"/>
          <w:rtl/>
        </w:rPr>
        <w:t>ספטמבר</w:t>
      </w:r>
      <w:r w:rsidRPr="00B07DD6">
        <w:rPr>
          <w:rFonts w:cs="David"/>
          <w:rtl/>
        </w:rPr>
        <w:t xml:space="preserve"> 201</w:t>
      </w:r>
      <w:r w:rsidR="00AB222C">
        <w:rPr>
          <w:rFonts w:cs="David" w:hint="cs"/>
          <w:rtl/>
        </w:rPr>
        <w:t>8</w:t>
      </w:r>
      <w:r w:rsidRPr="00B07DD6">
        <w:rPr>
          <w:rFonts w:cs="David"/>
          <w:rtl/>
        </w:rPr>
        <w:t xml:space="preserve"> הקו המרוסק מבטא את הנתונים והאומדנים הזמינים בעת עריכת התחזית הקודמת, ואילו הקו המלא מבטא את הנתונים והאומדנים העדכניים (</w:t>
      </w:r>
      <w:r>
        <w:rPr>
          <w:rFonts w:cs="David" w:hint="cs"/>
          <w:rtl/>
        </w:rPr>
        <w:t>ה</w:t>
      </w:r>
      <w:r w:rsidRPr="00B07DD6">
        <w:rPr>
          <w:rFonts w:cs="David"/>
          <w:rtl/>
        </w:rPr>
        <w:t xml:space="preserve">פער ביניהם נובע מנתונים חדשים </w:t>
      </w:r>
      <w:proofErr w:type="spellStart"/>
      <w:r w:rsidRPr="00B07DD6">
        <w:rPr>
          <w:rFonts w:cs="David"/>
          <w:rtl/>
        </w:rPr>
        <w:t>ו</w:t>
      </w:r>
      <w:r>
        <w:rPr>
          <w:rFonts w:cs="David" w:hint="cs"/>
          <w:rtl/>
        </w:rPr>
        <w:t>מ</w:t>
      </w:r>
      <w:r>
        <w:rPr>
          <w:rFonts w:cs="David"/>
          <w:rtl/>
        </w:rPr>
        <w:t>רוויזיות</w:t>
      </w:r>
      <w:proofErr w:type="spellEnd"/>
      <w:r>
        <w:rPr>
          <w:rFonts w:cs="David"/>
          <w:rtl/>
        </w:rPr>
        <w:t xml:space="preserve"> ש</w:t>
      </w:r>
      <w:r>
        <w:rPr>
          <w:rFonts w:cs="David" w:hint="cs"/>
          <w:rtl/>
        </w:rPr>
        <w:t xml:space="preserve">ערכה </w:t>
      </w:r>
      <w:proofErr w:type="spellStart"/>
      <w:r>
        <w:rPr>
          <w:rFonts w:cs="David"/>
          <w:rtl/>
        </w:rPr>
        <w:t>הלמ"ס</w:t>
      </w:r>
      <w:proofErr w:type="spellEnd"/>
      <w:r>
        <w:rPr>
          <w:rFonts w:cs="David"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9A6D90"/>
    <w:lvl w:ilvl="0">
      <w:start w:val="1"/>
      <w:numFmt w:val="decimal"/>
      <w:lvlText w:val="%1."/>
      <w:lvlJc w:val="left"/>
      <w:pPr>
        <w:tabs>
          <w:tab w:val="num" w:pos="1492"/>
        </w:tabs>
        <w:ind w:left="1492" w:hanging="360"/>
      </w:pPr>
    </w:lvl>
  </w:abstractNum>
  <w:abstractNum w:abstractNumId="1">
    <w:nsid w:val="FFFFFF7D"/>
    <w:multiLevelType w:val="singleLevel"/>
    <w:tmpl w:val="8EE2D54C"/>
    <w:lvl w:ilvl="0">
      <w:start w:val="1"/>
      <w:numFmt w:val="decimal"/>
      <w:lvlText w:val="%1."/>
      <w:lvlJc w:val="left"/>
      <w:pPr>
        <w:tabs>
          <w:tab w:val="num" w:pos="1209"/>
        </w:tabs>
        <w:ind w:left="1209" w:hanging="360"/>
      </w:pPr>
    </w:lvl>
  </w:abstractNum>
  <w:abstractNum w:abstractNumId="2">
    <w:nsid w:val="FFFFFF7E"/>
    <w:multiLevelType w:val="singleLevel"/>
    <w:tmpl w:val="0E08B594"/>
    <w:lvl w:ilvl="0">
      <w:start w:val="1"/>
      <w:numFmt w:val="decimal"/>
      <w:lvlText w:val="%1."/>
      <w:lvlJc w:val="left"/>
      <w:pPr>
        <w:tabs>
          <w:tab w:val="num" w:pos="926"/>
        </w:tabs>
        <w:ind w:left="926" w:hanging="360"/>
      </w:pPr>
    </w:lvl>
  </w:abstractNum>
  <w:abstractNum w:abstractNumId="3">
    <w:nsid w:val="FFFFFF7F"/>
    <w:multiLevelType w:val="singleLevel"/>
    <w:tmpl w:val="956E3FC0"/>
    <w:lvl w:ilvl="0">
      <w:start w:val="1"/>
      <w:numFmt w:val="decimal"/>
      <w:lvlText w:val="%1."/>
      <w:lvlJc w:val="left"/>
      <w:pPr>
        <w:tabs>
          <w:tab w:val="num" w:pos="643"/>
        </w:tabs>
        <w:ind w:left="643" w:hanging="360"/>
      </w:pPr>
    </w:lvl>
  </w:abstractNum>
  <w:abstractNum w:abstractNumId="4">
    <w:nsid w:val="FFFFFF80"/>
    <w:multiLevelType w:val="singleLevel"/>
    <w:tmpl w:val="B2BA24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4234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C679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AE8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CA8898"/>
    <w:lvl w:ilvl="0">
      <w:start w:val="1"/>
      <w:numFmt w:val="decimal"/>
      <w:lvlText w:val="%1."/>
      <w:lvlJc w:val="left"/>
      <w:pPr>
        <w:tabs>
          <w:tab w:val="num" w:pos="360"/>
        </w:tabs>
        <w:ind w:left="360" w:hanging="360"/>
      </w:pPr>
    </w:lvl>
  </w:abstractNum>
  <w:abstractNum w:abstractNumId="9">
    <w:nsid w:val="FFFFFF89"/>
    <w:multiLevelType w:val="singleLevel"/>
    <w:tmpl w:val="99B8D278"/>
    <w:lvl w:ilvl="0">
      <w:start w:val="1"/>
      <w:numFmt w:val="bullet"/>
      <w:lvlText w:val=""/>
      <w:lvlJc w:val="left"/>
      <w:pPr>
        <w:tabs>
          <w:tab w:val="num" w:pos="360"/>
        </w:tabs>
        <w:ind w:left="360" w:hanging="360"/>
      </w:pPr>
      <w:rPr>
        <w:rFonts w:ascii="Symbol" w:hAnsi="Symbol" w:hint="default"/>
      </w:rPr>
    </w:lvl>
  </w:abstractNum>
  <w:abstractNum w:abstractNumId="10">
    <w:nsid w:val="170E3588"/>
    <w:multiLevelType w:val="hybridMultilevel"/>
    <w:tmpl w:val="D61EF97C"/>
    <w:lvl w:ilvl="0" w:tplc="D536332A">
      <w:start w:val="1"/>
      <w:numFmt w:val="decimal"/>
      <w:lvlText w:val="%1."/>
      <w:lvlJc w:val="left"/>
      <w:pPr>
        <w:tabs>
          <w:tab w:val="num" w:pos="720"/>
        </w:tabs>
        <w:ind w:left="720" w:hanging="360"/>
      </w:pPr>
    </w:lvl>
    <w:lvl w:ilvl="1" w:tplc="4CDE653C" w:tentative="1">
      <w:start w:val="1"/>
      <w:numFmt w:val="decimal"/>
      <w:lvlText w:val="%2."/>
      <w:lvlJc w:val="left"/>
      <w:pPr>
        <w:tabs>
          <w:tab w:val="num" w:pos="1440"/>
        </w:tabs>
        <w:ind w:left="1440" w:hanging="360"/>
      </w:pPr>
    </w:lvl>
    <w:lvl w:ilvl="2" w:tplc="2F4280C8" w:tentative="1">
      <w:start w:val="1"/>
      <w:numFmt w:val="decimal"/>
      <w:lvlText w:val="%3."/>
      <w:lvlJc w:val="left"/>
      <w:pPr>
        <w:tabs>
          <w:tab w:val="num" w:pos="2160"/>
        </w:tabs>
        <w:ind w:left="2160" w:hanging="360"/>
      </w:pPr>
    </w:lvl>
    <w:lvl w:ilvl="3" w:tplc="EE8AAFB4" w:tentative="1">
      <w:start w:val="1"/>
      <w:numFmt w:val="decimal"/>
      <w:lvlText w:val="%4."/>
      <w:lvlJc w:val="left"/>
      <w:pPr>
        <w:tabs>
          <w:tab w:val="num" w:pos="2880"/>
        </w:tabs>
        <w:ind w:left="2880" w:hanging="360"/>
      </w:pPr>
    </w:lvl>
    <w:lvl w:ilvl="4" w:tplc="38963426" w:tentative="1">
      <w:start w:val="1"/>
      <w:numFmt w:val="decimal"/>
      <w:lvlText w:val="%5."/>
      <w:lvlJc w:val="left"/>
      <w:pPr>
        <w:tabs>
          <w:tab w:val="num" w:pos="3600"/>
        </w:tabs>
        <w:ind w:left="3600" w:hanging="360"/>
      </w:pPr>
    </w:lvl>
    <w:lvl w:ilvl="5" w:tplc="17B01FC6" w:tentative="1">
      <w:start w:val="1"/>
      <w:numFmt w:val="decimal"/>
      <w:lvlText w:val="%6."/>
      <w:lvlJc w:val="left"/>
      <w:pPr>
        <w:tabs>
          <w:tab w:val="num" w:pos="4320"/>
        </w:tabs>
        <w:ind w:left="4320" w:hanging="360"/>
      </w:pPr>
    </w:lvl>
    <w:lvl w:ilvl="6" w:tplc="576E6F98" w:tentative="1">
      <w:start w:val="1"/>
      <w:numFmt w:val="decimal"/>
      <w:lvlText w:val="%7."/>
      <w:lvlJc w:val="left"/>
      <w:pPr>
        <w:tabs>
          <w:tab w:val="num" w:pos="5040"/>
        </w:tabs>
        <w:ind w:left="5040" w:hanging="360"/>
      </w:pPr>
    </w:lvl>
    <w:lvl w:ilvl="7" w:tplc="72186538" w:tentative="1">
      <w:start w:val="1"/>
      <w:numFmt w:val="decimal"/>
      <w:lvlText w:val="%8."/>
      <w:lvlJc w:val="left"/>
      <w:pPr>
        <w:tabs>
          <w:tab w:val="num" w:pos="5760"/>
        </w:tabs>
        <w:ind w:left="5760" w:hanging="360"/>
      </w:pPr>
    </w:lvl>
    <w:lvl w:ilvl="8" w:tplc="8F7021E2" w:tentative="1">
      <w:start w:val="1"/>
      <w:numFmt w:val="decimal"/>
      <w:lvlText w:val="%9."/>
      <w:lvlJc w:val="left"/>
      <w:pPr>
        <w:tabs>
          <w:tab w:val="num" w:pos="6480"/>
        </w:tabs>
        <w:ind w:left="6480" w:hanging="360"/>
      </w:pPr>
    </w:lvl>
  </w:abstractNum>
  <w:abstractNum w:abstractNumId="11">
    <w:nsid w:val="17F36DA3"/>
    <w:multiLevelType w:val="hybridMultilevel"/>
    <w:tmpl w:val="8C64462E"/>
    <w:lvl w:ilvl="0" w:tplc="30DA64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59B2631A">
      <w:numFmt w:val="bullet"/>
      <w:lvlText w:val="-"/>
      <w:lvlJc w:val="left"/>
      <w:pPr>
        <w:ind w:left="3240" w:hanging="360"/>
      </w:pPr>
      <w:rPr>
        <w:rFonts w:ascii="Arial" w:eastAsiaTheme="majorEastAsia" w:hAnsi="Arial" w:cs="Arial" w:hint="default"/>
      </w:rPr>
    </w:lvl>
    <w:lvl w:ilvl="5" w:tplc="CE960A36">
      <w:numFmt w:val="bullet"/>
      <w:lvlText w:val="–"/>
      <w:lvlJc w:val="left"/>
      <w:pPr>
        <w:ind w:left="3960" w:hanging="360"/>
      </w:pPr>
      <w:rPr>
        <w:rFonts w:ascii="Arial" w:eastAsiaTheme="majorEastAsia" w:hAnsi="Arial" w:cs="Aria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E92966"/>
    <w:multiLevelType w:val="hybridMultilevel"/>
    <w:tmpl w:val="B15E171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194D06"/>
    <w:multiLevelType w:val="hybridMultilevel"/>
    <w:tmpl w:val="BD2A7B56"/>
    <w:lvl w:ilvl="0" w:tplc="29FCED28">
      <w:start w:val="1"/>
      <w:numFmt w:val="hebrew1"/>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nsid w:val="25527FB4"/>
    <w:multiLevelType w:val="multilevel"/>
    <w:tmpl w:val="B4E400C6"/>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742543E"/>
    <w:multiLevelType w:val="hybridMultilevel"/>
    <w:tmpl w:val="E24C07EE"/>
    <w:lvl w:ilvl="0" w:tplc="372CF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1F0AC6"/>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E5517A"/>
    <w:multiLevelType w:val="hybridMultilevel"/>
    <w:tmpl w:val="3648E9D0"/>
    <w:lvl w:ilvl="0" w:tplc="15F0F074">
      <w:start w:val="3"/>
      <w:numFmt w:val="bullet"/>
      <w:lvlText w:val="-"/>
      <w:lvlJc w:val="left"/>
      <w:pPr>
        <w:ind w:left="700" w:hanging="360"/>
      </w:pPr>
      <w:rPr>
        <w:rFonts w:asciiTheme="majorHAnsi" w:eastAsiaTheme="minorHAnsi" w:hAnsiTheme="majorHAnsi" w:cs="David"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nsid w:val="56054F10"/>
    <w:multiLevelType w:val="hybridMultilevel"/>
    <w:tmpl w:val="A7829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E7313A"/>
    <w:multiLevelType w:val="hybridMultilevel"/>
    <w:tmpl w:val="D2D8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B093E5E"/>
    <w:multiLevelType w:val="hybridMultilevel"/>
    <w:tmpl w:val="B7E210D0"/>
    <w:lvl w:ilvl="0" w:tplc="7D3E4B76">
      <w:start w:val="1"/>
      <w:numFmt w:val="bullet"/>
      <w:lvlText w:val="•"/>
      <w:lvlJc w:val="left"/>
      <w:pPr>
        <w:tabs>
          <w:tab w:val="num" w:pos="720"/>
        </w:tabs>
        <w:ind w:left="720" w:hanging="360"/>
      </w:pPr>
      <w:rPr>
        <w:rFonts w:ascii="Arial" w:hAnsi="Arial" w:hint="default"/>
      </w:rPr>
    </w:lvl>
    <w:lvl w:ilvl="1" w:tplc="67BABFE6" w:tentative="1">
      <w:start w:val="1"/>
      <w:numFmt w:val="bullet"/>
      <w:lvlText w:val="•"/>
      <w:lvlJc w:val="left"/>
      <w:pPr>
        <w:tabs>
          <w:tab w:val="num" w:pos="1440"/>
        </w:tabs>
        <w:ind w:left="1440" w:hanging="360"/>
      </w:pPr>
      <w:rPr>
        <w:rFonts w:ascii="Arial" w:hAnsi="Arial" w:hint="default"/>
      </w:rPr>
    </w:lvl>
    <w:lvl w:ilvl="2" w:tplc="679432C6" w:tentative="1">
      <w:start w:val="1"/>
      <w:numFmt w:val="bullet"/>
      <w:lvlText w:val="•"/>
      <w:lvlJc w:val="left"/>
      <w:pPr>
        <w:tabs>
          <w:tab w:val="num" w:pos="2160"/>
        </w:tabs>
        <w:ind w:left="2160" w:hanging="360"/>
      </w:pPr>
      <w:rPr>
        <w:rFonts w:ascii="Arial" w:hAnsi="Arial" w:hint="default"/>
      </w:rPr>
    </w:lvl>
    <w:lvl w:ilvl="3" w:tplc="676E88BE" w:tentative="1">
      <w:start w:val="1"/>
      <w:numFmt w:val="bullet"/>
      <w:lvlText w:val="•"/>
      <w:lvlJc w:val="left"/>
      <w:pPr>
        <w:tabs>
          <w:tab w:val="num" w:pos="2880"/>
        </w:tabs>
        <w:ind w:left="2880" w:hanging="360"/>
      </w:pPr>
      <w:rPr>
        <w:rFonts w:ascii="Arial" w:hAnsi="Arial" w:hint="default"/>
      </w:rPr>
    </w:lvl>
    <w:lvl w:ilvl="4" w:tplc="524C8B16" w:tentative="1">
      <w:start w:val="1"/>
      <w:numFmt w:val="bullet"/>
      <w:lvlText w:val="•"/>
      <w:lvlJc w:val="left"/>
      <w:pPr>
        <w:tabs>
          <w:tab w:val="num" w:pos="3600"/>
        </w:tabs>
        <w:ind w:left="3600" w:hanging="360"/>
      </w:pPr>
      <w:rPr>
        <w:rFonts w:ascii="Arial" w:hAnsi="Arial" w:hint="default"/>
      </w:rPr>
    </w:lvl>
    <w:lvl w:ilvl="5" w:tplc="3D960870" w:tentative="1">
      <w:start w:val="1"/>
      <w:numFmt w:val="bullet"/>
      <w:lvlText w:val="•"/>
      <w:lvlJc w:val="left"/>
      <w:pPr>
        <w:tabs>
          <w:tab w:val="num" w:pos="4320"/>
        </w:tabs>
        <w:ind w:left="4320" w:hanging="360"/>
      </w:pPr>
      <w:rPr>
        <w:rFonts w:ascii="Arial" w:hAnsi="Arial" w:hint="default"/>
      </w:rPr>
    </w:lvl>
    <w:lvl w:ilvl="6" w:tplc="1AC09448" w:tentative="1">
      <w:start w:val="1"/>
      <w:numFmt w:val="bullet"/>
      <w:lvlText w:val="•"/>
      <w:lvlJc w:val="left"/>
      <w:pPr>
        <w:tabs>
          <w:tab w:val="num" w:pos="5040"/>
        </w:tabs>
        <w:ind w:left="5040" w:hanging="360"/>
      </w:pPr>
      <w:rPr>
        <w:rFonts w:ascii="Arial" w:hAnsi="Arial" w:hint="default"/>
      </w:rPr>
    </w:lvl>
    <w:lvl w:ilvl="7" w:tplc="2FECEB7C" w:tentative="1">
      <w:start w:val="1"/>
      <w:numFmt w:val="bullet"/>
      <w:lvlText w:val="•"/>
      <w:lvlJc w:val="left"/>
      <w:pPr>
        <w:tabs>
          <w:tab w:val="num" w:pos="5760"/>
        </w:tabs>
        <w:ind w:left="5760" w:hanging="360"/>
      </w:pPr>
      <w:rPr>
        <w:rFonts w:ascii="Arial" w:hAnsi="Arial" w:hint="default"/>
      </w:rPr>
    </w:lvl>
    <w:lvl w:ilvl="8" w:tplc="809C6156" w:tentative="1">
      <w:start w:val="1"/>
      <w:numFmt w:val="bullet"/>
      <w:lvlText w:val="•"/>
      <w:lvlJc w:val="left"/>
      <w:pPr>
        <w:tabs>
          <w:tab w:val="num" w:pos="6480"/>
        </w:tabs>
        <w:ind w:left="6480" w:hanging="360"/>
      </w:pPr>
      <w:rPr>
        <w:rFonts w:ascii="Arial" w:hAnsi="Arial" w:hint="default"/>
      </w:rPr>
    </w:lvl>
  </w:abstractNum>
  <w:abstractNum w:abstractNumId="22">
    <w:nsid w:val="61EF4B4E"/>
    <w:multiLevelType w:val="hybridMultilevel"/>
    <w:tmpl w:val="0D98E67C"/>
    <w:lvl w:ilvl="0" w:tplc="A656BCE6">
      <w:start w:val="1"/>
      <w:numFmt w:val="hebrew1"/>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837F26"/>
    <w:multiLevelType w:val="hybridMultilevel"/>
    <w:tmpl w:val="F25678B8"/>
    <w:lvl w:ilvl="0" w:tplc="7C100B36">
      <w:start w:val="5"/>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16"/>
  </w:num>
  <w:num w:numId="10">
    <w:abstractNumId w:val="15"/>
  </w:num>
  <w:num w:numId="11">
    <w:abstractNumId w:val="22"/>
  </w:num>
  <w:num w:numId="12">
    <w:abstractNumId w:val="12"/>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18"/>
  </w:num>
  <w:num w:numId="26">
    <w:abstractNumId w:val="13"/>
  </w:num>
  <w:num w:numId="27">
    <w:abstractNumId w:val="19"/>
  </w:num>
  <w:num w:numId="28">
    <w:abstractNumId w:val="22"/>
    <w:lvlOverride w:ilvl="0">
      <w:startOverride w:val="1"/>
    </w:lvlOverride>
  </w:num>
  <w:num w:numId="29">
    <w:abstractNumId w:val="22"/>
    <w:lvlOverride w:ilvl="0">
      <w:startOverride w:val="1"/>
    </w:lvlOverride>
  </w:num>
  <w:num w:numId="30">
    <w:abstractNumId w:val="17"/>
  </w:num>
  <w:num w:numId="31">
    <w:abstractNumId w:val="14"/>
  </w:num>
  <w:num w:numId="32">
    <w:abstractNumId w:val="21"/>
  </w:num>
  <w:num w:numId="33">
    <w:abstractNumId w:val="22"/>
    <w:lvlOverride w:ilvl="0">
      <w:startOverride w:val="1"/>
    </w:lvlOverride>
  </w:num>
  <w:num w:numId="34">
    <w:abstractNumId w:val="10"/>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av Soffer">
    <w15:presenceInfo w15:providerId="None" w15:userId="Yoav Sof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4"/>
    <w:rsid w:val="0000110E"/>
    <w:rsid w:val="00004A72"/>
    <w:rsid w:val="000052A4"/>
    <w:rsid w:val="00006E0F"/>
    <w:rsid w:val="00011422"/>
    <w:rsid w:val="00011A46"/>
    <w:rsid w:val="000142BF"/>
    <w:rsid w:val="00015E02"/>
    <w:rsid w:val="00016490"/>
    <w:rsid w:val="000216CA"/>
    <w:rsid w:val="00023A0E"/>
    <w:rsid w:val="00024224"/>
    <w:rsid w:val="00024A12"/>
    <w:rsid w:val="00027326"/>
    <w:rsid w:val="0003359B"/>
    <w:rsid w:val="00035691"/>
    <w:rsid w:val="000365D6"/>
    <w:rsid w:val="000420E5"/>
    <w:rsid w:val="000431F5"/>
    <w:rsid w:val="000463ED"/>
    <w:rsid w:val="00047BBA"/>
    <w:rsid w:val="00050C14"/>
    <w:rsid w:val="00051CA5"/>
    <w:rsid w:val="00052141"/>
    <w:rsid w:val="00056731"/>
    <w:rsid w:val="000572C5"/>
    <w:rsid w:val="00057993"/>
    <w:rsid w:val="0006059C"/>
    <w:rsid w:val="00061004"/>
    <w:rsid w:val="00064966"/>
    <w:rsid w:val="00064CF4"/>
    <w:rsid w:val="00072043"/>
    <w:rsid w:val="00073470"/>
    <w:rsid w:val="00073E16"/>
    <w:rsid w:val="0007480E"/>
    <w:rsid w:val="00075257"/>
    <w:rsid w:val="000767B5"/>
    <w:rsid w:val="00076A45"/>
    <w:rsid w:val="00081E61"/>
    <w:rsid w:val="000821D1"/>
    <w:rsid w:val="000850E0"/>
    <w:rsid w:val="00086256"/>
    <w:rsid w:val="00086B8E"/>
    <w:rsid w:val="00090438"/>
    <w:rsid w:val="00092AB5"/>
    <w:rsid w:val="0009398B"/>
    <w:rsid w:val="00094881"/>
    <w:rsid w:val="000955FE"/>
    <w:rsid w:val="000959E1"/>
    <w:rsid w:val="00097626"/>
    <w:rsid w:val="000977C1"/>
    <w:rsid w:val="000A01E0"/>
    <w:rsid w:val="000A0510"/>
    <w:rsid w:val="000A2957"/>
    <w:rsid w:val="000A4A9F"/>
    <w:rsid w:val="000B356A"/>
    <w:rsid w:val="000B5186"/>
    <w:rsid w:val="000B69BC"/>
    <w:rsid w:val="000C24D1"/>
    <w:rsid w:val="000C317E"/>
    <w:rsid w:val="000C3495"/>
    <w:rsid w:val="000D1799"/>
    <w:rsid w:val="000D53FF"/>
    <w:rsid w:val="000D5E22"/>
    <w:rsid w:val="000D62BB"/>
    <w:rsid w:val="000D62C7"/>
    <w:rsid w:val="000D709F"/>
    <w:rsid w:val="000E1A04"/>
    <w:rsid w:val="000F14D2"/>
    <w:rsid w:val="000F1E62"/>
    <w:rsid w:val="000F3133"/>
    <w:rsid w:val="000F6E00"/>
    <w:rsid w:val="000F78FB"/>
    <w:rsid w:val="001023D4"/>
    <w:rsid w:val="001043D6"/>
    <w:rsid w:val="001053F5"/>
    <w:rsid w:val="00105805"/>
    <w:rsid w:val="00110125"/>
    <w:rsid w:val="00111B63"/>
    <w:rsid w:val="00113FA0"/>
    <w:rsid w:val="001246E0"/>
    <w:rsid w:val="00126D8F"/>
    <w:rsid w:val="00130AB7"/>
    <w:rsid w:val="00130B18"/>
    <w:rsid w:val="001362F8"/>
    <w:rsid w:val="001369B5"/>
    <w:rsid w:val="001407BC"/>
    <w:rsid w:val="00140FB8"/>
    <w:rsid w:val="00143DB4"/>
    <w:rsid w:val="00145710"/>
    <w:rsid w:val="00146440"/>
    <w:rsid w:val="001506AF"/>
    <w:rsid w:val="00150871"/>
    <w:rsid w:val="001516AC"/>
    <w:rsid w:val="00152A8B"/>
    <w:rsid w:val="00155122"/>
    <w:rsid w:val="00155752"/>
    <w:rsid w:val="00157756"/>
    <w:rsid w:val="001616DF"/>
    <w:rsid w:val="00161D0F"/>
    <w:rsid w:val="00161E9D"/>
    <w:rsid w:val="00164B28"/>
    <w:rsid w:val="00165D9B"/>
    <w:rsid w:val="00167725"/>
    <w:rsid w:val="001721A0"/>
    <w:rsid w:val="0017357E"/>
    <w:rsid w:val="0018053C"/>
    <w:rsid w:val="00181D6B"/>
    <w:rsid w:val="001834D3"/>
    <w:rsid w:val="00184110"/>
    <w:rsid w:val="00186E5E"/>
    <w:rsid w:val="00191634"/>
    <w:rsid w:val="001925E3"/>
    <w:rsid w:val="001A1781"/>
    <w:rsid w:val="001A2EDE"/>
    <w:rsid w:val="001A4894"/>
    <w:rsid w:val="001A6414"/>
    <w:rsid w:val="001A6845"/>
    <w:rsid w:val="001A70EF"/>
    <w:rsid w:val="001B0DBB"/>
    <w:rsid w:val="001B2405"/>
    <w:rsid w:val="001B3457"/>
    <w:rsid w:val="001B36D4"/>
    <w:rsid w:val="001B3C35"/>
    <w:rsid w:val="001B3CDD"/>
    <w:rsid w:val="001B7B5A"/>
    <w:rsid w:val="001C09F9"/>
    <w:rsid w:val="001C0F44"/>
    <w:rsid w:val="001C1679"/>
    <w:rsid w:val="001C1FCD"/>
    <w:rsid w:val="001C374D"/>
    <w:rsid w:val="001C7481"/>
    <w:rsid w:val="001C7E65"/>
    <w:rsid w:val="001D0581"/>
    <w:rsid w:val="001D05D8"/>
    <w:rsid w:val="001D2AC8"/>
    <w:rsid w:val="001D2E4E"/>
    <w:rsid w:val="001D2EE2"/>
    <w:rsid w:val="001D3DCB"/>
    <w:rsid w:val="001D3E17"/>
    <w:rsid w:val="001D6035"/>
    <w:rsid w:val="001D683E"/>
    <w:rsid w:val="001D7758"/>
    <w:rsid w:val="001E1920"/>
    <w:rsid w:val="001E3840"/>
    <w:rsid w:val="001E3937"/>
    <w:rsid w:val="001E60F5"/>
    <w:rsid w:val="001E6409"/>
    <w:rsid w:val="001E6684"/>
    <w:rsid w:val="001F0DFC"/>
    <w:rsid w:val="001F377D"/>
    <w:rsid w:val="001F4106"/>
    <w:rsid w:val="001F4998"/>
    <w:rsid w:val="001F4ABB"/>
    <w:rsid w:val="00210405"/>
    <w:rsid w:val="00210991"/>
    <w:rsid w:val="00211F34"/>
    <w:rsid w:val="00214C17"/>
    <w:rsid w:val="00216BC3"/>
    <w:rsid w:val="00216D9B"/>
    <w:rsid w:val="0021761D"/>
    <w:rsid w:val="00221C02"/>
    <w:rsid w:val="0022222C"/>
    <w:rsid w:val="00224DA1"/>
    <w:rsid w:val="00226668"/>
    <w:rsid w:val="00227AE1"/>
    <w:rsid w:val="00233633"/>
    <w:rsid w:val="00234556"/>
    <w:rsid w:val="00234BB1"/>
    <w:rsid w:val="00240070"/>
    <w:rsid w:val="002412CB"/>
    <w:rsid w:val="00241EEB"/>
    <w:rsid w:val="00241EFC"/>
    <w:rsid w:val="0024440D"/>
    <w:rsid w:val="00245C12"/>
    <w:rsid w:val="00246A6B"/>
    <w:rsid w:val="002472EE"/>
    <w:rsid w:val="002512A4"/>
    <w:rsid w:val="00251363"/>
    <w:rsid w:val="002551FC"/>
    <w:rsid w:val="0025777E"/>
    <w:rsid w:val="00257C94"/>
    <w:rsid w:val="00260028"/>
    <w:rsid w:val="00262765"/>
    <w:rsid w:val="00267814"/>
    <w:rsid w:val="002716AA"/>
    <w:rsid w:val="0027258A"/>
    <w:rsid w:val="00272DD8"/>
    <w:rsid w:val="00273022"/>
    <w:rsid w:val="0027312B"/>
    <w:rsid w:val="00275A36"/>
    <w:rsid w:val="00281B31"/>
    <w:rsid w:val="00282676"/>
    <w:rsid w:val="0028271A"/>
    <w:rsid w:val="00282D46"/>
    <w:rsid w:val="00283531"/>
    <w:rsid w:val="0028646A"/>
    <w:rsid w:val="00287C06"/>
    <w:rsid w:val="00287C83"/>
    <w:rsid w:val="00291747"/>
    <w:rsid w:val="0029337F"/>
    <w:rsid w:val="00293ED1"/>
    <w:rsid w:val="002965AB"/>
    <w:rsid w:val="002A19A2"/>
    <w:rsid w:val="002A222A"/>
    <w:rsid w:val="002A2906"/>
    <w:rsid w:val="002A4A0A"/>
    <w:rsid w:val="002A738C"/>
    <w:rsid w:val="002B133A"/>
    <w:rsid w:val="002B1A19"/>
    <w:rsid w:val="002B238E"/>
    <w:rsid w:val="002B243D"/>
    <w:rsid w:val="002B379F"/>
    <w:rsid w:val="002C2208"/>
    <w:rsid w:val="002C4BFD"/>
    <w:rsid w:val="002D2439"/>
    <w:rsid w:val="002D3013"/>
    <w:rsid w:val="002D3155"/>
    <w:rsid w:val="002D3AC4"/>
    <w:rsid w:val="002D6337"/>
    <w:rsid w:val="002D708F"/>
    <w:rsid w:val="002E111E"/>
    <w:rsid w:val="002E23E3"/>
    <w:rsid w:val="002E513E"/>
    <w:rsid w:val="002E6701"/>
    <w:rsid w:val="002F0440"/>
    <w:rsid w:val="002F2ACD"/>
    <w:rsid w:val="002F3484"/>
    <w:rsid w:val="002F6923"/>
    <w:rsid w:val="002F6AC4"/>
    <w:rsid w:val="002F6BA9"/>
    <w:rsid w:val="002F7684"/>
    <w:rsid w:val="003045EE"/>
    <w:rsid w:val="00312ECB"/>
    <w:rsid w:val="0031370E"/>
    <w:rsid w:val="00313C7A"/>
    <w:rsid w:val="003143F7"/>
    <w:rsid w:val="003275D7"/>
    <w:rsid w:val="00332C81"/>
    <w:rsid w:val="00333B75"/>
    <w:rsid w:val="003352E9"/>
    <w:rsid w:val="0035216F"/>
    <w:rsid w:val="00353E1D"/>
    <w:rsid w:val="003547BE"/>
    <w:rsid w:val="00354F1F"/>
    <w:rsid w:val="00355A6F"/>
    <w:rsid w:val="00356981"/>
    <w:rsid w:val="00361AA2"/>
    <w:rsid w:val="0036348A"/>
    <w:rsid w:val="00364A52"/>
    <w:rsid w:val="00366C55"/>
    <w:rsid w:val="00366E28"/>
    <w:rsid w:val="0037156A"/>
    <w:rsid w:val="003732B1"/>
    <w:rsid w:val="00374632"/>
    <w:rsid w:val="0037615E"/>
    <w:rsid w:val="00380055"/>
    <w:rsid w:val="003815B7"/>
    <w:rsid w:val="0038383C"/>
    <w:rsid w:val="00386BA2"/>
    <w:rsid w:val="00390EF9"/>
    <w:rsid w:val="0039777B"/>
    <w:rsid w:val="003A111B"/>
    <w:rsid w:val="003A1F3D"/>
    <w:rsid w:val="003A5445"/>
    <w:rsid w:val="003A6F17"/>
    <w:rsid w:val="003A712C"/>
    <w:rsid w:val="003B1988"/>
    <w:rsid w:val="003B215C"/>
    <w:rsid w:val="003B3B81"/>
    <w:rsid w:val="003B4B51"/>
    <w:rsid w:val="003B5949"/>
    <w:rsid w:val="003B69B4"/>
    <w:rsid w:val="003B6CBA"/>
    <w:rsid w:val="003C1A71"/>
    <w:rsid w:val="003C1B63"/>
    <w:rsid w:val="003C1BB7"/>
    <w:rsid w:val="003C35E3"/>
    <w:rsid w:val="003C618E"/>
    <w:rsid w:val="003D1326"/>
    <w:rsid w:val="003D17B1"/>
    <w:rsid w:val="003D1D3D"/>
    <w:rsid w:val="003D519A"/>
    <w:rsid w:val="003D5772"/>
    <w:rsid w:val="003D6451"/>
    <w:rsid w:val="003E2869"/>
    <w:rsid w:val="003E4779"/>
    <w:rsid w:val="003E55F1"/>
    <w:rsid w:val="003F1C3B"/>
    <w:rsid w:val="003F4F23"/>
    <w:rsid w:val="00401111"/>
    <w:rsid w:val="00401696"/>
    <w:rsid w:val="004036B6"/>
    <w:rsid w:val="0040495E"/>
    <w:rsid w:val="00411AB8"/>
    <w:rsid w:val="00412526"/>
    <w:rsid w:val="00412792"/>
    <w:rsid w:val="00413998"/>
    <w:rsid w:val="00414C0E"/>
    <w:rsid w:val="004232B0"/>
    <w:rsid w:val="004246D1"/>
    <w:rsid w:val="004273BB"/>
    <w:rsid w:val="004304F3"/>
    <w:rsid w:val="004325D7"/>
    <w:rsid w:val="00434DEF"/>
    <w:rsid w:val="00435CB5"/>
    <w:rsid w:val="00442968"/>
    <w:rsid w:val="00445F74"/>
    <w:rsid w:val="00446D83"/>
    <w:rsid w:val="0044708A"/>
    <w:rsid w:val="00450001"/>
    <w:rsid w:val="00451756"/>
    <w:rsid w:val="00452328"/>
    <w:rsid w:val="00456765"/>
    <w:rsid w:val="00456B49"/>
    <w:rsid w:val="004603E4"/>
    <w:rsid w:val="0046391A"/>
    <w:rsid w:val="004654B8"/>
    <w:rsid w:val="004720A8"/>
    <w:rsid w:val="004757EC"/>
    <w:rsid w:val="0047593E"/>
    <w:rsid w:val="004809AB"/>
    <w:rsid w:val="004821B7"/>
    <w:rsid w:val="0048373B"/>
    <w:rsid w:val="0048453B"/>
    <w:rsid w:val="00484AD2"/>
    <w:rsid w:val="004873D3"/>
    <w:rsid w:val="0048780D"/>
    <w:rsid w:val="004925D4"/>
    <w:rsid w:val="004A0DE4"/>
    <w:rsid w:val="004A3BF7"/>
    <w:rsid w:val="004A4DFC"/>
    <w:rsid w:val="004A7449"/>
    <w:rsid w:val="004B12C2"/>
    <w:rsid w:val="004B2D5E"/>
    <w:rsid w:val="004B4792"/>
    <w:rsid w:val="004C0112"/>
    <w:rsid w:val="004C5234"/>
    <w:rsid w:val="004C5A23"/>
    <w:rsid w:val="004C5E90"/>
    <w:rsid w:val="004D0079"/>
    <w:rsid w:val="004D1B42"/>
    <w:rsid w:val="004D40E6"/>
    <w:rsid w:val="004D469D"/>
    <w:rsid w:val="004D6A21"/>
    <w:rsid w:val="004E0B81"/>
    <w:rsid w:val="004E100E"/>
    <w:rsid w:val="004E26CA"/>
    <w:rsid w:val="004E2CF1"/>
    <w:rsid w:val="004E34C4"/>
    <w:rsid w:val="004E43B6"/>
    <w:rsid w:val="004E4471"/>
    <w:rsid w:val="004E5F5D"/>
    <w:rsid w:val="004E6C78"/>
    <w:rsid w:val="004E6D36"/>
    <w:rsid w:val="004F1FDF"/>
    <w:rsid w:val="004F23E6"/>
    <w:rsid w:val="004F4FA2"/>
    <w:rsid w:val="004F6D43"/>
    <w:rsid w:val="005043A6"/>
    <w:rsid w:val="00505057"/>
    <w:rsid w:val="00506566"/>
    <w:rsid w:val="00512280"/>
    <w:rsid w:val="00513104"/>
    <w:rsid w:val="005133B3"/>
    <w:rsid w:val="00514AF3"/>
    <w:rsid w:val="00515760"/>
    <w:rsid w:val="005171A1"/>
    <w:rsid w:val="005178ED"/>
    <w:rsid w:val="0052065E"/>
    <w:rsid w:val="00520D4A"/>
    <w:rsid w:val="00521352"/>
    <w:rsid w:val="00521704"/>
    <w:rsid w:val="00521987"/>
    <w:rsid w:val="00521CEC"/>
    <w:rsid w:val="00522616"/>
    <w:rsid w:val="00522A8C"/>
    <w:rsid w:val="00526A89"/>
    <w:rsid w:val="00527F7E"/>
    <w:rsid w:val="00530DFC"/>
    <w:rsid w:val="00532864"/>
    <w:rsid w:val="005332DF"/>
    <w:rsid w:val="00542F92"/>
    <w:rsid w:val="00543534"/>
    <w:rsid w:val="005449F3"/>
    <w:rsid w:val="00544B31"/>
    <w:rsid w:val="005506C4"/>
    <w:rsid w:val="005518F8"/>
    <w:rsid w:val="005521C3"/>
    <w:rsid w:val="005527F0"/>
    <w:rsid w:val="00554FD0"/>
    <w:rsid w:val="00555559"/>
    <w:rsid w:val="00556A60"/>
    <w:rsid w:val="00557EC4"/>
    <w:rsid w:val="00560307"/>
    <w:rsid w:val="00561400"/>
    <w:rsid w:val="00561539"/>
    <w:rsid w:val="00566F55"/>
    <w:rsid w:val="00571EA1"/>
    <w:rsid w:val="00577C0A"/>
    <w:rsid w:val="005816C4"/>
    <w:rsid w:val="005823A5"/>
    <w:rsid w:val="00582F1E"/>
    <w:rsid w:val="0058417D"/>
    <w:rsid w:val="00591944"/>
    <w:rsid w:val="00596F26"/>
    <w:rsid w:val="005A1B97"/>
    <w:rsid w:val="005A2054"/>
    <w:rsid w:val="005A2A3B"/>
    <w:rsid w:val="005A5FC3"/>
    <w:rsid w:val="005B2776"/>
    <w:rsid w:val="005B3029"/>
    <w:rsid w:val="005B5513"/>
    <w:rsid w:val="005B589C"/>
    <w:rsid w:val="005B59CA"/>
    <w:rsid w:val="005C0142"/>
    <w:rsid w:val="005C0DF8"/>
    <w:rsid w:val="005C1C32"/>
    <w:rsid w:val="005C2F3A"/>
    <w:rsid w:val="005C3DBE"/>
    <w:rsid w:val="005C562B"/>
    <w:rsid w:val="005C6A24"/>
    <w:rsid w:val="005C7540"/>
    <w:rsid w:val="005C7A2E"/>
    <w:rsid w:val="005C7A33"/>
    <w:rsid w:val="005D07D4"/>
    <w:rsid w:val="005D0C2C"/>
    <w:rsid w:val="005D45A2"/>
    <w:rsid w:val="005D72AD"/>
    <w:rsid w:val="005E29FD"/>
    <w:rsid w:val="005E5D78"/>
    <w:rsid w:val="005E739B"/>
    <w:rsid w:val="005E7A99"/>
    <w:rsid w:val="005F006D"/>
    <w:rsid w:val="005F2F73"/>
    <w:rsid w:val="005F37D2"/>
    <w:rsid w:val="005F3F38"/>
    <w:rsid w:val="005F4A2F"/>
    <w:rsid w:val="005F4ACF"/>
    <w:rsid w:val="005F66A8"/>
    <w:rsid w:val="005F6F43"/>
    <w:rsid w:val="00600026"/>
    <w:rsid w:val="00602179"/>
    <w:rsid w:val="00604A25"/>
    <w:rsid w:val="00604ACB"/>
    <w:rsid w:val="00604EE9"/>
    <w:rsid w:val="00605E29"/>
    <w:rsid w:val="0060686D"/>
    <w:rsid w:val="00612733"/>
    <w:rsid w:val="00612D94"/>
    <w:rsid w:val="00613D4C"/>
    <w:rsid w:val="006226C2"/>
    <w:rsid w:val="0062350C"/>
    <w:rsid w:val="00625305"/>
    <w:rsid w:val="00625FA9"/>
    <w:rsid w:val="006313D1"/>
    <w:rsid w:val="00632CDE"/>
    <w:rsid w:val="006334FC"/>
    <w:rsid w:val="0063454C"/>
    <w:rsid w:val="00641779"/>
    <w:rsid w:val="006418B2"/>
    <w:rsid w:val="006447C7"/>
    <w:rsid w:val="00646759"/>
    <w:rsid w:val="00646E63"/>
    <w:rsid w:val="00647201"/>
    <w:rsid w:val="0065160E"/>
    <w:rsid w:val="00653667"/>
    <w:rsid w:val="00654EAE"/>
    <w:rsid w:val="00661795"/>
    <w:rsid w:val="0066260F"/>
    <w:rsid w:val="006718A2"/>
    <w:rsid w:val="00672E8B"/>
    <w:rsid w:val="00672F59"/>
    <w:rsid w:val="00680D7F"/>
    <w:rsid w:val="00693F61"/>
    <w:rsid w:val="00694910"/>
    <w:rsid w:val="006949EA"/>
    <w:rsid w:val="006A0713"/>
    <w:rsid w:val="006A1078"/>
    <w:rsid w:val="006A22E8"/>
    <w:rsid w:val="006A71FE"/>
    <w:rsid w:val="006B5043"/>
    <w:rsid w:val="006B61EB"/>
    <w:rsid w:val="006B6717"/>
    <w:rsid w:val="006D44DF"/>
    <w:rsid w:val="006D7894"/>
    <w:rsid w:val="006D7919"/>
    <w:rsid w:val="006E242A"/>
    <w:rsid w:val="006E2E04"/>
    <w:rsid w:val="006E2FC9"/>
    <w:rsid w:val="006E60CB"/>
    <w:rsid w:val="006F1CD4"/>
    <w:rsid w:val="006F2C80"/>
    <w:rsid w:val="006F767E"/>
    <w:rsid w:val="006F7B7F"/>
    <w:rsid w:val="00701164"/>
    <w:rsid w:val="0071030A"/>
    <w:rsid w:val="00712415"/>
    <w:rsid w:val="00716A49"/>
    <w:rsid w:val="00716C68"/>
    <w:rsid w:val="00717E12"/>
    <w:rsid w:val="00717E7F"/>
    <w:rsid w:val="00720676"/>
    <w:rsid w:val="0072076A"/>
    <w:rsid w:val="00721552"/>
    <w:rsid w:val="00721795"/>
    <w:rsid w:val="00722FC4"/>
    <w:rsid w:val="00727135"/>
    <w:rsid w:val="00730190"/>
    <w:rsid w:val="00730E9F"/>
    <w:rsid w:val="00732233"/>
    <w:rsid w:val="00733FE1"/>
    <w:rsid w:val="007359EB"/>
    <w:rsid w:val="007366B2"/>
    <w:rsid w:val="00737387"/>
    <w:rsid w:val="007438D1"/>
    <w:rsid w:val="0074762D"/>
    <w:rsid w:val="00751786"/>
    <w:rsid w:val="007520AF"/>
    <w:rsid w:val="007520C5"/>
    <w:rsid w:val="00752171"/>
    <w:rsid w:val="0075325A"/>
    <w:rsid w:val="0075509A"/>
    <w:rsid w:val="0075717B"/>
    <w:rsid w:val="0075789C"/>
    <w:rsid w:val="00762E2D"/>
    <w:rsid w:val="007641FC"/>
    <w:rsid w:val="00766EBE"/>
    <w:rsid w:val="00770DAD"/>
    <w:rsid w:val="007711E6"/>
    <w:rsid w:val="00775D11"/>
    <w:rsid w:val="00776334"/>
    <w:rsid w:val="00777574"/>
    <w:rsid w:val="007828D6"/>
    <w:rsid w:val="00782E10"/>
    <w:rsid w:val="00782F3B"/>
    <w:rsid w:val="00783972"/>
    <w:rsid w:val="0078528D"/>
    <w:rsid w:val="0078629D"/>
    <w:rsid w:val="00786A45"/>
    <w:rsid w:val="007908C2"/>
    <w:rsid w:val="00796422"/>
    <w:rsid w:val="007A011D"/>
    <w:rsid w:val="007A261E"/>
    <w:rsid w:val="007A333C"/>
    <w:rsid w:val="007A43A1"/>
    <w:rsid w:val="007A56BA"/>
    <w:rsid w:val="007A74E5"/>
    <w:rsid w:val="007A79CD"/>
    <w:rsid w:val="007B053F"/>
    <w:rsid w:val="007B07E4"/>
    <w:rsid w:val="007B0C41"/>
    <w:rsid w:val="007B1E77"/>
    <w:rsid w:val="007B4F6F"/>
    <w:rsid w:val="007B59C3"/>
    <w:rsid w:val="007B79B9"/>
    <w:rsid w:val="007C24CF"/>
    <w:rsid w:val="007C2F09"/>
    <w:rsid w:val="007C4E4B"/>
    <w:rsid w:val="007D219C"/>
    <w:rsid w:val="007D2C8D"/>
    <w:rsid w:val="007D727D"/>
    <w:rsid w:val="007E03E9"/>
    <w:rsid w:val="007E6A33"/>
    <w:rsid w:val="007F07D3"/>
    <w:rsid w:val="007F20F0"/>
    <w:rsid w:val="007F4431"/>
    <w:rsid w:val="007F6281"/>
    <w:rsid w:val="008007C2"/>
    <w:rsid w:val="00810BA8"/>
    <w:rsid w:val="00812B06"/>
    <w:rsid w:val="00813135"/>
    <w:rsid w:val="0082019F"/>
    <w:rsid w:val="0082336D"/>
    <w:rsid w:val="0082350A"/>
    <w:rsid w:val="00823E68"/>
    <w:rsid w:val="00827761"/>
    <w:rsid w:val="008320F7"/>
    <w:rsid w:val="00834F7A"/>
    <w:rsid w:val="008357F6"/>
    <w:rsid w:val="0083621F"/>
    <w:rsid w:val="00837BE0"/>
    <w:rsid w:val="00845FF9"/>
    <w:rsid w:val="00846AEC"/>
    <w:rsid w:val="00846B54"/>
    <w:rsid w:val="00847258"/>
    <w:rsid w:val="00853028"/>
    <w:rsid w:val="00861993"/>
    <w:rsid w:val="00862D28"/>
    <w:rsid w:val="008642AB"/>
    <w:rsid w:val="008665BB"/>
    <w:rsid w:val="00867819"/>
    <w:rsid w:val="008701F7"/>
    <w:rsid w:val="008709B7"/>
    <w:rsid w:val="00870A90"/>
    <w:rsid w:val="00874ADE"/>
    <w:rsid w:val="00876B2F"/>
    <w:rsid w:val="00876C46"/>
    <w:rsid w:val="008844D1"/>
    <w:rsid w:val="008905C1"/>
    <w:rsid w:val="00895859"/>
    <w:rsid w:val="00895F92"/>
    <w:rsid w:val="008966E4"/>
    <w:rsid w:val="008A40C1"/>
    <w:rsid w:val="008A5424"/>
    <w:rsid w:val="008A7030"/>
    <w:rsid w:val="008A7385"/>
    <w:rsid w:val="008B0515"/>
    <w:rsid w:val="008B1C63"/>
    <w:rsid w:val="008B2048"/>
    <w:rsid w:val="008B29C4"/>
    <w:rsid w:val="008B5187"/>
    <w:rsid w:val="008B5557"/>
    <w:rsid w:val="008B686F"/>
    <w:rsid w:val="008C07D3"/>
    <w:rsid w:val="008C552A"/>
    <w:rsid w:val="008D0639"/>
    <w:rsid w:val="008D2DB8"/>
    <w:rsid w:val="008D4C6D"/>
    <w:rsid w:val="008E1EB6"/>
    <w:rsid w:val="008E31E8"/>
    <w:rsid w:val="008E42F9"/>
    <w:rsid w:val="008E6379"/>
    <w:rsid w:val="008F2DBB"/>
    <w:rsid w:val="008F331F"/>
    <w:rsid w:val="008F4C98"/>
    <w:rsid w:val="008F7AC4"/>
    <w:rsid w:val="008F7EFE"/>
    <w:rsid w:val="00900E12"/>
    <w:rsid w:val="0090146C"/>
    <w:rsid w:val="00901A53"/>
    <w:rsid w:val="00901D30"/>
    <w:rsid w:val="00903623"/>
    <w:rsid w:val="00910B1F"/>
    <w:rsid w:val="00911921"/>
    <w:rsid w:val="00912125"/>
    <w:rsid w:val="009171BC"/>
    <w:rsid w:val="0092104E"/>
    <w:rsid w:val="009214A8"/>
    <w:rsid w:val="00921509"/>
    <w:rsid w:val="00927358"/>
    <w:rsid w:val="00932C6D"/>
    <w:rsid w:val="00933535"/>
    <w:rsid w:val="0093431C"/>
    <w:rsid w:val="00934692"/>
    <w:rsid w:val="0094035F"/>
    <w:rsid w:val="00940705"/>
    <w:rsid w:val="00942E62"/>
    <w:rsid w:val="00944392"/>
    <w:rsid w:val="00944DAB"/>
    <w:rsid w:val="009453D7"/>
    <w:rsid w:val="00945D9B"/>
    <w:rsid w:val="00946B91"/>
    <w:rsid w:val="009508AF"/>
    <w:rsid w:val="009566A2"/>
    <w:rsid w:val="00960823"/>
    <w:rsid w:val="009630CD"/>
    <w:rsid w:val="00966497"/>
    <w:rsid w:val="00967232"/>
    <w:rsid w:val="00971AC4"/>
    <w:rsid w:val="00972D63"/>
    <w:rsid w:val="009737D7"/>
    <w:rsid w:val="00976932"/>
    <w:rsid w:val="00977827"/>
    <w:rsid w:val="0098379D"/>
    <w:rsid w:val="009855C1"/>
    <w:rsid w:val="00987181"/>
    <w:rsid w:val="0099499A"/>
    <w:rsid w:val="00995065"/>
    <w:rsid w:val="00995986"/>
    <w:rsid w:val="00995A26"/>
    <w:rsid w:val="00996A6C"/>
    <w:rsid w:val="00997646"/>
    <w:rsid w:val="00997BA8"/>
    <w:rsid w:val="009A116A"/>
    <w:rsid w:val="009A19D6"/>
    <w:rsid w:val="009A434B"/>
    <w:rsid w:val="009A7618"/>
    <w:rsid w:val="009B21D0"/>
    <w:rsid w:val="009B23E8"/>
    <w:rsid w:val="009B5F5A"/>
    <w:rsid w:val="009B66A0"/>
    <w:rsid w:val="009C4219"/>
    <w:rsid w:val="009C5E16"/>
    <w:rsid w:val="009D089B"/>
    <w:rsid w:val="009D52C2"/>
    <w:rsid w:val="009D7526"/>
    <w:rsid w:val="009E0844"/>
    <w:rsid w:val="009E1E43"/>
    <w:rsid w:val="009E2EC2"/>
    <w:rsid w:val="009E2FA2"/>
    <w:rsid w:val="009E3AB9"/>
    <w:rsid w:val="009E3BE6"/>
    <w:rsid w:val="009E5FFE"/>
    <w:rsid w:val="009E6194"/>
    <w:rsid w:val="009F1542"/>
    <w:rsid w:val="009F51C6"/>
    <w:rsid w:val="00A060A2"/>
    <w:rsid w:val="00A06CCA"/>
    <w:rsid w:val="00A11048"/>
    <w:rsid w:val="00A148AD"/>
    <w:rsid w:val="00A15452"/>
    <w:rsid w:val="00A174AF"/>
    <w:rsid w:val="00A21335"/>
    <w:rsid w:val="00A21EBC"/>
    <w:rsid w:val="00A2403F"/>
    <w:rsid w:val="00A2435C"/>
    <w:rsid w:val="00A25BD8"/>
    <w:rsid w:val="00A25F5C"/>
    <w:rsid w:val="00A3127B"/>
    <w:rsid w:val="00A37A64"/>
    <w:rsid w:val="00A40A6F"/>
    <w:rsid w:val="00A43146"/>
    <w:rsid w:val="00A4420C"/>
    <w:rsid w:val="00A5331B"/>
    <w:rsid w:val="00A54331"/>
    <w:rsid w:val="00A5713D"/>
    <w:rsid w:val="00A61184"/>
    <w:rsid w:val="00A62206"/>
    <w:rsid w:val="00A64427"/>
    <w:rsid w:val="00A666FD"/>
    <w:rsid w:val="00A66C29"/>
    <w:rsid w:val="00A70EBF"/>
    <w:rsid w:val="00A73BB5"/>
    <w:rsid w:val="00A750C9"/>
    <w:rsid w:val="00A81122"/>
    <w:rsid w:val="00A8377A"/>
    <w:rsid w:val="00A9065C"/>
    <w:rsid w:val="00A94334"/>
    <w:rsid w:val="00A967CA"/>
    <w:rsid w:val="00A96C0C"/>
    <w:rsid w:val="00A96EA0"/>
    <w:rsid w:val="00AA11C7"/>
    <w:rsid w:val="00AA16B3"/>
    <w:rsid w:val="00AA25F1"/>
    <w:rsid w:val="00AA4A29"/>
    <w:rsid w:val="00AA55DF"/>
    <w:rsid w:val="00AA61B7"/>
    <w:rsid w:val="00AB0EE3"/>
    <w:rsid w:val="00AB222C"/>
    <w:rsid w:val="00AB336C"/>
    <w:rsid w:val="00AB5CAF"/>
    <w:rsid w:val="00AB6D56"/>
    <w:rsid w:val="00AC0C64"/>
    <w:rsid w:val="00AC3CB1"/>
    <w:rsid w:val="00AC3DAC"/>
    <w:rsid w:val="00AC3ED2"/>
    <w:rsid w:val="00AC46D5"/>
    <w:rsid w:val="00AD07DA"/>
    <w:rsid w:val="00AD1086"/>
    <w:rsid w:val="00AD114A"/>
    <w:rsid w:val="00AD11A9"/>
    <w:rsid w:val="00AD20B2"/>
    <w:rsid w:val="00AD4DCC"/>
    <w:rsid w:val="00AD7314"/>
    <w:rsid w:val="00AE07F9"/>
    <w:rsid w:val="00AE28C9"/>
    <w:rsid w:val="00AE40A4"/>
    <w:rsid w:val="00AE53AC"/>
    <w:rsid w:val="00AE5645"/>
    <w:rsid w:val="00AE7DEE"/>
    <w:rsid w:val="00AF20C6"/>
    <w:rsid w:val="00AF3B98"/>
    <w:rsid w:val="00AF48BD"/>
    <w:rsid w:val="00AF5E4F"/>
    <w:rsid w:val="00B01E86"/>
    <w:rsid w:val="00B03FC5"/>
    <w:rsid w:val="00B0425E"/>
    <w:rsid w:val="00B050CC"/>
    <w:rsid w:val="00B0741E"/>
    <w:rsid w:val="00B07DD6"/>
    <w:rsid w:val="00B118DC"/>
    <w:rsid w:val="00B14169"/>
    <w:rsid w:val="00B14D3F"/>
    <w:rsid w:val="00B16CAC"/>
    <w:rsid w:val="00B24860"/>
    <w:rsid w:val="00B26EBD"/>
    <w:rsid w:val="00B2769A"/>
    <w:rsid w:val="00B27F15"/>
    <w:rsid w:val="00B3062F"/>
    <w:rsid w:val="00B32877"/>
    <w:rsid w:val="00B329B7"/>
    <w:rsid w:val="00B35188"/>
    <w:rsid w:val="00B409C4"/>
    <w:rsid w:val="00B439B0"/>
    <w:rsid w:val="00B5356F"/>
    <w:rsid w:val="00B54B77"/>
    <w:rsid w:val="00B56A90"/>
    <w:rsid w:val="00B56CB8"/>
    <w:rsid w:val="00B62CDE"/>
    <w:rsid w:val="00B6486D"/>
    <w:rsid w:val="00B66112"/>
    <w:rsid w:val="00B66989"/>
    <w:rsid w:val="00B67C2C"/>
    <w:rsid w:val="00B71547"/>
    <w:rsid w:val="00B74BA8"/>
    <w:rsid w:val="00B767DB"/>
    <w:rsid w:val="00B8017A"/>
    <w:rsid w:val="00B83810"/>
    <w:rsid w:val="00B8567E"/>
    <w:rsid w:val="00B87621"/>
    <w:rsid w:val="00B905BA"/>
    <w:rsid w:val="00B90A49"/>
    <w:rsid w:val="00B92551"/>
    <w:rsid w:val="00B93BF2"/>
    <w:rsid w:val="00B94F2A"/>
    <w:rsid w:val="00B955BA"/>
    <w:rsid w:val="00BA230C"/>
    <w:rsid w:val="00BA300A"/>
    <w:rsid w:val="00BA3B26"/>
    <w:rsid w:val="00BA57C6"/>
    <w:rsid w:val="00BA67A0"/>
    <w:rsid w:val="00BA70F0"/>
    <w:rsid w:val="00BB5038"/>
    <w:rsid w:val="00BB58CD"/>
    <w:rsid w:val="00BC1B62"/>
    <w:rsid w:val="00BC1F18"/>
    <w:rsid w:val="00BC33D2"/>
    <w:rsid w:val="00BD2A13"/>
    <w:rsid w:val="00BD37AB"/>
    <w:rsid w:val="00BD4896"/>
    <w:rsid w:val="00BD618C"/>
    <w:rsid w:val="00BD72F7"/>
    <w:rsid w:val="00BE48BD"/>
    <w:rsid w:val="00BE61D7"/>
    <w:rsid w:val="00BE79C3"/>
    <w:rsid w:val="00BF51D4"/>
    <w:rsid w:val="00BF6745"/>
    <w:rsid w:val="00C01FEF"/>
    <w:rsid w:val="00C03C90"/>
    <w:rsid w:val="00C04D76"/>
    <w:rsid w:val="00C05532"/>
    <w:rsid w:val="00C0653A"/>
    <w:rsid w:val="00C06670"/>
    <w:rsid w:val="00C072DB"/>
    <w:rsid w:val="00C252D3"/>
    <w:rsid w:val="00C30416"/>
    <w:rsid w:val="00C31D20"/>
    <w:rsid w:val="00C3297C"/>
    <w:rsid w:val="00C33824"/>
    <w:rsid w:val="00C34635"/>
    <w:rsid w:val="00C40DA0"/>
    <w:rsid w:val="00C43521"/>
    <w:rsid w:val="00C50A05"/>
    <w:rsid w:val="00C52CF2"/>
    <w:rsid w:val="00C53E41"/>
    <w:rsid w:val="00C5749C"/>
    <w:rsid w:val="00C6103D"/>
    <w:rsid w:val="00C61F31"/>
    <w:rsid w:val="00C6395C"/>
    <w:rsid w:val="00C64606"/>
    <w:rsid w:val="00C656A4"/>
    <w:rsid w:val="00C6685E"/>
    <w:rsid w:val="00C67AB5"/>
    <w:rsid w:val="00C71880"/>
    <w:rsid w:val="00C76291"/>
    <w:rsid w:val="00C80786"/>
    <w:rsid w:val="00C856D7"/>
    <w:rsid w:val="00C87211"/>
    <w:rsid w:val="00C901F8"/>
    <w:rsid w:val="00C909D3"/>
    <w:rsid w:val="00C90BDE"/>
    <w:rsid w:val="00C91DF7"/>
    <w:rsid w:val="00C92CF8"/>
    <w:rsid w:val="00C955C7"/>
    <w:rsid w:val="00C96272"/>
    <w:rsid w:val="00C97589"/>
    <w:rsid w:val="00C97F2A"/>
    <w:rsid w:val="00CA087B"/>
    <w:rsid w:val="00CA2382"/>
    <w:rsid w:val="00CA324E"/>
    <w:rsid w:val="00CA6871"/>
    <w:rsid w:val="00CB0C2D"/>
    <w:rsid w:val="00CB1668"/>
    <w:rsid w:val="00CB2C39"/>
    <w:rsid w:val="00CB6ADA"/>
    <w:rsid w:val="00CB7C4A"/>
    <w:rsid w:val="00CC0F47"/>
    <w:rsid w:val="00CC284D"/>
    <w:rsid w:val="00CC5839"/>
    <w:rsid w:val="00CC69B6"/>
    <w:rsid w:val="00CC7B24"/>
    <w:rsid w:val="00CC7C55"/>
    <w:rsid w:val="00CD27B2"/>
    <w:rsid w:val="00CE08B1"/>
    <w:rsid w:val="00CE10F2"/>
    <w:rsid w:val="00CE164C"/>
    <w:rsid w:val="00CE21E0"/>
    <w:rsid w:val="00CE2ACA"/>
    <w:rsid w:val="00CE4F89"/>
    <w:rsid w:val="00CE7DB4"/>
    <w:rsid w:val="00CF24A7"/>
    <w:rsid w:val="00CF3BE0"/>
    <w:rsid w:val="00CF4A0B"/>
    <w:rsid w:val="00CF77AE"/>
    <w:rsid w:val="00D004DA"/>
    <w:rsid w:val="00D015CE"/>
    <w:rsid w:val="00D0214F"/>
    <w:rsid w:val="00D05974"/>
    <w:rsid w:val="00D05F6C"/>
    <w:rsid w:val="00D07AAB"/>
    <w:rsid w:val="00D10176"/>
    <w:rsid w:val="00D10506"/>
    <w:rsid w:val="00D12930"/>
    <w:rsid w:val="00D178EB"/>
    <w:rsid w:val="00D20176"/>
    <w:rsid w:val="00D23F6E"/>
    <w:rsid w:val="00D243AA"/>
    <w:rsid w:val="00D25F6D"/>
    <w:rsid w:val="00D26959"/>
    <w:rsid w:val="00D26CA6"/>
    <w:rsid w:val="00D314CB"/>
    <w:rsid w:val="00D32FC9"/>
    <w:rsid w:val="00D33DCF"/>
    <w:rsid w:val="00D34B4D"/>
    <w:rsid w:val="00D41362"/>
    <w:rsid w:val="00D42DD6"/>
    <w:rsid w:val="00D43AF7"/>
    <w:rsid w:val="00D53FB4"/>
    <w:rsid w:val="00D54619"/>
    <w:rsid w:val="00D563A1"/>
    <w:rsid w:val="00D57F0E"/>
    <w:rsid w:val="00D60790"/>
    <w:rsid w:val="00D61050"/>
    <w:rsid w:val="00D66120"/>
    <w:rsid w:val="00D668F8"/>
    <w:rsid w:val="00D67CCB"/>
    <w:rsid w:val="00D711C6"/>
    <w:rsid w:val="00D72D05"/>
    <w:rsid w:val="00D76654"/>
    <w:rsid w:val="00D8423E"/>
    <w:rsid w:val="00D86C93"/>
    <w:rsid w:val="00D90E69"/>
    <w:rsid w:val="00D9163B"/>
    <w:rsid w:val="00D9280C"/>
    <w:rsid w:val="00D9305B"/>
    <w:rsid w:val="00D93811"/>
    <w:rsid w:val="00D93D8D"/>
    <w:rsid w:val="00DA3590"/>
    <w:rsid w:val="00DA4630"/>
    <w:rsid w:val="00DA4A86"/>
    <w:rsid w:val="00DB1EFB"/>
    <w:rsid w:val="00DB27B1"/>
    <w:rsid w:val="00DB2AD0"/>
    <w:rsid w:val="00DB60C5"/>
    <w:rsid w:val="00DB7374"/>
    <w:rsid w:val="00DC2660"/>
    <w:rsid w:val="00DC4885"/>
    <w:rsid w:val="00DC4CE8"/>
    <w:rsid w:val="00DC7973"/>
    <w:rsid w:val="00DC7F1C"/>
    <w:rsid w:val="00DD12A4"/>
    <w:rsid w:val="00DD3AC6"/>
    <w:rsid w:val="00DD79E4"/>
    <w:rsid w:val="00DD7F14"/>
    <w:rsid w:val="00DE0AFB"/>
    <w:rsid w:val="00DE0D40"/>
    <w:rsid w:val="00DE3613"/>
    <w:rsid w:val="00DF2818"/>
    <w:rsid w:val="00DF5F29"/>
    <w:rsid w:val="00E00ABD"/>
    <w:rsid w:val="00E01686"/>
    <w:rsid w:val="00E04E63"/>
    <w:rsid w:val="00E04FAC"/>
    <w:rsid w:val="00E04FC7"/>
    <w:rsid w:val="00E054E5"/>
    <w:rsid w:val="00E073AC"/>
    <w:rsid w:val="00E150AE"/>
    <w:rsid w:val="00E178D1"/>
    <w:rsid w:val="00E20967"/>
    <w:rsid w:val="00E20A57"/>
    <w:rsid w:val="00E21740"/>
    <w:rsid w:val="00E2225A"/>
    <w:rsid w:val="00E2252A"/>
    <w:rsid w:val="00E24D94"/>
    <w:rsid w:val="00E24F68"/>
    <w:rsid w:val="00E30085"/>
    <w:rsid w:val="00E357EB"/>
    <w:rsid w:val="00E35BEE"/>
    <w:rsid w:val="00E40CAD"/>
    <w:rsid w:val="00E42F49"/>
    <w:rsid w:val="00E44248"/>
    <w:rsid w:val="00E5129C"/>
    <w:rsid w:val="00E540FE"/>
    <w:rsid w:val="00E542CB"/>
    <w:rsid w:val="00E55312"/>
    <w:rsid w:val="00E558C1"/>
    <w:rsid w:val="00E56FAE"/>
    <w:rsid w:val="00E60237"/>
    <w:rsid w:val="00E60356"/>
    <w:rsid w:val="00E6099C"/>
    <w:rsid w:val="00E60B3F"/>
    <w:rsid w:val="00E6101A"/>
    <w:rsid w:val="00E6275B"/>
    <w:rsid w:val="00E638DA"/>
    <w:rsid w:val="00E646EE"/>
    <w:rsid w:val="00E7101B"/>
    <w:rsid w:val="00E71AE6"/>
    <w:rsid w:val="00E85D99"/>
    <w:rsid w:val="00E875B2"/>
    <w:rsid w:val="00E9015E"/>
    <w:rsid w:val="00E93358"/>
    <w:rsid w:val="00E950DD"/>
    <w:rsid w:val="00E96045"/>
    <w:rsid w:val="00E97C58"/>
    <w:rsid w:val="00EA5D9D"/>
    <w:rsid w:val="00EA6BF4"/>
    <w:rsid w:val="00EA6E73"/>
    <w:rsid w:val="00EB0322"/>
    <w:rsid w:val="00EB4224"/>
    <w:rsid w:val="00EB5588"/>
    <w:rsid w:val="00EB56F1"/>
    <w:rsid w:val="00EB6579"/>
    <w:rsid w:val="00EC3DC3"/>
    <w:rsid w:val="00ED0483"/>
    <w:rsid w:val="00ED04F3"/>
    <w:rsid w:val="00ED0F0B"/>
    <w:rsid w:val="00EE2307"/>
    <w:rsid w:val="00EE2511"/>
    <w:rsid w:val="00EE637C"/>
    <w:rsid w:val="00EF313E"/>
    <w:rsid w:val="00EF3A08"/>
    <w:rsid w:val="00EF4D05"/>
    <w:rsid w:val="00EF7660"/>
    <w:rsid w:val="00EF7D4F"/>
    <w:rsid w:val="00F0120E"/>
    <w:rsid w:val="00F014B1"/>
    <w:rsid w:val="00F03F03"/>
    <w:rsid w:val="00F05B3B"/>
    <w:rsid w:val="00F1340D"/>
    <w:rsid w:val="00F13A09"/>
    <w:rsid w:val="00F148A6"/>
    <w:rsid w:val="00F15522"/>
    <w:rsid w:val="00F16D76"/>
    <w:rsid w:val="00F2115B"/>
    <w:rsid w:val="00F2173B"/>
    <w:rsid w:val="00F21FD2"/>
    <w:rsid w:val="00F27C87"/>
    <w:rsid w:val="00F30487"/>
    <w:rsid w:val="00F314BA"/>
    <w:rsid w:val="00F31990"/>
    <w:rsid w:val="00F322CF"/>
    <w:rsid w:val="00F32503"/>
    <w:rsid w:val="00F3667B"/>
    <w:rsid w:val="00F41454"/>
    <w:rsid w:val="00F426FA"/>
    <w:rsid w:val="00F4415D"/>
    <w:rsid w:val="00F4707D"/>
    <w:rsid w:val="00F50AC6"/>
    <w:rsid w:val="00F54B17"/>
    <w:rsid w:val="00F579C2"/>
    <w:rsid w:val="00F57C2F"/>
    <w:rsid w:val="00F603CD"/>
    <w:rsid w:val="00F63729"/>
    <w:rsid w:val="00F64E11"/>
    <w:rsid w:val="00F72E75"/>
    <w:rsid w:val="00F73CEC"/>
    <w:rsid w:val="00F75BDB"/>
    <w:rsid w:val="00F76C42"/>
    <w:rsid w:val="00F80F0A"/>
    <w:rsid w:val="00F855B7"/>
    <w:rsid w:val="00F86CA6"/>
    <w:rsid w:val="00F90B29"/>
    <w:rsid w:val="00F90F10"/>
    <w:rsid w:val="00F927C5"/>
    <w:rsid w:val="00F93A77"/>
    <w:rsid w:val="00F93C39"/>
    <w:rsid w:val="00F95E60"/>
    <w:rsid w:val="00F97C34"/>
    <w:rsid w:val="00FA20B1"/>
    <w:rsid w:val="00FA2514"/>
    <w:rsid w:val="00FB19BB"/>
    <w:rsid w:val="00FB545A"/>
    <w:rsid w:val="00FC4101"/>
    <w:rsid w:val="00FC4E2F"/>
    <w:rsid w:val="00FC653E"/>
    <w:rsid w:val="00FC6D8D"/>
    <w:rsid w:val="00FC7CFE"/>
    <w:rsid w:val="00FD2896"/>
    <w:rsid w:val="00FD49E3"/>
    <w:rsid w:val="00FD4A4C"/>
    <w:rsid w:val="00FD5AC1"/>
    <w:rsid w:val="00FD696F"/>
    <w:rsid w:val="00FE0835"/>
    <w:rsid w:val="00FE33A4"/>
    <w:rsid w:val="00FE40CE"/>
    <w:rsid w:val="00FE6AB9"/>
    <w:rsid w:val="00FE6D57"/>
    <w:rsid w:val="00FE7371"/>
    <w:rsid w:val="00FE7616"/>
    <w:rsid w:val="00FF1754"/>
    <w:rsid w:val="00FF5AAF"/>
    <w:rsid w:val="00FF70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EC"/>
    <w:pPr>
      <w:bidi/>
      <w:spacing w:after="0" w:line="360" w:lineRule="auto"/>
      <w:ind w:left="357"/>
      <w:jc w:val="both"/>
    </w:pPr>
  </w:style>
  <w:style w:type="paragraph" w:styleId="1">
    <w:name w:val="heading 1"/>
    <w:basedOn w:val="a"/>
    <w:next w:val="a"/>
    <w:link w:val="10"/>
    <w:uiPriority w:val="9"/>
    <w:qFormat/>
    <w:rsid w:val="001053F5"/>
    <w:pPr>
      <w:keepNext/>
      <w:keepLines/>
      <w:spacing w:before="240"/>
      <w:ind w:left="0" w:firstLine="340"/>
      <w:outlineLvl w:val="0"/>
    </w:pPr>
    <w:rPr>
      <w:rFonts w:asciiTheme="majorHAnsi" w:hAnsiTheme="majorHAnsi" w:cstheme="majorBidi"/>
      <w:b/>
      <w:bCs/>
    </w:rPr>
  </w:style>
  <w:style w:type="paragraph" w:styleId="2">
    <w:name w:val="heading 2"/>
    <w:basedOn w:val="a"/>
    <w:next w:val="a"/>
    <w:link w:val="20"/>
    <w:uiPriority w:val="9"/>
    <w:unhideWhenUsed/>
    <w:qFormat/>
    <w:rsid w:val="001053F5"/>
    <w:pPr>
      <w:keepNext/>
      <w:keepLines/>
      <w:numPr>
        <w:numId w:val="11"/>
      </w:numPr>
      <w:spacing w:before="240"/>
      <w:outlineLvl w:val="1"/>
    </w:pPr>
    <w:rPr>
      <w:rFonts w:asciiTheme="majorHAnsi" w:hAnsiTheme="majorHAnsi" w:cstheme="majorBidi"/>
      <w:b/>
      <w:bCs/>
    </w:rPr>
  </w:style>
  <w:style w:type="paragraph" w:styleId="3">
    <w:name w:val="heading 3"/>
    <w:basedOn w:val="a"/>
    <w:next w:val="a"/>
    <w:link w:val="30"/>
    <w:uiPriority w:val="9"/>
    <w:unhideWhenUsed/>
    <w:qFormat/>
    <w:rsid w:val="00272D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contextualSpacing/>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table" w:styleId="a3">
    <w:name w:val="Table Grid"/>
    <w:basedOn w:val="a1"/>
    <w:uiPriority w:val="59"/>
    <w:rsid w:val="00944DA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4DAB"/>
    <w:rPr>
      <w:rFonts w:ascii="Tahoma" w:hAnsi="Tahoma" w:cs="Tahoma"/>
      <w:sz w:val="16"/>
      <w:szCs w:val="16"/>
    </w:rPr>
  </w:style>
  <w:style w:type="character" w:customStyle="1" w:styleId="a5">
    <w:name w:val="טקסט בלונים תו"/>
    <w:basedOn w:val="a0"/>
    <w:link w:val="a4"/>
    <w:uiPriority w:val="99"/>
    <w:semiHidden/>
    <w:rsid w:val="00944DAB"/>
    <w:rPr>
      <w:rFonts w:ascii="Tahoma" w:eastAsia="Times New Roman" w:hAnsi="Tahoma" w:cs="Tahoma"/>
      <w:sz w:val="16"/>
      <w:szCs w:val="16"/>
      <w:lang w:eastAsia="he-IL"/>
    </w:rPr>
  </w:style>
  <w:style w:type="paragraph" w:styleId="a6">
    <w:name w:val="header"/>
    <w:basedOn w:val="a"/>
    <w:link w:val="a7"/>
    <w:uiPriority w:val="99"/>
    <w:unhideWhenUsed/>
    <w:rsid w:val="00944DAB"/>
    <w:pPr>
      <w:tabs>
        <w:tab w:val="center" w:pos="4153"/>
        <w:tab w:val="right" w:pos="8306"/>
      </w:tabs>
    </w:pPr>
  </w:style>
  <w:style w:type="character" w:customStyle="1" w:styleId="a7">
    <w:name w:val="כותרת עליונה תו"/>
    <w:basedOn w:val="a0"/>
    <w:link w:val="a6"/>
    <w:uiPriority w:val="99"/>
    <w:rsid w:val="00944DAB"/>
    <w:rPr>
      <w:rFonts w:ascii="Times New Roman" w:eastAsia="Times New Roman" w:hAnsi="Times New Roman" w:cs="Times New Roman"/>
      <w:sz w:val="24"/>
      <w:szCs w:val="24"/>
      <w:lang w:eastAsia="he-IL"/>
    </w:rPr>
  </w:style>
  <w:style w:type="paragraph" w:styleId="a8">
    <w:name w:val="footer"/>
    <w:basedOn w:val="a"/>
    <w:link w:val="a9"/>
    <w:uiPriority w:val="99"/>
    <w:unhideWhenUsed/>
    <w:rsid w:val="00944DAB"/>
    <w:pPr>
      <w:tabs>
        <w:tab w:val="center" w:pos="4153"/>
        <w:tab w:val="right" w:pos="8306"/>
      </w:tabs>
    </w:pPr>
  </w:style>
  <w:style w:type="character" w:customStyle="1" w:styleId="a9">
    <w:name w:val="כותרת תחתונה תו"/>
    <w:basedOn w:val="a0"/>
    <w:link w:val="a8"/>
    <w:uiPriority w:val="99"/>
    <w:rsid w:val="00944DAB"/>
    <w:rPr>
      <w:rFonts w:ascii="Times New Roman" w:eastAsia="Times New Roman" w:hAnsi="Times New Roman" w:cs="Times New Roman"/>
      <w:sz w:val="24"/>
      <w:szCs w:val="24"/>
      <w:lang w:eastAsia="he-IL"/>
    </w:rPr>
  </w:style>
  <w:style w:type="paragraph" w:styleId="aa">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b"/>
    <w:uiPriority w:val="99"/>
    <w:rsid w:val="000052A4"/>
    <w:rPr>
      <w:sz w:val="20"/>
      <w:szCs w:val="20"/>
    </w:rPr>
  </w:style>
  <w:style w:type="character" w:customStyle="1" w:styleId="ab">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a"/>
    <w:uiPriority w:val="99"/>
    <w:rsid w:val="000052A4"/>
    <w:rPr>
      <w:rFonts w:ascii="Times New Roman" w:eastAsia="Times New Roman" w:hAnsi="Times New Roman" w:cs="Times New Roman"/>
      <w:sz w:val="20"/>
      <w:szCs w:val="20"/>
      <w:lang w:eastAsia="he-IL"/>
    </w:rPr>
  </w:style>
  <w:style w:type="character" w:styleId="ac">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sid w:val="000052A4"/>
    <w:rPr>
      <w:vertAlign w:val="superscript"/>
    </w:rPr>
  </w:style>
  <w:style w:type="paragraph" w:styleId="ad">
    <w:name w:val="Title"/>
    <w:basedOn w:val="a"/>
    <w:next w:val="a"/>
    <w:link w:val="ae"/>
    <w:uiPriority w:val="10"/>
    <w:qFormat/>
    <w:rsid w:val="002D3013"/>
    <w:pPr>
      <w:spacing w:after="300"/>
      <w:contextualSpacing/>
      <w:jc w:val="center"/>
    </w:pPr>
    <w:rPr>
      <w:rFonts w:asciiTheme="majorHAnsi" w:hAnsiTheme="majorHAnsi" w:cstheme="majorBidi"/>
      <w:b/>
      <w:bCs/>
      <w:spacing w:val="5"/>
      <w:kern w:val="28"/>
      <w:sz w:val="28"/>
      <w:szCs w:val="28"/>
    </w:rPr>
  </w:style>
  <w:style w:type="character" w:customStyle="1" w:styleId="ae">
    <w:name w:val="כותרת טקסט תו"/>
    <w:basedOn w:val="a0"/>
    <w:link w:val="ad"/>
    <w:uiPriority w:val="10"/>
    <w:rsid w:val="002D3013"/>
    <w:rPr>
      <w:rFonts w:asciiTheme="majorHAnsi" w:eastAsia="Times New Roman" w:hAnsiTheme="majorHAnsi" w:cstheme="majorBidi"/>
      <w:b/>
      <w:bCs/>
      <w:spacing w:val="5"/>
      <w:kern w:val="28"/>
      <w:sz w:val="28"/>
      <w:szCs w:val="28"/>
      <w:lang w:eastAsia="he-IL"/>
    </w:rPr>
  </w:style>
  <w:style w:type="character" w:customStyle="1" w:styleId="10">
    <w:name w:val="כותרת 1 תו"/>
    <w:basedOn w:val="a0"/>
    <w:link w:val="1"/>
    <w:uiPriority w:val="9"/>
    <w:rsid w:val="001053F5"/>
    <w:rPr>
      <w:rFonts w:asciiTheme="majorHAnsi" w:hAnsiTheme="majorHAnsi" w:cstheme="majorBidi"/>
      <w:b/>
      <w:bCs/>
    </w:rPr>
  </w:style>
  <w:style w:type="character" w:customStyle="1" w:styleId="20">
    <w:name w:val="כותרת 2 תו"/>
    <w:basedOn w:val="a0"/>
    <w:link w:val="2"/>
    <w:uiPriority w:val="9"/>
    <w:rsid w:val="001053F5"/>
    <w:rPr>
      <w:rFonts w:asciiTheme="majorHAnsi" w:hAnsiTheme="majorHAnsi" w:cstheme="majorBidi"/>
      <w:b/>
      <w:bCs/>
    </w:rPr>
  </w:style>
  <w:style w:type="character" w:styleId="af">
    <w:name w:val="annotation reference"/>
    <w:basedOn w:val="a0"/>
    <w:uiPriority w:val="99"/>
    <w:semiHidden/>
    <w:unhideWhenUsed/>
    <w:rsid w:val="00C05532"/>
    <w:rPr>
      <w:sz w:val="16"/>
      <w:szCs w:val="16"/>
    </w:rPr>
  </w:style>
  <w:style w:type="paragraph" w:styleId="af0">
    <w:name w:val="annotation text"/>
    <w:basedOn w:val="a"/>
    <w:link w:val="af1"/>
    <w:uiPriority w:val="99"/>
    <w:semiHidden/>
    <w:unhideWhenUsed/>
    <w:rsid w:val="00C05532"/>
    <w:rPr>
      <w:sz w:val="20"/>
      <w:szCs w:val="20"/>
    </w:rPr>
  </w:style>
  <w:style w:type="character" w:customStyle="1" w:styleId="af1">
    <w:name w:val="טקסט הערה תו"/>
    <w:basedOn w:val="a0"/>
    <w:link w:val="af0"/>
    <w:uiPriority w:val="99"/>
    <w:semiHidden/>
    <w:rsid w:val="00C05532"/>
    <w:rPr>
      <w:rFonts w:ascii="Times New Roman" w:eastAsia="Times New Roman" w:hAnsi="Times New Roman" w:cs="Times New Roman"/>
      <w:sz w:val="20"/>
      <w:szCs w:val="20"/>
      <w:lang w:eastAsia="he-IL"/>
    </w:rPr>
  </w:style>
  <w:style w:type="paragraph" w:styleId="af2">
    <w:name w:val="annotation subject"/>
    <w:basedOn w:val="af0"/>
    <w:next w:val="af0"/>
    <w:link w:val="af3"/>
    <w:uiPriority w:val="99"/>
    <w:semiHidden/>
    <w:unhideWhenUsed/>
    <w:rsid w:val="00C05532"/>
    <w:rPr>
      <w:b/>
      <w:bCs/>
    </w:rPr>
  </w:style>
  <w:style w:type="character" w:customStyle="1" w:styleId="af3">
    <w:name w:val="נושא הערה תו"/>
    <w:basedOn w:val="af1"/>
    <w:link w:val="af2"/>
    <w:uiPriority w:val="99"/>
    <w:semiHidden/>
    <w:rsid w:val="00C05532"/>
    <w:rPr>
      <w:rFonts w:ascii="Times New Roman" w:eastAsia="Times New Roman" w:hAnsi="Times New Roman" w:cs="Times New Roman"/>
      <w:b/>
      <w:bCs/>
      <w:sz w:val="20"/>
      <w:szCs w:val="20"/>
      <w:lang w:eastAsia="he-IL"/>
    </w:rPr>
  </w:style>
  <w:style w:type="paragraph" w:styleId="af4">
    <w:name w:val="Revision"/>
    <w:hidden/>
    <w:uiPriority w:val="99"/>
    <w:semiHidden/>
    <w:rsid w:val="00C05532"/>
    <w:pPr>
      <w:spacing w:after="0" w:line="240" w:lineRule="auto"/>
    </w:pPr>
    <w:rPr>
      <w:rFonts w:ascii="Times New Roman" w:eastAsia="Times New Roman" w:hAnsi="Times New Roman" w:cs="Times New Roman"/>
      <w:lang w:eastAsia="he-IL"/>
    </w:rPr>
  </w:style>
  <w:style w:type="table" w:customStyle="1" w:styleId="11">
    <w:name w:val="טבלת רשת1"/>
    <w:basedOn w:val="a1"/>
    <w:next w:val="a3"/>
    <w:rsid w:val="00900E1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a1"/>
    <w:next w:val="a3"/>
    <w:rsid w:val="00900E1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C06670"/>
    <w:pPr>
      <w:ind w:left="0"/>
      <w:contextualSpacing/>
    </w:pPr>
    <w:rPr>
      <w:sz w:val="18"/>
      <w:szCs w:val="18"/>
    </w:rPr>
  </w:style>
  <w:style w:type="paragraph" w:styleId="NormalWeb">
    <w:name w:val="Normal (Web)"/>
    <w:basedOn w:val="a"/>
    <w:uiPriority w:val="99"/>
    <w:unhideWhenUsed/>
    <w:rsid w:val="00FE6AB9"/>
    <w:pPr>
      <w:bidi w:val="0"/>
      <w:spacing w:before="100" w:beforeAutospacing="1" w:after="100" w:afterAutospacing="1"/>
    </w:pPr>
  </w:style>
  <w:style w:type="paragraph" w:styleId="af6">
    <w:name w:val="caption"/>
    <w:basedOn w:val="a"/>
    <w:next w:val="a"/>
    <w:uiPriority w:val="35"/>
    <w:unhideWhenUsed/>
    <w:qFormat/>
    <w:rsid w:val="001053F5"/>
    <w:pPr>
      <w:keepNext/>
      <w:keepLines/>
      <w:spacing w:before="120" w:after="200" w:line="240" w:lineRule="auto"/>
      <w:ind w:left="284"/>
      <w:contextualSpacing/>
      <w:jc w:val="center"/>
    </w:pPr>
    <w:rPr>
      <w:b/>
      <w:bCs/>
      <w:color w:val="4F81BD" w:themeColor="accent1"/>
    </w:rPr>
  </w:style>
  <w:style w:type="paragraph" w:customStyle="1" w:styleId="Tablenc">
    <w:name w:val="Table_nc"/>
    <w:basedOn w:val="a"/>
    <w:link w:val="TablencChar"/>
    <w:qFormat/>
    <w:rsid w:val="002E23E3"/>
    <w:pPr>
      <w:spacing w:line="240" w:lineRule="auto"/>
      <w:ind w:left="113"/>
    </w:pPr>
    <w:rPr>
      <w:sz w:val="20"/>
      <w:szCs w:val="20"/>
    </w:rPr>
  </w:style>
  <w:style w:type="paragraph" w:styleId="af7">
    <w:name w:val="Body Text"/>
    <w:basedOn w:val="a"/>
    <w:link w:val="af8"/>
    <w:uiPriority w:val="99"/>
    <w:unhideWhenUsed/>
    <w:qFormat/>
    <w:rsid w:val="005F37D2"/>
    <w:pPr>
      <w:spacing w:after="120"/>
      <w:ind w:left="0"/>
    </w:pPr>
    <w:rPr>
      <w:sz w:val="22"/>
      <w:szCs w:val="22"/>
    </w:rPr>
  </w:style>
  <w:style w:type="character" w:customStyle="1" w:styleId="TablencChar">
    <w:name w:val="Table_nc Char"/>
    <w:basedOn w:val="a0"/>
    <w:link w:val="Tablenc"/>
    <w:rsid w:val="002E23E3"/>
    <w:rPr>
      <w:sz w:val="20"/>
      <w:szCs w:val="20"/>
    </w:rPr>
  </w:style>
  <w:style w:type="character" w:customStyle="1" w:styleId="af8">
    <w:name w:val="גוף טקסט תו"/>
    <w:basedOn w:val="a0"/>
    <w:link w:val="af7"/>
    <w:uiPriority w:val="99"/>
    <w:rsid w:val="005F37D2"/>
    <w:rPr>
      <w:sz w:val="22"/>
      <w:szCs w:val="22"/>
    </w:rPr>
  </w:style>
  <w:style w:type="paragraph" w:styleId="af9">
    <w:name w:val="No Spacing"/>
    <w:uiPriority w:val="1"/>
    <w:qFormat/>
    <w:rsid w:val="001053F5"/>
    <w:pPr>
      <w:bidi/>
      <w:spacing w:after="0" w:line="240" w:lineRule="auto"/>
      <w:ind w:left="357"/>
      <w:jc w:val="both"/>
    </w:pPr>
  </w:style>
  <w:style w:type="paragraph" w:styleId="afa">
    <w:name w:val="Subtitle"/>
    <w:basedOn w:val="a"/>
    <w:next w:val="a"/>
    <w:link w:val="afb"/>
    <w:uiPriority w:val="11"/>
    <w:qFormat/>
    <w:rsid w:val="00CF24A7"/>
    <w:pPr>
      <w:numPr>
        <w:ilvl w:val="1"/>
      </w:numPr>
      <w:ind w:left="357"/>
    </w:pPr>
    <w:rPr>
      <w:rFonts w:asciiTheme="majorHAnsi" w:eastAsiaTheme="majorEastAsia" w:hAnsiTheme="majorHAnsi" w:cstheme="majorBidi"/>
      <w:i/>
      <w:iCs/>
      <w:color w:val="4F81BD" w:themeColor="accent1"/>
      <w:spacing w:val="15"/>
    </w:rPr>
  </w:style>
  <w:style w:type="character" w:customStyle="1" w:styleId="afb">
    <w:name w:val="כותרת משנה תו"/>
    <w:basedOn w:val="a0"/>
    <w:link w:val="afa"/>
    <w:uiPriority w:val="11"/>
    <w:rsid w:val="00CF24A7"/>
    <w:rPr>
      <w:rFonts w:asciiTheme="majorHAnsi" w:eastAsiaTheme="majorEastAsia" w:hAnsiTheme="majorHAnsi" w:cstheme="majorBidi"/>
      <w:i/>
      <w:iCs/>
      <w:color w:val="4F81BD" w:themeColor="accent1"/>
      <w:spacing w:val="15"/>
    </w:rPr>
  </w:style>
  <w:style w:type="character" w:styleId="afc">
    <w:name w:val="Intense Emphasis"/>
    <w:basedOn w:val="a0"/>
    <w:uiPriority w:val="21"/>
    <w:qFormat/>
    <w:rsid w:val="00672E8B"/>
    <w:rPr>
      <w:i/>
      <w:iCs/>
      <w:color w:val="4F81BD" w:themeColor="accent1"/>
    </w:rPr>
  </w:style>
  <w:style w:type="character" w:customStyle="1" w:styleId="30">
    <w:name w:val="כותרת 3 תו"/>
    <w:basedOn w:val="a0"/>
    <w:link w:val="3"/>
    <w:uiPriority w:val="9"/>
    <w:rsid w:val="00272DD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EC"/>
    <w:pPr>
      <w:bidi/>
      <w:spacing w:after="0" w:line="360" w:lineRule="auto"/>
      <w:ind w:left="357"/>
      <w:jc w:val="both"/>
    </w:pPr>
  </w:style>
  <w:style w:type="paragraph" w:styleId="1">
    <w:name w:val="heading 1"/>
    <w:basedOn w:val="a"/>
    <w:next w:val="a"/>
    <w:link w:val="10"/>
    <w:uiPriority w:val="9"/>
    <w:qFormat/>
    <w:rsid w:val="001053F5"/>
    <w:pPr>
      <w:keepNext/>
      <w:keepLines/>
      <w:spacing w:before="240"/>
      <w:ind w:left="0" w:firstLine="340"/>
      <w:outlineLvl w:val="0"/>
    </w:pPr>
    <w:rPr>
      <w:rFonts w:asciiTheme="majorHAnsi" w:hAnsiTheme="majorHAnsi" w:cstheme="majorBidi"/>
      <w:b/>
      <w:bCs/>
    </w:rPr>
  </w:style>
  <w:style w:type="paragraph" w:styleId="2">
    <w:name w:val="heading 2"/>
    <w:basedOn w:val="a"/>
    <w:next w:val="a"/>
    <w:link w:val="20"/>
    <w:uiPriority w:val="9"/>
    <w:unhideWhenUsed/>
    <w:qFormat/>
    <w:rsid w:val="001053F5"/>
    <w:pPr>
      <w:keepNext/>
      <w:keepLines/>
      <w:numPr>
        <w:numId w:val="11"/>
      </w:numPr>
      <w:spacing w:before="240"/>
      <w:outlineLvl w:val="1"/>
    </w:pPr>
    <w:rPr>
      <w:rFonts w:asciiTheme="majorHAnsi" w:hAnsiTheme="majorHAnsi" w:cstheme="majorBidi"/>
      <w:b/>
      <w:bCs/>
    </w:rPr>
  </w:style>
  <w:style w:type="paragraph" w:styleId="3">
    <w:name w:val="heading 3"/>
    <w:basedOn w:val="a"/>
    <w:next w:val="a"/>
    <w:link w:val="30"/>
    <w:uiPriority w:val="9"/>
    <w:unhideWhenUsed/>
    <w:qFormat/>
    <w:rsid w:val="00272D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contextualSpacing/>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table" w:styleId="a3">
    <w:name w:val="Table Grid"/>
    <w:basedOn w:val="a1"/>
    <w:uiPriority w:val="59"/>
    <w:rsid w:val="00944DA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4DAB"/>
    <w:rPr>
      <w:rFonts w:ascii="Tahoma" w:hAnsi="Tahoma" w:cs="Tahoma"/>
      <w:sz w:val="16"/>
      <w:szCs w:val="16"/>
    </w:rPr>
  </w:style>
  <w:style w:type="character" w:customStyle="1" w:styleId="a5">
    <w:name w:val="טקסט בלונים תו"/>
    <w:basedOn w:val="a0"/>
    <w:link w:val="a4"/>
    <w:uiPriority w:val="99"/>
    <w:semiHidden/>
    <w:rsid w:val="00944DAB"/>
    <w:rPr>
      <w:rFonts w:ascii="Tahoma" w:eastAsia="Times New Roman" w:hAnsi="Tahoma" w:cs="Tahoma"/>
      <w:sz w:val="16"/>
      <w:szCs w:val="16"/>
      <w:lang w:eastAsia="he-IL"/>
    </w:rPr>
  </w:style>
  <w:style w:type="paragraph" w:styleId="a6">
    <w:name w:val="header"/>
    <w:basedOn w:val="a"/>
    <w:link w:val="a7"/>
    <w:uiPriority w:val="99"/>
    <w:unhideWhenUsed/>
    <w:rsid w:val="00944DAB"/>
    <w:pPr>
      <w:tabs>
        <w:tab w:val="center" w:pos="4153"/>
        <w:tab w:val="right" w:pos="8306"/>
      </w:tabs>
    </w:pPr>
  </w:style>
  <w:style w:type="character" w:customStyle="1" w:styleId="a7">
    <w:name w:val="כותרת עליונה תו"/>
    <w:basedOn w:val="a0"/>
    <w:link w:val="a6"/>
    <w:uiPriority w:val="99"/>
    <w:rsid w:val="00944DAB"/>
    <w:rPr>
      <w:rFonts w:ascii="Times New Roman" w:eastAsia="Times New Roman" w:hAnsi="Times New Roman" w:cs="Times New Roman"/>
      <w:sz w:val="24"/>
      <w:szCs w:val="24"/>
      <w:lang w:eastAsia="he-IL"/>
    </w:rPr>
  </w:style>
  <w:style w:type="paragraph" w:styleId="a8">
    <w:name w:val="footer"/>
    <w:basedOn w:val="a"/>
    <w:link w:val="a9"/>
    <w:uiPriority w:val="99"/>
    <w:unhideWhenUsed/>
    <w:rsid w:val="00944DAB"/>
    <w:pPr>
      <w:tabs>
        <w:tab w:val="center" w:pos="4153"/>
        <w:tab w:val="right" w:pos="8306"/>
      </w:tabs>
    </w:pPr>
  </w:style>
  <w:style w:type="character" w:customStyle="1" w:styleId="a9">
    <w:name w:val="כותרת תחתונה תו"/>
    <w:basedOn w:val="a0"/>
    <w:link w:val="a8"/>
    <w:uiPriority w:val="99"/>
    <w:rsid w:val="00944DAB"/>
    <w:rPr>
      <w:rFonts w:ascii="Times New Roman" w:eastAsia="Times New Roman" w:hAnsi="Times New Roman" w:cs="Times New Roman"/>
      <w:sz w:val="24"/>
      <w:szCs w:val="24"/>
      <w:lang w:eastAsia="he-IL"/>
    </w:rPr>
  </w:style>
  <w:style w:type="paragraph" w:styleId="aa">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b"/>
    <w:uiPriority w:val="99"/>
    <w:rsid w:val="000052A4"/>
    <w:rPr>
      <w:sz w:val="20"/>
      <w:szCs w:val="20"/>
    </w:rPr>
  </w:style>
  <w:style w:type="character" w:customStyle="1" w:styleId="ab">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a"/>
    <w:uiPriority w:val="99"/>
    <w:rsid w:val="000052A4"/>
    <w:rPr>
      <w:rFonts w:ascii="Times New Roman" w:eastAsia="Times New Roman" w:hAnsi="Times New Roman" w:cs="Times New Roman"/>
      <w:sz w:val="20"/>
      <w:szCs w:val="20"/>
      <w:lang w:eastAsia="he-IL"/>
    </w:rPr>
  </w:style>
  <w:style w:type="character" w:styleId="ac">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sid w:val="000052A4"/>
    <w:rPr>
      <w:vertAlign w:val="superscript"/>
    </w:rPr>
  </w:style>
  <w:style w:type="paragraph" w:styleId="ad">
    <w:name w:val="Title"/>
    <w:basedOn w:val="a"/>
    <w:next w:val="a"/>
    <w:link w:val="ae"/>
    <w:uiPriority w:val="10"/>
    <w:qFormat/>
    <w:rsid w:val="002D3013"/>
    <w:pPr>
      <w:spacing w:after="300"/>
      <w:contextualSpacing/>
      <w:jc w:val="center"/>
    </w:pPr>
    <w:rPr>
      <w:rFonts w:asciiTheme="majorHAnsi" w:hAnsiTheme="majorHAnsi" w:cstheme="majorBidi"/>
      <w:b/>
      <w:bCs/>
      <w:spacing w:val="5"/>
      <w:kern w:val="28"/>
      <w:sz w:val="28"/>
      <w:szCs w:val="28"/>
    </w:rPr>
  </w:style>
  <w:style w:type="character" w:customStyle="1" w:styleId="ae">
    <w:name w:val="כותרת טקסט תו"/>
    <w:basedOn w:val="a0"/>
    <w:link w:val="ad"/>
    <w:uiPriority w:val="10"/>
    <w:rsid w:val="002D3013"/>
    <w:rPr>
      <w:rFonts w:asciiTheme="majorHAnsi" w:eastAsia="Times New Roman" w:hAnsiTheme="majorHAnsi" w:cstheme="majorBidi"/>
      <w:b/>
      <w:bCs/>
      <w:spacing w:val="5"/>
      <w:kern w:val="28"/>
      <w:sz w:val="28"/>
      <w:szCs w:val="28"/>
      <w:lang w:eastAsia="he-IL"/>
    </w:rPr>
  </w:style>
  <w:style w:type="character" w:customStyle="1" w:styleId="10">
    <w:name w:val="כותרת 1 תו"/>
    <w:basedOn w:val="a0"/>
    <w:link w:val="1"/>
    <w:uiPriority w:val="9"/>
    <w:rsid w:val="001053F5"/>
    <w:rPr>
      <w:rFonts w:asciiTheme="majorHAnsi" w:hAnsiTheme="majorHAnsi" w:cstheme="majorBidi"/>
      <w:b/>
      <w:bCs/>
    </w:rPr>
  </w:style>
  <w:style w:type="character" w:customStyle="1" w:styleId="20">
    <w:name w:val="כותרת 2 תו"/>
    <w:basedOn w:val="a0"/>
    <w:link w:val="2"/>
    <w:uiPriority w:val="9"/>
    <w:rsid w:val="001053F5"/>
    <w:rPr>
      <w:rFonts w:asciiTheme="majorHAnsi" w:hAnsiTheme="majorHAnsi" w:cstheme="majorBidi"/>
      <w:b/>
      <w:bCs/>
    </w:rPr>
  </w:style>
  <w:style w:type="character" w:styleId="af">
    <w:name w:val="annotation reference"/>
    <w:basedOn w:val="a0"/>
    <w:uiPriority w:val="99"/>
    <w:semiHidden/>
    <w:unhideWhenUsed/>
    <w:rsid w:val="00C05532"/>
    <w:rPr>
      <w:sz w:val="16"/>
      <w:szCs w:val="16"/>
    </w:rPr>
  </w:style>
  <w:style w:type="paragraph" w:styleId="af0">
    <w:name w:val="annotation text"/>
    <w:basedOn w:val="a"/>
    <w:link w:val="af1"/>
    <w:uiPriority w:val="99"/>
    <w:semiHidden/>
    <w:unhideWhenUsed/>
    <w:rsid w:val="00C05532"/>
    <w:rPr>
      <w:sz w:val="20"/>
      <w:szCs w:val="20"/>
    </w:rPr>
  </w:style>
  <w:style w:type="character" w:customStyle="1" w:styleId="af1">
    <w:name w:val="טקסט הערה תו"/>
    <w:basedOn w:val="a0"/>
    <w:link w:val="af0"/>
    <w:uiPriority w:val="99"/>
    <w:semiHidden/>
    <w:rsid w:val="00C05532"/>
    <w:rPr>
      <w:rFonts w:ascii="Times New Roman" w:eastAsia="Times New Roman" w:hAnsi="Times New Roman" w:cs="Times New Roman"/>
      <w:sz w:val="20"/>
      <w:szCs w:val="20"/>
      <w:lang w:eastAsia="he-IL"/>
    </w:rPr>
  </w:style>
  <w:style w:type="paragraph" w:styleId="af2">
    <w:name w:val="annotation subject"/>
    <w:basedOn w:val="af0"/>
    <w:next w:val="af0"/>
    <w:link w:val="af3"/>
    <w:uiPriority w:val="99"/>
    <w:semiHidden/>
    <w:unhideWhenUsed/>
    <w:rsid w:val="00C05532"/>
    <w:rPr>
      <w:b/>
      <w:bCs/>
    </w:rPr>
  </w:style>
  <w:style w:type="character" w:customStyle="1" w:styleId="af3">
    <w:name w:val="נושא הערה תו"/>
    <w:basedOn w:val="af1"/>
    <w:link w:val="af2"/>
    <w:uiPriority w:val="99"/>
    <w:semiHidden/>
    <w:rsid w:val="00C05532"/>
    <w:rPr>
      <w:rFonts w:ascii="Times New Roman" w:eastAsia="Times New Roman" w:hAnsi="Times New Roman" w:cs="Times New Roman"/>
      <w:b/>
      <w:bCs/>
      <w:sz w:val="20"/>
      <w:szCs w:val="20"/>
      <w:lang w:eastAsia="he-IL"/>
    </w:rPr>
  </w:style>
  <w:style w:type="paragraph" w:styleId="af4">
    <w:name w:val="Revision"/>
    <w:hidden/>
    <w:uiPriority w:val="99"/>
    <w:semiHidden/>
    <w:rsid w:val="00C05532"/>
    <w:pPr>
      <w:spacing w:after="0" w:line="240" w:lineRule="auto"/>
    </w:pPr>
    <w:rPr>
      <w:rFonts w:ascii="Times New Roman" w:eastAsia="Times New Roman" w:hAnsi="Times New Roman" w:cs="Times New Roman"/>
      <w:lang w:eastAsia="he-IL"/>
    </w:rPr>
  </w:style>
  <w:style w:type="table" w:customStyle="1" w:styleId="11">
    <w:name w:val="טבלת רשת1"/>
    <w:basedOn w:val="a1"/>
    <w:next w:val="a3"/>
    <w:rsid w:val="00900E1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a1"/>
    <w:next w:val="a3"/>
    <w:rsid w:val="00900E1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C06670"/>
    <w:pPr>
      <w:ind w:left="0"/>
      <w:contextualSpacing/>
    </w:pPr>
    <w:rPr>
      <w:sz w:val="18"/>
      <w:szCs w:val="18"/>
    </w:rPr>
  </w:style>
  <w:style w:type="paragraph" w:styleId="NormalWeb">
    <w:name w:val="Normal (Web)"/>
    <w:basedOn w:val="a"/>
    <w:uiPriority w:val="99"/>
    <w:unhideWhenUsed/>
    <w:rsid w:val="00FE6AB9"/>
    <w:pPr>
      <w:bidi w:val="0"/>
      <w:spacing w:before="100" w:beforeAutospacing="1" w:after="100" w:afterAutospacing="1"/>
    </w:pPr>
  </w:style>
  <w:style w:type="paragraph" w:styleId="af6">
    <w:name w:val="caption"/>
    <w:basedOn w:val="a"/>
    <w:next w:val="a"/>
    <w:uiPriority w:val="35"/>
    <w:unhideWhenUsed/>
    <w:qFormat/>
    <w:rsid w:val="001053F5"/>
    <w:pPr>
      <w:keepNext/>
      <w:keepLines/>
      <w:spacing w:before="120" w:after="200" w:line="240" w:lineRule="auto"/>
      <w:ind w:left="284"/>
      <w:contextualSpacing/>
      <w:jc w:val="center"/>
    </w:pPr>
    <w:rPr>
      <w:b/>
      <w:bCs/>
      <w:color w:val="4F81BD" w:themeColor="accent1"/>
    </w:rPr>
  </w:style>
  <w:style w:type="paragraph" w:customStyle="1" w:styleId="Tablenc">
    <w:name w:val="Table_nc"/>
    <w:basedOn w:val="a"/>
    <w:link w:val="TablencChar"/>
    <w:qFormat/>
    <w:rsid w:val="002E23E3"/>
    <w:pPr>
      <w:spacing w:line="240" w:lineRule="auto"/>
      <w:ind w:left="113"/>
    </w:pPr>
    <w:rPr>
      <w:sz w:val="20"/>
      <w:szCs w:val="20"/>
    </w:rPr>
  </w:style>
  <w:style w:type="paragraph" w:styleId="af7">
    <w:name w:val="Body Text"/>
    <w:basedOn w:val="a"/>
    <w:link w:val="af8"/>
    <w:uiPriority w:val="99"/>
    <w:unhideWhenUsed/>
    <w:qFormat/>
    <w:rsid w:val="005F37D2"/>
    <w:pPr>
      <w:spacing w:after="120"/>
      <w:ind w:left="0"/>
    </w:pPr>
    <w:rPr>
      <w:sz w:val="22"/>
      <w:szCs w:val="22"/>
    </w:rPr>
  </w:style>
  <w:style w:type="character" w:customStyle="1" w:styleId="TablencChar">
    <w:name w:val="Table_nc Char"/>
    <w:basedOn w:val="a0"/>
    <w:link w:val="Tablenc"/>
    <w:rsid w:val="002E23E3"/>
    <w:rPr>
      <w:sz w:val="20"/>
      <w:szCs w:val="20"/>
    </w:rPr>
  </w:style>
  <w:style w:type="character" w:customStyle="1" w:styleId="af8">
    <w:name w:val="גוף טקסט תו"/>
    <w:basedOn w:val="a0"/>
    <w:link w:val="af7"/>
    <w:uiPriority w:val="99"/>
    <w:rsid w:val="005F37D2"/>
    <w:rPr>
      <w:sz w:val="22"/>
      <w:szCs w:val="22"/>
    </w:rPr>
  </w:style>
  <w:style w:type="paragraph" w:styleId="af9">
    <w:name w:val="No Spacing"/>
    <w:uiPriority w:val="1"/>
    <w:qFormat/>
    <w:rsid w:val="001053F5"/>
    <w:pPr>
      <w:bidi/>
      <w:spacing w:after="0" w:line="240" w:lineRule="auto"/>
      <w:ind w:left="357"/>
      <w:jc w:val="both"/>
    </w:pPr>
  </w:style>
  <w:style w:type="paragraph" w:styleId="afa">
    <w:name w:val="Subtitle"/>
    <w:basedOn w:val="a"/>
    <w:next w:val="a"/>
    <w:link w:val="afb"/>
    <w:uiPriority w:val="11"/>
    <w:qFormat/>
    <w:rsid w:val="00CF24A7"/>
    <w:pPr>
      <w:numPr>
        <w:ilvl w:val="1"/>
      </w:numPr>
      <w:ind w:left="357"/>
    </w:pPr>
    <w:rPr>
      <w:rFonts w:asciiTheme="majorHAnsi" w:eastAsiaTheme="majorEastAsia" w:hAnsiTheme="majorHAnsi" w:cstheme="majorBidi"/>
      <w:i/>
      <w:iCs/>
      <w:color w:val="4F81BD" w:themeColor="accent1"/>
      <w:spacing w:val="15"/>
    </w:rPr>
  </w:style>
  <w:style w:type="character" w:customStyle="1" w:styleId="afb">
    <w:name w:val="כותרת משנה תו"/>
    <w:basedOn w:val="a0"/>
    <w:link w:val="afa"/>
    <w:uiPriority w:val="11"/>
    <w:rsid w:val="00CF24A7"/>
    <w:rPr>
      <w:rFonts w:asciiTheme="majorHAnsi" w:eastAsiaTheme="majorEastAsia" w:hAnsiTheme="majorHAnsi" w:cstheme="majorBidi"/>
      <w:i/>
      <w:iCs/>
      <w:color w:val="4F81BD" w:themeColor="accent1"/>
      <w:spacing w:val="15"/>
    </w:rPr>
  </w:style>
  <w:style w:type="character" w:styleId="afc">
    <w:name w:val="Intense Emphasis"/>
    <w:basedOn w:val="a0"/>
    <w:uiPriority w:val="21"/>
    <w:qFormat/>
    <w:rsid w:val="00672E8B"/>
    <w:rPr>
      <w:i/>
      <w:iCs/>
      <w:color w:val="4F81BD" w:themeColor="accent1"/>
    </w:rPr>
  </w:style>
  <w:style w:type="character" w:customStyle="1" w:styleId="30">
    <w:name w:val="כותרת 3 תו"/>
    <w:basedOn w:val="a0"/>
    <w:link w:val="3"/>
    <w:uiPriority w:val="9"/>
    <w:rsid w:val="00272DD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3301">
      <w:bodyDiv w:val="1"/>
      <w:marLeft w:val="0"/>
      <w:marRight w:val="0"/>
      <w:marTop w:val="0"/>
      <w:marBottom w:val="0"/>
      <w:divBdr>
        <w:top w:val="none" w:sz="0" w:space="0" w:color="auto"/>
        <w:left w:val="none" w:sz="0" w:space="0" w:color="auto"/>
        <w:bottom w:val="none" w:sz="0" w:space="0" w:color="auto"/>
        <w:right w:val="none" w:sz="0" w:space="0" w:color="auto"/>
      </w:divBdr>
    </w:div>
    <w:div w:id="251396362">
      <w:bodyDiv w:val="1"/>
      <w:marLeft w:val="0"/>
      <w:marRight w:val="0"/>
      <w:marTop w:val="0"/>
      <w:marBottom w:val="0"/>
      <w:divBdr>
        <w:top w:val="none" w:sz="0" w:space="0" w:color="auto"/>
        <w:left w:val="none" w:sz="0" w:space="0" w:color="auto"/>
        <w:bottom w:val="none" w:sz="0" w:space="0" w:color="auto"/>
        <w:right w:val="none" w:sz="0" w:space="0" w:color="auto"/>
      </w:divBdr>
      <w:divsChild>
        <w:div w:id="1871989487">
          <w:marLeft w:val="0"/>
          <w:marRight w:val="590"/>
          <w:marTop w:val="168"/>
          <w:marBottom w:val="0"/>
          <w:divBdr>
            <w:top w:val="none" w:sz="0" w:space="0" w:color="auto"/>
            <w:left w:val="none" w:sz="0" w:space="0" w:color="auto"/>
            <w:bottom w:val="none" w:sz="0" w:space="0" w:color="auto"/>
            <w:right w:val="none" w:sz="0" w:space="0" w:color="auto"/>
          </w:divBdr>
        </w:div>
        <w:div w:id="780958998">
          <w:marLeft w:val="0"/>
          <w:marRight w:val="590"/>
          <w:marTop w:val="168"/>
          <w:marBottom w:val="0"/>
          <w:divBdr>
            <w:top w:val="none" w:sz="0" w:space="0" w:color="auto"/>
            <w:left w:val="none" w:sz="0" w:space="0" w:color="auto"/>
            <w:bottom w:val="none" w:sz="0" w:space="0" w:color="auto"/>
            <w:right w:val="none" w:sz="0" w:space="0" w:color="auto"/>
          </w:divBdr>
        </w:div>
        <w:div w:id="547953373">
          <w:marLeft w:val="0"/>
          <w:marRight w:val="590"/>
          <w:marTop w:val="168"/>
          <w:marBottom w:val="0"/>
          <w:divBdr>
            <w:top w:val="none" w:sz="0" w:space="0" w:color="auto"/>
            <w:left w:val="none" w:sz="0" w:space="0" w:color="auto"/>
            <w:bottom w:val="none" w:sz="0" w:space="0" w:color="auto"/>
            <w:right w:val="none" w:sz="0" w:space="0" w:color="auto"/>
          </w:divBdr>
        </w:div>
      </w:divsChild>
    </w:div>
    <w:div w:id="962268377">
      <w:bodyDiv w:val="1"/>
      <w:marLeft w:val="0"/>
      <w:marRight w:val="0"/>
      <w:marTop w:val="0"/>
      <w:marBottom w:val="0"/>
      <w:divBdr>
        <w:top w:val="none" w:sz="0" w:space="0" w:color="auto"/>
        <w:left w:val="none" w:sz="0" w:space="0" w:color="auto"/>
        <w:bottom w:val="none" w:sz="0" w:space="0" w:color="auto"/>
        <w:right w:val="none" w:sz="0" w:space="0" w:color="auto"/>
      </w:divBdr>
    </w:div>
    <w:div w:id="981890966">
      <w:bodyDiv w:val="1"/>
      <w:marLeft w:val="0"/>
      <w:marRight w:val="0"/>
      <w:marTop w:val="0"/>
      <w:marBottom w:val="0"/>
      <w:divBdr>
        <w:top w:val="none" w:sz="0" w:space="0" w:color="auto"/>
        <w:left w:val="none" w:sz="0" w:space="0" w:color="auto"/>
        <w:bottom w:val="none" w:sz="0" w:space="0" w:color="auto"/>
        <w:right w:val="none" w:sz="0" w:space="0" w:color="auto"/>
      </w:divBdr>
    </w:div>
    <w:div w:id="1000695539">
      <w:bodyDiv w:val="1"/>
      <w:marLeft w:val="0"/>
      <w:marRight w:val="0"/>
      <w:marTop w:val="0"/>
      <w:marBottom w:val="0"/>
      <w:divBdr>
        <w:top w:val="none" w:sz="0" w:space="0" w:color="auto"/>
        <w:left w:val="none" w:sz="0" w:space="0" w:color="auto"/>
        <w:bottom w:val="none" w:sz="0" w:space="0" w:color="auto"/>
        <w:right w:val="none" w:sz="0" w:space="0" w:color="auto"/>
      </w:divBdr>
    </w:div>
    <w:div w:id="1101879005">
      <w:bodyDiv w:val="1"/>
      <w:marLeft w:val="0"/>
      <w:marRight w:val="0"/>
      <w:marTop w:val="0"/>
      <w:marBottom w:val="0"/>
      <w:divBdr>
        <w:top w:val="none" w:sz="0" w:space="0" w:color="auto"/>
        <w:left w:val="none" w:sz="0" w:space="0" w:color="auto"/>
        <w:bottom w:val="none" w:sz="0" w:space="0" w:color="auto"/>
        <w:right w:val="none" w:sz="0" w:space="0" w:color="auto"/>
      </w:divBdr>
    </w:div>
    <w:div w:id="1195188810">
      <w:bodyDiv w:val="1"/>
      <w:marLeft w:val="0"/>
      <w:marRight w:val="0"/>
      <w:marTop w:val="0"/>
      <w:marBottom w:val="0"/>
      <w:divBdr>
        <w:top w:val="none" w:sz="0" w:space="0" w:color="auto"/>
        <w:left w:val="none" w:sz="0" w:space="0" w:color="auto"/>
        <w:bottom w:val="none" w:sz="0" w:space="0" w:color="auto"/>
        <w:right w:val="none" w:sz="0" w:space="0" w:color="auto"/>
      </w:divBdr>
    </w:div>
    <w:div w:id="1197426316">
      <w:bodyDiv w:val="1"/>
      <w:marLeft w:val="0"/>
      <w:marRight w:val="0"/>
      <w:marTop w:val="0"/>
      <w:marBottom w:val="0"/>
      <w:divBdr>
        <w:top w:val="none" w:sz="0" w:space="0" w:color="auto"/>
        <w:left w:val="none" w:sz="0" w:space="0" w:color="auto"/>
        <w:bottom w:val="none" w:sz="0" w:space="0" w:color="auto"/>
        <w:right w:val="none" w:sz="0" w:space="0" w:color="auto"/>
      </w:divBdr>
    </w:div>
    <w:div w:id="1203397703">
      <w:bodyDiv w:val="1"/>
      <w:marLeft w:val="0"/>
      <w:marRight w:val="0"/>
      <w:marTop w:val="0"/>
      <w:marBottom w:val="0"/>
      <w:divBdr>
        <w:top w:val="none" w:sz="0" w:space="0" w:color="auto"/>
        <w:left w:val="none" w:sz="0" w:space="0" w:color="auto"/>
        <w:bottom w:val="none" w:sz="0" w:space="0" w:color="auto"/>
        <w:right w:val="none" w:sz="0" w:space="0" w:color="auto"/>
      </w:divBdr>
    </w:div>
    <w:div w:id="1503856477">
      <w:bodyDiv w:val="1"/>
      <w:marLeft w:val="0"/>
      <w:marRight w:val="0"/>
      <w:marTop w:val="0"/>
      <w:marBottom w:val="0"/>
      <w:divBdr>
        <w:top w:val="none" w:sz="0" w:space="0" w:color="auto"/>
        <w:left w:val="none" w:sz="0" w:space="0" w:color="auto"/>
        <w:bottom w:val="none" w:sz="0" w:space="0" w:color="auto"/>
        <w:right w:val="none" w:sz="0" w:space="0" w:color="auto"/>
      </w:divBdr>
    </w:div>
    <w:div w:id="1530148455">
      <w:bodyDiv w:val="1"/>
      <w:marLeft w:val="0"/>
      <w:marRight w:val="0"/>
      <w:marTop w:val="0"/>
      <w:marBottom w:val="0"/>
      <w:divBdr>
        <w:top w:val="none" w:sz="0" w:space="0" w:color="auto"/>
        <w:left w:val="none" w:sz="0" w:space="0" w:color="auto"/>
        <w:bottom w:val="none" w:sz="0" w:space="0" w:color="auto"/>
        <w:right w:val="none" w:sz="0" w:space="0" w:color="auto"/>
      </w:divBdr>
    </w:div>
    <w:div w:id="1588004229">
      <w:bodyDiv w:val="1"/>
      <w:marLeft w:val="0"/>
      <w:marRight w:val="0"/>
      <w:marTop w:val="0"/>
      <w:marBottom w:val="0"/>
      <w:divBdr>
        <w:top w:val="none" w:sz="0" w:space="0" w:color="auto"/>
        <w:left w:val="none" w:sz="0" w:space="0" w:color="auto"/>
        <w:bottom w:val="none" w:sz="0" w:space="0" w:color="auto"/>
        <w:right w:val="none" w:sz="0" w:space="0" w:color="auto"/>
      </w:divBdr>
    </w:div>
    <w:div w:id="20787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5e\Desktop\&#1514;&#1489;&#1504;&#1497;&#1514;%20&#1504;&#1490;&#1497;&#1513;&#1492;%20&#1495;&#1496;&#1497;&#1489;&#1514;%20&#1492;&#1502;&#1495;&#1511;&#1512;%20&#1506;&#1489;&#1512;&#1497;&#1514;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mrod Cohen Publish">
      <a:majorFont>
        <a:latin typeface="David"/>
        <a:ea typeface=""/>
        <a:cs typeface="David"/>
      </a:majorFont>
      <a:minorFont>
        <a:latin typeface="David"/>
        <a:ea typeface=""/>
        <a:cs typeface="Davi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A0C0B-CCBA-4F73-969A-C03340D85EE4}"/>
</file>

<file path=customXml/itemProps2.xml><?xml version="1.0" encoding="utf-8"?>
<ds:datastoreItem xmlns:ds="http://schemas.openxmlformats.org/officeDocument/2006/customXml" ds:itemID="{C5C65CC4-9902-4DBA-93B5-83E3A775CB91}"/>
</file>

<file path=customXml/itemProps3.xml><?xml version="1.0" encoding="utf-8"?>
<ds:datastoreItem xmlns:ds="http://schemas.openxmlformats.org/officeDocument/2006/customXml" ds:itemID="{1B0894B1-187F-4C03-860D-5CAA32A86652}"/>
</file>

<file path=customXml/itemProps4.xml><?xml version="1.0" encoding="utf-8"?>
<ds:datastoreItem xmlns:ds="http://schemas.openxmlformats.org/officeDocument/2006/customXml" ds:itemID="{0463E4BF-05FA-40A5-8739-C79E2214C590}"/>
</file>

<file path=docProps/app.xml><?xml version="1.0" encoding="utf-8"?>
<Properties xmlns="http://schemas.openxmlformats.org/officeDocument/2006/extended-properties" xmlns:vt="http://schemas.openxmlformats.org/officeDocument/2006/docPropsVTypes">
  <Template>תבנית נגישה חטיבת המחקר עברית2.dotx</Template>
  <TotalTime>0</TotalTime>
  <Pages>5</Pages>
  <Words>1261</Words>
  <Characters>6310</Characters>
  <Application>Microsoft Office Word</Application>
  <DocSecurity>4</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ינון גמרסני</dc:creator>
  <cp:lastModifiedBy>מיטל רפאלי</cp:lastModifiedBy>
  <cp:revision>2</cp:revision>
  <cp:lastPrinted>2019-01-01T16:23:00Z</cp:lastPrinted>
  <dcterms:created xsi:type="dcterms:W3CDTF">2019-01-07T12:27:00Z</dcterms:created>
  <dcterms:modified xsi:type="dcterms:W3CDTF">2019-01-07T12:27:00Z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