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5B" w:rsidRPr="006F18D3" w:rsidRDefault="006A415B" w:rsidP="00C2592B">
      <w:pPr>
        <w:pStyle w:val="1"/>
        <w:numPr>
          <w:ilvl w:val="0"/>
          <w:numId w:val="0"/>
        </w:numPr>
        <w:tabs>
          <w:tab w:val="left" w:pos="180"/>
        </w:tabs>
        <w:bidi w:val="0"/>
        <w:spacing w:line="240" w:lineRule="auto"/>
        <w:ind w:right="32"/>
        <w:rPr>
          <w:lang w:eastAsia="en-US"/>
        </w:rPr>
      </w:pPr>
      <w:bookmarkStart w:id="0" w:name="_GoBack"/>
      <w:bookmarkEnd w:id="0"/>
    </w:p>
    <w:p w:rsidR="006A415B" w:rsidRPr="00B6583D" w:rsidRDefault="00A40585" w:rsidP="00A541E1">
      <w:pPr>
        <w:pStyle w:val="aa"/>
        <w:bidi w:val="0"/>
        <w:spacing w:line="240" w:lineRule="auto"/>
        <w:jc w:val="right"/>
        <w:rPr>
          <w:rFonts w:ascii="Segoe UI" w:hAnsi="Segoe UI" w:cs="Segoe UI"/>
          <w:sz w:val="22"/>
          <w:szCs w:val="22"/>
        </w:rPr>
      </w:pPr>
      <w:r w:rsidRPr="00B6583D">
        <w:rPr>
          <w:rFonts w:ascii="Segoe UI" w:hAnsi="Segoe UI" w:cs="Segoe UI"/>
          <w:sz w:val="22"/>
          <w:szCs w:val="22"/>
        </w:rPr>
        <w:t>January 5, 2026</w:t>
      </w:r>
    </w:p>
    <w:p w:rsidR="006A415B" w:rsidRPr="00B6583D" w:rsidRDefault="006A415B" w:rsidP="00C2592B">
      <w:pPr>
        <w:jc w:val="center"/>
        <w:rPr>
          <w:rFonts w:ascii="Segoe UI" w:hAnsi="Segoe UI" w:cs="Segoe UI"/>
          <w:b/>
          <w:bCs/>
          <w:sz w:val="22"/>
          <w:szCs w:val="22"/>
          <w:rtl/>
        </w:rPr>
      </w:pPr>
    </w:p>
    <w:p w:rsidR="00B06E18" w:rsidRPr="00B6583D" w:rsidRDefault="00B06E18" w:rsidP="00A541E1">
      <w:pPr>
        <w:jc w:val="center"/>
        <w:rPr>
          <w:rFonts w:ascii="Segoe UI" w:hAnsi="Segoe UI" w:cs="Segoe UI"/>
          <w:b/>
          <w:bCs/>
          <w:sz w:val="22"/>
          <w:szCs w:val="22"/>
          <w:rtl/>
        </w:rPr>
      </w:pPr>
    </w:p>
    <w:p w:rsidR="006A415B" w:rsidRPr="00B6583D" w:rsidRDefault="006A415B" w:rsidP="00A40585">
      <w:pPr>
        <w:jc w:val="center"/>
        <w:rPr>
          <w:rFonts w:ascii="Segoe UI" w:hAnsi="Segoe UI" w:cs="Segoe UI"/>
          <w:b/>
          <w:bCs/>
          <w:sz w:val="22"/>
          <w:szCs w:val="22"/>
        </w:rPr>
      </w:pPr>
      <w:r w:rsidRPr="00B6583D">
        <w:rPr>
          <w:rFonts w:ascii="Segoe UI" w:hAnsi="Segoe UI" w:cs="Segoe UI"/>
          <w:b/>
          <w:bCs/>
          <w:sz w:val="22"/>
          <w:szCs w:val="22"/>
        </w:rPr>
        <w:t xml:space="preserve">The Monetary Committee decides on </w:t>
      </w:r>
      <w:r w:rsidR="00A40585" w:rsidRPr="00B6583D">
        <w:rPr>
          <w:rFonts w:ascii="Segoe UI" w:hAnsi="Segoe UI" w:cs="Segoe UI"/>
          <w:b/>
          <w:bCs/>
          <w:sz w:val="22"/>
          <w:szCs w:val="22"/>
        </w:rPr>
        <w:t>January 5, 2026</w:t>
      </w:r>
      <w:r w:rsidRPr="00B6583D">
        <w:rPr>
          <w:rFonts w:ascii="Segoe UI" w:hAnsi="Segoe UI" w:cs="Segoe UI"/>
          <w:b/>
          <w:bCs/>
          <w:sz w:val="22"/>
          <w:szCs w:val="22"/>
        </w:rPr>
        <w:t xml:space="preserve"> </w:t>
      </w:r>
    </w:p>
    <w:p w:rsidR="006A415B" w:rsidRPr="00B6583D" w:rsidRDefault="00B6583D" w:rsidP="00724B22">
      <w:pPr>
        <w:jc w:val="center"/>
        <w:rPr>
          <w:rFonts w:ascii="Segoe UI" w:hAnsi="Segoe UI" w:cs="Segoe UI"/>
          <w:b/>
          <w:bCs/>
          <w:sz w:val="22"/>
          <w:szCs w:val="22"/>
        </w:rPr>
      </w:pPr>
      <w:r w:rsidRPr="00B6583D">
        <w:rPr>
          <w:rFonts w:ascii="Segoe UI" w:hAnsi="Segoe UI" w:cs="Segoe UI"/>
          <w:b/>
          <w:bCs/>
          <w:sz w:val="22"/>
          <w:szCs w:val="22"/>
        </w:rPr>
        <w:t xml:space="preserve">to lower the interest </w:t>
      </w:r>
      <w:r w:rsidR="00724B22">
        <w:rPr>
          <w:rFonts w:ascii="Segoe UI" w:hAnsi="Segoe UI" w:cs="Segoe UI"/>
          <w:b/>
          <w:bCs/>
          <w:sz w:val="22"/>
          <w:szCs w:val="22"/>
        </w:rPr>
        <w:t>to</w:t>
      </w:r>
      <w:r w:rsidRPr="00B6583D">
        <w:rPr>
          <w:rFonts w:ascii="Segoe UI" w:hAnsi="Segoe UI" w:cs="Segoe UI"/>
          <w:b/>
          <w:bCs/>
          <w:sz w:val="22"/>
          <w:szCs w:val="22"/>
        </w:rPr>
        <w:t xml:space="preserve"> 4 percent.</w:t>
      </w:r>
    </w:p>
    <w:p w:rsidR="000512B0" w:rsidRPr="00B6583D" w:rsidRDefault="000512B0" w:rsidP="00C2592B">
      <w:pPr>
        <w:jc w:val="both"/>
        <w:rPr>
          <w:rFonts w:ascii="Segoe UI" w:hAnsi="Segoe UI" w:cs="Segoe UI"/>
          <w:sz w:val="22"/>
          <w:szCs w:val="22"/>
        </w:rPr>
      </w:pPr>
    </w:p>
    <w:p w:rsidR="00A40585" w:rsidRPr="00B6583D" w:rsidRDefault="00A40585" w:rsidP="00A40585">
      <w:pPr>
        <w:pStyle w:val="NormalWeb"/>
        <w:shd w:val="clear" w:color="auto" w:fill="FFFFFF"/>
        <w:spacing w:before="0" w:beforeAutospacing="0" w:after="0" w:afterAutospacing="0"/>
        <w:jc w:val="both"/>
        <w:rPr>
          <w:rFonts w:ascii="Segoe UI" w:hAnsi="Segoe UI" w:cs="Segoe UI"/>
          <w:b/>
          <w:bCs/>
          <w:color w:val="242424"/>
          <w:sz w:val="22"/>
          <w:szCs w:val="22"/>
        </w:rPr>
      </w:pPr>
    </w:p>
    <w:p w:rsidR="00571C25" w:rsidRPr="00B6583D" w:rsidRDefault="000258A8" w:rsidP="00593E34">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hint="cs"/>
          <w:b/>
          <w:bCs/>
          <w:color w:val="242424"/>
          <w:sz w:val="22"/>
          <w:szCs w:val="22"/>
        </w:rPr>
        <w:t>T</w:t>
      </w:r>
      <w:r w:rsidRPr="00B6583D">
        <w:rPr>
          <w:rFonts w:ascii="Segoe UI" w:hAnsi="Segoe UI" w:cs="Segoe UI"/>
          <w:b/>
          <w:bCs/>
          <w:color w:val="242424"/>
          <w:sz w:val="22"/>
          <w:szCs w:val="22"/>
        </w:rPr>
        <w:t>he</w:t>
      </w:r>
      <w:r w:rsidR="00241C81" w:rsidRPr="00B6583D">
        <w:rPr>
          <w:rFonts w:ascii="Segoe UI" w:hAnsi="Segoe UI" w:cs="Segoe UI"/>
          <w:b/>
          <w:bCs/>
          <w:color w:val="242424"/>
          <w:sz w:val="22"/>
          <w:szCs w:val="22"/>
        </w:rPr>
        <w:t xml:space="preserve"> inflation</w:t>
      </w:r>
      <w:r w:rsidRPr="00B6583D">
        <w:rPr>
          <w:rFonts w:ascii="Segoe UI" w:hAnsi="Segoe UI" w:cs="Segoe UI"/>
          <w:b/>
          <w:bCs/>
          <w:color w:val="242424"/>
          <w:sz w:val="22"/>
          <w:szCs w:val="22"/>
        </w:rPr>
        <w:t xml:space="preserve"> environment</w:t>
      </w:r>
      <w:r w:rsidR="00241C81" w:rsidRPr="00B6583D">
        <w:rPr>
          <w:rFonts w:ascii="Segoe UI" w:hAnsi="Segoe UI" w:cs="Segoe UI"/>
          <w:b/>
          <w:bCs/>
          <w:color w:val="242424"/>
          <w:sz w:val="22"/>
          <w:szCs w:val="22"/>
        </w:rPr>
        <w:t xml:space="preserve"> has moderated</w:t>
      </w:r>
      <w:r w:rsidRPr="00B6583D">
        <w:rPr>
          <w:rFonts w:ascii="Segoe UI" w:hAnsi="Segoe UI" w:cs="Segoe UI"/>
          <w:b/>
          <w:bCs/>
          <w:color w:val="242424"/>
          <w:sz w:val="22"/>
          <w:szCs w:val="22"/>
        </w:rPr>
        <w:t>.  The Consumer Price Index for November declined by 0.5 percent, and annual inflation is</w:t>
      </w:r>
      <w:r w:rsidR="00241C81" w:rsidRPr="00B6583D">
        <w:rPr>
          <w:rFonts w:ascii="Segoe UI" w:hAnsi="Segoe UI" w:cs="Segoe UI"/>
          <w:b/>
          <w:bCs/>
          <w:color w:val="242424"/>
          <w:sz w:val="22"/>
          <w:szCs w:val="22"/>
        </w:rPr>
        <w:t xml:space="preserve"> 2.</w:t>
      </w:r>
      <w:r w:rsidRPr="00B6583D">
        <w:rPr>
          <w:rFonts w:ascii="Segoe UI" w:hAnsi="Segoe UI" w:cs="Segoe UI"/>
          <w:b/>
          <w:bCs/>
          <w:color w:val="242424"/>
          <w:sz w:val="22"/>
          <w:szCs w:val="22"/>
        </w:rPr>
        <w:t>4</w:t>
      </w:r>
      <w:r w:rsidR="00241C81" w:rsidRPr="00B6583D">
        <w:rPr>
          <w:rFonts w:ascii="Segoe UI" w:hAnsi="Segoe UI" w:cs="Segoe UI"/>
          <w:b/>
          <w:bCs/>
          <w:color w:val="242424"/>
          <w:sz w:val="22"/>
          <w:szCs w:val="22"/>
        </w:rPr>
        <w:t xml:space="preserve"> percent</w:t>
      </w:r>
      <w:r w:rsidRPr="00B6583D">
        <w:rPr>
          <w:rFonts w:ascii="Segoe UI" w:hAnsi="Segoe UI" w:cs="Segoe UI"/>
          <w:b/>
          <w:bCs/>
          <w:color w:val="242424"/>
          <w:sz w:val="22"/>
          <w:szCs w:val="22"/>
        </w:rPr>
        <w:t>.</w:t>
      </w:r>
      <w:r w:rsidR="00241C81" w:rsidRPr="00B6583D">
        <w:rPr>
          <w:rFonts w:ascii="Segoe UI" w:hAnsi="Segoe UI" w:cs="Segoe UI"/>
          <w:b/>
          <w:bCs/>
          <w:color w:val="242424"/>
          <w:sz w:val="22"/>
          <w:szCs w:val="22"/>
        </w:rPr>
        <w:t xml:space="preserve"> Forecasters project that there will be </w:t>
      </w:r>
      <w:r w:rsidRPr="00B6583D">
        <w:rPr>
          <w:rFonts w:ascii="Segoe UI" w:hAnsi="Segoe UI" w:cs="Segoe UI"/>
          <w:b/>
          <w:bCs/>
          <w:color w:val="242424"/>
          <w:sz w:val="22"/>
          <w:szCs w:val="22"/>
        </w:rPr>
        <w:t>an</w:t>
      </w:r>
      <w:r w:rsidR="00241C81" w:rsidRPr="00B6583D">
        <w:rPr>
          <w:rFonts w:ascii="Segoe UI" w:hAnsi="Segoe UI" w:cs="Segoe UI"/>
          <w:b/>
          <w:bCs/>
          <w:color w:val="242424"/>
          <w:sz w:val="22"/>
          <w:szCs w:val="22"/>
        </w:rPr>
        <w:t xml:space="preserve"> increase in </w:t>
      </w:r>
      <w:r w:rsidRPr="00B6583D">
        <w:rPr>
          <w:rFonts w:ascii="Segoe UI" w:hAnsi="Segoe UI" w:cs="Segoe UI"/>
          <w:b/>
          <w:bCs/>
          <w:color w:val="242424"/>
          <w:sz w:val="22"/>
          <w:szCs w:val="22"/>
        </w:rPr>
        <w:t xml:space="preserve">annual inflation </w:t>
      </w:r>
      <w:r w:rsidR="00F96C69" w:rsidRPr="00B6583D">
        <w:rPr>
          <w:rFonts w:ascii="Segoe UI" w:hAnsi="Segoe UI" w:cs="Segoe UI"/>
          <w:b/>
          <w:bCs/>
          <w:color w:val="242424"/>
          <w:sz w:val="22"/>
          <w:szCs w:val="22"/>
        </w:rPr>
        <w:t xml:space="preserve">in </w:t>
      </w:r>
      <w:r w:rsidRPr="00B6583D">
        <w:rPr>
          <w:rFonts w:ascii="Segoe UI" w:hAnsi="Segoe UI" w:cs="Segoe UI"/>
          <w:b/>
          <w:bCs/>
          <w:color w:val="242424"/>
          <w:sz w:val="22"/>
          <w:szCs w:val="22"/>
        </w:rPr>
        <w:t>the December CPI</w:t>
      </w:r>
      <w:r w:rsidR="00F96C69" w:rsidRPr="00B6583D">
        <w:rPr>
          <w:rFonts w:ascii="Segoe UI" w:hAnsi="Segoe UI" w:cs="Segoe UI"/>
          <w:b/>
          <w:bCs/>
          <w:color w:val="242424"/>
          <w:sz w:val="22"/>
          <w:szCs w:val="22"/>
        </w:rPr>
        <w:t xml:space="preserve"> </w:t>
      </w:r>
      <w:r w:rsidR="00593E34" w:rsidRPr="00B6583D">
        <w:rPr>
          <w:rFonts w:ascii="Segoe UI" w:hAnsi="Segoe UI" w:cs="Segoe UI"/>
          <w:b/>
          <w:bCs/>
          <w:color w:val="242424"/>
          <w:sz w:val="22"/>
          <w:szCs w:val="22"/>
        </w:rPr>
        <w:t>reading</w:t>
      </w:r>
      <w:r w:rsidR="00241C81" w:rsidRPr="00B6583D">
        <w:rPr>
          <w:rFonts w:ascii="Segoe UI" w:hAnsi="Segoe UI" w:cs="Segoe UI"/>
          <w:b/>
          <w:bCs/>
          <w:color w:val="242424"/>
          <w:sz w:val="22"/>
          <w:szCs w:val="22"/>
        </w:rPr>
        <w:t xml:space="preserve">, and that it will then decline </w:t>
      </w:r>
      <w:r w:rsidRPr="00B6583D">
        <w:rPr>
          <w:rFonts w:ascii="Segoe UI" w:hAnsi="Segoe UI" w:cs="Segoe UI"/>
          <w:b/>
          <w:bCs/>
          <w:color w:val="242424"/>
          <w:sz w:val="22"/>
          <w:szCs w:val="22"/>
        </w:rPr>
        <w:t>to</w:t>
      </w:r>
      <w:r w:rsidR="00241C81" w:rsidRPr="00B6583D">
        <w:rPr>
          <w:rFonts w:ascii="Segoe UI" w:hAnsi="Segoe UI" w:cs="Segoe UI"/>
          <w:b/>
          <w:bCs/>
          <w:color w:val="242424"/>
          <w:sz w:val="22"/>
          <w:szCs w:val="22"/>
        </w:rPr>
        <w:t xml:space="preserve"> around the midpoint of the target range.</w:t>
      </w:r>
    </w:p>
    <w:p w:rsidR="000258A8" w:rsidRPr="00B6583D" w:rsidRDefault="000258A8" w:rsidP="000258A8">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Since the previous interest rate decision, the shekel has strengthened by 3.1 percent against the US dollar, by 1.5 percent against the euro, and by 2.2 percent in terms of the nominal effective exchange rate.</w:t>
      </w:r>
    </w:p>
    <w:p w:rsidR="000258A8" w:rsidRPr="00B6583D" w:rsidRDefault="000258A8" w:rsidP="000258A8">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The labor market remains tight, but the most recent data indicate an easing of the supply restrictions.  This is reflected in an increase in the participation and employment rates, a decline in the absentee rate due to reserve duty, and a decline in the pace of wage increases in the business sector.</w:t>
      </w:r>
    </w:p>
    <w:p w:rsidR="00241C81" w:rsidRPr="00B6583D" w:rsidRDefault="000258A8" w:rsidP="000258A8">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Current indicators of e</w:t>
      </w:r>
      <w:r w:rsidR="00241C81" w:rsidRPr="00B6583D">
        <w:rPr>
          <w:rFonts w:ascii="Segoe UI" w:hAnsi="Segoe UI" w:cs="Segoe UI"/>
          <w:b/>
          <w:bCs/>
          <w:color w:val="242424"/>
          <w:sz w:val="22"/>
          <w:szCs w:val="22"/>
        </w:rPr>
        <w:t xml:space="preserve">conomic activity </w:t>
      </w:r>
      <w:r w:rsidRPr="00B6583D">
        <w:rPr>
          <w:rFonts w:ascii="Segoe UI" w:hAnsi="Segoe UI" w:cs="Segoe UI"/>
          <w:b/>
          <w:bCs/>
          <w:color w:val="242424"/>
          <w:sz w:val="22"/>
          <w:szCs w:val="22"/>
        </w:rPr>
        <w:t>point to continued expansion</w:t>
      </w:r>
      <w:r w:rsidR="00241C81" w:rsidRPr="00B6583D">
        <w:rPr>
          <w:rFonts w:ascii="Segoe UI" w:hAnsi="Segoe UI" w:cs="Segoe UI"/>
          <w:b/>
          <w:bCs/>
          <w:color w:val="242424"/>
          <w:sz w:val="22"/>
          <w:szCs w:val="22"/>
        </w:rPr>
        <w:t xml:space="preserve">.  </w:t>
      </w:r>
      <w:r w:rsidRPr="00B6583D">
        <w:rPr>
          <w:rFonts w:ascii="Segoe UI" w:hAnsi="Segoe UI" w:cs="Segoe UI"/>
          <w:b/>
          <w:bCs/>
          <w:color w:val="242424"/>
          <w:sz w:val="22"/>
          <w:szCs w:val="22"/>
        </w:rPr>
        <w:t>Credit card expenditure figures indicate continued growth in the fourth quarter, and range around the trend line</w:t>
      </w:r>
      <w:r w:rsidR="00241C81" w:rsidRPr="00B6583D">
        <w:rPr>
          <w:rFonts w:ascii="Segoe UI" w:hAnsi="Segoe UI" w:cs="Segoe UI"/>
          <w:b/>
          <w:bCs/>
          <w:color w:val="242424"/>
          <w:sz w:val="22"/>
          <w:szCs w:val="22"/>
        </w:rPr>
        <w:t>.</w:t>
      </w:r>
    </w:p>
    <w:p w:rsidR="00241C81" w:rsidRPr="00B6583D" w:rsidRDefault="000258A8" w:rsidP="000258A8">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 xml:space="preserve">The level of activity in the construction industry is high, and the annual pace of building starts continues to increase. </w:t>
      </w:r>
      <w:r w:rsidR="00241C81" w:rsidRPr="00B6583D">
        <w:rPr>
          <w:rFonts w:ascii="Segoe UI" w:hAnsi="Segoe UI" w:cs="Segoe UI"/>
          <w:b/>
          <w:bCs/>
          <w:color w:val="242424"/>
          <w:sz w:val="22"/>
          <w:szCs w:val="22"/>
        </w:rPr>
        <w:t>Home prices continued to decline in October, and the downward trend in the number of home purchase transactions continues.</w:t>
      </w:r>
    </w:p>
    <w:p w:rsidR="00241C81" w:rsidRPr="00B6583D" w:rsidRDefault="00241C81" w:rsidP="00F96C69">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 xml:space="preserve">The domestic equity indices increased, and </w:t>
      </w:r>
      <w:r w:rsidR="00593E34" w:rsidRPr="00B6583D">
        <w:rPr>
          <w:rFonts w:ascii="Segoe UI" w:hAnsi="Segoe UI" w:cs="Segoe UI"/>
          <w:b/>
          <w:bCs/>
          <w:color w:val="242424"/>
          <w:sz w:val="22"/>
          <w:szCs w:val="22"/>
        </w:rPr>
        <w:t>outperformed</w:t>
      </w:r>
      <w:r w:rsidRPr="00B6583D">
        <w:rPr>
          <w:rFonts w:ascii="Segoe UI" w:hAnsi="Segoe UI" w:cs="Segoe UI"/>
          <w:b/>
          <w:bCs/>
          <w:color w:val="242424"/>
          <w:sz w:val="22"/>
          <w:szCs w:val="22"/>
        </w:rPr>
        <w:t xml:space="preserve"> indices abroad.  Israel’s risk premium, as measured by the CDS spread, </w:t>
      </w:r>
      <w:r w:rsidR="000258A8" w:rsidRPr="00B6583D">
        <w:rPr>
          <w:rFonts w:ascii="Segoe UI" w:hAnsi="Segoe UI" w:cs="Segoe UI"/>
          <w:b/>
          <w:bCs/>
          <w:color w:val="242424"/>
          <w:sz w:val="22"/>
          <w:szCs w:val="22"/>
        </w:rPr>
        <w:t>is near</w:t>
      </w:r>
      <w:r w:rsidRPr="00B6583D">
        <w:rPr>
          <w:rFonts w:ascii="Segoe UI" w:hAnsi="Segoe UI" w:cs="Segoe UI"/>
          <w:b/>
          <w:bCs/>
          <w:color w:val="242424"/>
          <w:sz w:val="22"/>
          <w:szCs w:val="22"/>
        </w:rPr>
        <w:t xml:space="preserve"> its prewar level.  </w:t>
      </w:r>
    </w:p>
    <w:p w:rsidR="001830D1" w:rsidRPr="00B6583D" w:rsidRDefault="001830D1" w:rsidP="001830D1">
      <w:pPr>
        <w:pStyle w:val="NormalWeb"/>
        <w:numPr>
          <w:ilvl w:val="0"/>
          <w:numId w:val="14"/>
        </w:numPr>
        <w:shd w:val="clear" w:color="auto" w:fill="FFFFFF"/>
        <w:spacing w:before="0" w:beforeAutospacing="0" w:after="0" w:afterAutospacing="0"/>
        <w:ind w:left="350" w:hanging="357"/>
        <w:jc w:val="both"/>
        <w:rPr>
          <w:rFonts w:ascii="Segoe UI" w:hAnsi="Segoe UI" w:cs="Segoe UI"/>
          <w:b/>
          <w:bCs/>
          <w:color w:val="242424"/>
          <w:sz w:val="22"/>
          <w:szCs w:val="22"/>
        </w:rPr>
      </w:pPr>
      <w:r w:rsidRPr="00B6583D">
        <w:rPr>
          <w:rFonts w:ascii="Segoe UI" w:hAnsi="Segoe UI" w:cs="Segoe UI"/>
          <w:b/>
          <w:bCs/>
          <w:color w:val="242424"/>
          <w:sz w:val="22"/>
          <w:szCs w:val="22"/>
        </w:rPr>
        <w:t xml:space="preserve"> </w:t>
      </w:r>
      <w:r w:rsidR="000258A8" w:rsidRPr="00B6583D">
        <w:rPr>
          <w:rFonts w:ascii="Segoe UI" w:hAnsi="Segoe UI" w:cs="Segoe UI"/>
          <w:b/>
          <w:bCs/>
          <w:color w:val="242424"/>
          <w:sz w:val="22"/>
          <w:szCs w:val="22"/>
        </w:rPr>
        <w:t xml:space="preserve">According to the Research Department forecast, which </w:t>
      </w:r>
      <w:proofErr w:type="gramStart"/>
      <w:r w:rsidR="000258A8" w:rsidRPr="00B6583D">
        <w:rPr>
          <w:rFonts w:ascii="Segoe UI" w:hAnsi="Segoe UI" w:cs="Segoe UI"/>
          <w:b/>
          <w:bCs/>
          <w:color w:val="242424"/>
          <w:sz w:val="22"/>
          <w:szCs w:val="22"/>
        </w:rPr>
        <w:t>was formulated</w:t>
      </w:r>
      <w:proofErr w:type="gramEnd"/>
      <w:r w:rsidR="000258A8" w:rsidRPr="00B6583D">
        <w:rPr>
          <w:rFonts w:ascii="Segoe UI" w:hAnsi="Segoe UI" w:cs="Segoe UI"/>
          <w:b/>
          <w:bCs/>
          <w:color w:val="242424"/>
          <w:sz w:val="22"/>
          <w:szCs w:val="22"/>
        </w:rPr>
        <w:t xml:space="preserve"> under the assumption that the ceasefire will continue, GDP grew by 2.8 percent in 2025, and is expected to grow by 5.2 percent in 2026 and by 4.3 percent in 2027.  The inflation rate is expected to be 1.7 percent in 2026 and 2 percent in 2027.</w:t>
      </w:r>
    </w:p>
    <w:p w:rsidR="007F458F" w:rsidRPr="00B6583D" w:rsidRDefault="007F458F" w:rsidP="00BD7538">
      <w:pPr>
        <w:ind w:right="-1"/>
        <w:jc w:val="both"/>
        <w:rPr>
          <w:rFonts w:ascii="Segoe UI" w:hAnsi="Segoe UI" w:cs="Segoe UI"/>
          <w:b/>
          <w:bCs/>
          <w:sz w:val="22"/>
          <w:szCs w:val="22"/>
        </w:rPr>
      </w:pPr>
    </w:p>
    <w:p w:rsidR="00514240" w:rsidRPr="00B6583D" w:rsidRDefault="002851F2" w:rsidP="002851F2">
      <w:pPr>
        <w:ind w:right="-1"/>
        <w:jc w:val="both"/>
        <w:rPr>
          <w:rFonts w:ascii="Segoe UI" w:hAnsi="Segoe UI" w:cs="Segoe UI"/>
          <w:b/>
          <w:bCs/>
          <w:sz w:val="22"/>
          <w:szCs w:val="22"/>
        </w:rPr>
      </w:pPr>
      <w:r w:rsidRPr="00B6583D">
        <w:rPr>
          <w:rFonts w:ascii="Segoe UI" w:hAnsi="Segoe UI" w:cs="Segoe UI"/>
          <w:b/>
          <w:bCs/>
          <w:sz w:val="22"/>
          <w:szCs w:val="22"/>
        </w:rPr>
        <w:t xml:space="preserve">The Monetary Committee’s policy is focusing on price stability, support for economic activity, and stability of the markets.  The interest rate path </w:t>
      </w:r>
      <w:r w:rsidR="003E2FB9" w:rsidRPr="00B6583D">
        <w:rPr>
          <w:rFonts w:ascii="Segoe UI" w:hAnsi="Segoe UI" w:cs="Segoe UI"/>
          <w:b/>
          <w:bCs/>
          <w:sz w:val="22"/>
          <w:szCs w:val="22"/>
        </w:rPr>
        <w:t>will be determined in accordance with</w:t>
      </w:r>
      <w:r w:rsidR="00560CDB" w:rsidRPr="00B6583D">
        <w:rPr>
          <w:rFonts w:ascii="Segoe UI" w:hAnsi="Segoe UI" w:cs="Segoe UI"/>
          <w:b/>
          <w:bCs/>
          <w:sz w:val="22"/>
          <w:szCs w:val="22"/>
        </w:rPr>
        <w:t xml:space="preserve"> the </w:t>
      </w:r>
      <w:r w:rsidR="001830D1" w:rsidRPr="00B6583D">
        <w:rPr>
          <w:rFonts w:ascii="Segoe UI" w:hAnsi="Segoe UI" w:cs="Segoe UI"/>
          <w:b/>
          <w:bCs/>
          <w:sz w:val="22"/>
          <w:szCs w:val="22"/>
        </w:rPr>
        <w:t>development</w:t>
      </w:r>
      <w:r w:rsidR="00560CDB" w:rsidRPr="00B6583D">
        <w:rPr>
          <w:rFonts w:ascii="Segoe UI" w:hAnsi="Segoe UI" w:cs="Segoe UI"/>
          <w:b/>
          <w:bCs/>
          <w:sz w:val="22"/>
          <w:szCs w:val="22"/>
        </w:rPr>
        <w:t xml:space="preserve"> of inflation, </w:t>
      </w:r>
      <w:r w:rsidR="008D5EB4" w:rsidRPr="00B6583D">
        <w:rPr>
          <w:rFonts w:ascii="Segoe UI" w:hAnsi="Segoe UI" w:cs="Segoe UI"/>
          <w:b/>
          <w:bCs/>
          <w:sz w:val="22"/>
          <w:szCs w:val="22"/>
        </w:rPr>
        <w:t>economic activity</w:t>
      </w:r>
      <w:r w:rsidR="00560CDB" w:rsidRPr="00B6583D">
        <w:rPr>
          <w:rFonts w:ascii="Segoe UI" w:hAnsi="Segoe UI" w:cs="Segoe UI"/>
          <w:b/>
          <w:bCs/>
          <w:sz w:val="22"/>
          <w:szCs w:val="22"/>
        </w:rPr>
        <w:t xml:space="preserve">, </w:t>
      </w:r>
      <w:r w:rsidRPr="00B6583D">
        <w:rPr>
          <w:rFonts w:ascii="Segoe UI" w:hAnsi="Segoe UI" w:cs="Segoe UI"/>
          <w:b/>
          <w:bCs/>
          <w:sz w:val="22"/>
          <w:szCs w:val="22"/>
        </w:rPr>
        <w:t xml:space="preserve">geopolitical uncertainty, </w:t>
      </w:r>
      <w:r w:rsidR="00560CDB" w:rsidRPr="00B6583D">
        <w:rPr>
          <w:rFonts w:ascii="Segoe UI" w:hAnsi="Segoe UI" w:cs="Segoe UI"/>
          <w:b/>
          <w:bCs/>
          <w:sz w:val="22"/>
          <w:szCs w:val="22"/>
        </w:rPr>
        <w:t xml:space="preserve">and fiscal </w:t>
      </w:r>
      <w:r w:rsidRPr="00B6583D">
        <w:rPr>
          <w:rFonts w:ascii="Segoe UI" w:hAnsi="Segoe UI" w:cs="Segoe UI"/>
          <w:b/>
          <w:bCs/>
          <w:sz w:val="22"/>
          <w:szCs w:val="22"/>
        </w:rPr>
        <w:t>developments</w:t>
      </w:r>
      <w:r w:rsidR="008D5EB4" w:rsidRPr="00B6583D">
        <w:rPr>
          <w:rFonts w:ascii="Segoe UI" w:hAnsi="Segoe UI" w:cs="Segoe UI"/>
          <w:b/>
          <w:bCs/>
          <w:sz w:val="22"/>
          <w:szCs w:val="22"/>
        </w:rPr>
        <w:t>.</w:t>
      </w:r>
    </w:p>
    <w:p w:rsidR="00982234" w:rsidRPr="00B6583D" w:rsidRDefault="00982234" w:rsidP="006075EE">
      <w:pPr>
        <w:ind w:right="265"/>
        <w:jc w:val="both"/>
        <w:rPr>
          <w:rFonts w:ascii="Segoe UI" w:hAnsi="Segoe UI" w:cs="Segoe UI"/>
          <w:b/>
          <w:bCs/>
          <w:sz w:val="22"/>
          <w:szCs w:val="22"/>
        </w:rPr>
      </w:pPr>
    </w:p>
    <w:p w:rsidR="001830D1" w:rsidRPr="00B6583D" w:rsidRDefault="001830D1" w:rsidP="006075EE">
      <w:pPr>
        <w:ind w:right="265"/>
        <w:jc w:val="both"/>
        <w:rPr>
          <w:rFonts w:ascii="Segoe UI" w:hAnsi="Segoe UI" w:cs="Segoe UI"/>
          <w:b/>
          <w:bCs/>
          <w:sz w:val="22"/>
          <w:szCs w:val="22"/>
        </w:rPr>
      </w:pPr>
    </w:p>
    <w:p w:rsidR="00982234" w:rsidRPr="00B6583D" w:rsidRDefault="00982234" w:rsidP="006075EE">
      <w:pPr>
        <w:ind w:right="265"/>
        <w:jc w:val="both"/>
        <w:rPr>
          <w:rFonts w:ascii="Segoe UI" w:hAnsi="Segoe UI" w:cs="Segoe UI"/>
          <w:b/>
          <w:bCs/>
          <w:sz w:val="22"/>
          <w:szCs w:val="22"/>
        </w:rPr>
      </w:pPr>
    </w:p>
    <w:p w:rsidR="007B5771" w:rsidRPr="00B6583D" w:rsidRDefault="007B5771" w:rsidP="006075EE">
      <w:pPr>
        <w:rPr>
          <w:rFonts w:ascii="Segoe UI" w:hAnsi="Segoe UI" w:cs="Segoe UI"/>
          <w:b/>
          <w:bCs/>
          <w:sz w:val="22"/>
          <w:szCs w:val="22"/>
        </w:rPr>
      </w:pPr>
      <w:r w:rsidRPr="00B6583D">
        <w:rPr>
          <w:rFonts w:ascii="Segoe UI" w:hAnsi="Segoe UI" w:cs="Segoe UI"/>
          <w:b/>
          <w:bCs/>
          <w:sz w:val="22"/>
          <w:szCs w:val="22"/>
        </w:rPr>
        <w:t>For the file of figures accompanying this notice, click here.</w:t>
      </w:r>
    </w:p>
    <w:p w:rsidR="002E392D" w:rsidRPr="00B6583D" w:rsidRDefault="002E392D" w:rsidP="006075EE">
      <w:pPr>
        <w:jc w:val="both"/>
        <w:rPr>
          <w:rFonts w:ascii="Segoe UI" w:hAnsi="Segoe UI" w:cs="Segoe UI"/>
          <w:sz w:val="22"/>
          <w:szCs w:val="22"/>
        </w:rPr>
      </w:pPr>
    </w:p>
    <w:p w:rsidR="00A34B91" w:rsidRPr="00B6583D" w:rsidRDefault="00B6583D" w:rsidP="00B6583D">
      <w:pPr>
        <w:tabs>
          <w:tab w:val="left" w:pos="2051"/>
          <w:tab w:val="left" w:pos="6854"/>
        </w:tabs>
        <w:ind w:right="-1"/>
        <w:jc w:val="both"/>
        <w:rPr>
          <w:rFonts w:ascii="Segoe UI" w:hAnsi="Segoe UI" w:cs="Segoe UI"/>
          <w:sz w:val="22"/>
          <w:szCs w:val="22"/>
        </w:rPr>
      </w:pPr>
      <w:r w:rsidRPr="00B6583D">
        <w:rPr>
          <w:rFonts w:ascii="Segoe UI" w:hAnsi="Segoe UI" w:cs="Segoe UI"/>
          <w:sz w:val="22"/>
          <w:szCs w:val="22"/>
        </w:rPr>
        <w:tab/>
      </w:r>
      <w:r w:rsidRPr="00B6583D">
        <w:rPr>
          <w:rFonts w:ascii="Segoe UI" w:hAnsi="Segoe UI" w:cs="Segoe UI"/>
          <w:sz w:val="22"/>
          <w:szCs w:val="22"/>
        </w:rPr>
        <w:tab/>
      </w:r>
    </w:p>
    <w:p w:rsidR="00A40585" w:rsidRPr="00B6583D" w:rsidRDefault="00A40585" w:rsidP="00A40585">
      <w:pPr>
        <w:ind w:right="-1"/>
        <w:jc w:val="both"/>
        <w:rPr>
          <w:rFonts w:ascii="Segoe UI" w:hAnsi="Segoe UI" w:cs="Segoe UI"/>
          <w:sz w:val="22"/>
          <w:szCs w:val="22"/>
        </w:rPr>
      </w:pPr>
      <w:r w:rsidRPr="00B6583D">
        <w:rPr>
          <w:rFonts w:ascii="Segoe UI" w:hAnsi="Segoe UI" w:cs="Segoe UI"/>
          <w:sz w:val="22"/>
          <w:szCs w:val="22"/>
        </w:rPr>
        <w:t>Economic activity continues to expand, with a slight easing of labor supply constraints, and a decline in the inflation environment.  During the reviewed period the shekel continued to strengthen, and Israel’s risk premium is close to its prewar level.</w:t>
      </w:r>
    </w:p>
    <w:p w:rsidR="001830D1" w:rsidRPr="00B6583D" w:rsidRDefault="001830D1" w:rsidP="00D44977">
      <w:pPr>
        <w:ind w:right="-1"/>
        <w:jc w:val="both"/>
        <w:rPr>
          <w:rFonts w:ascii="Segoe UI" w:hAnsi="Segoe UI" w:cs="Segoe UI"/>
          <w:sz w:val="22"/>
          <w:szCs w:val="22"/>
        </w:rPr>
      </w:pPr>
    </w:p>
    <w:p w:rsidR="003555E7" w:rsidRPr="00B6583D" w:rsidRDefault="001830D1" w:rsidP="00F96C69">
      <w:pPr>
        <w:ind w:right="-1"/>
        <w:jc w:val="both"/>
        <w:rPr>
          <w:rFonts w:ascii="Segoe UI" w:hAnsi="Segoe UI" w:cs="Segoe UI"/>
          <w:b/>
          <w:bCs/>
          <w:sz w:val="22"/>
          <w:szCs w:val="22"/>
        </w:rPr>
      </w:pPr>
      <w:r w:rsidRPr="00B6583D">
        <w:rPr>
          <w:rFonts w:ascii="Segoe UI" w:hAnsi="Segoe UI" w:cs="Segoe UI"/>
          <w:sz w:val="22"/>
          <w:szCs w:val="22"/>
        </w:rPr>
        <w:t>The Consumer Price Index</w:t>
      </w:r>
      <w:r w:rsidR="00D44977" w:rsidRPr="00B6583D">
        <w:rPr>
          <w:rFonts w:ascii="Segoe UI" w:hAnsi="Segoe UI" w:cs="Segoe UI"/>
          <w:sz w:val="22"/>
          <w:szCs w:val="22"/>
        </w:rPr>
        <w:t xml:space="preserve"> </w:t>
      </w:r>
      <w:r w:rsidR="00A40585" w:rsidRPr="00B6583D">
        <w:rPr>
          <w:rFonts w:ascii="Segoe UI" w:hAnsi="Segoe UI" w:cs="Segoe UI"/>
          <w:sz w:val="22"/>
          <w:szCs w:val="22"/>
        </w:rPr>
        <w:t>declined</w:t>
      </w:r>
      <w:r w:rsidR="00D44977" w:rsidRPr="00B6583D">
        <w:rPr>
          <w:rFonts w:ascii="Segoe UI" w:hAnsi="Segoe UI" w:cs="Segoe UI"/>
          <w:sz w:val="22"/>
          <w:szCs w:val="22"/>
        </w:rPr>
        <w:t xml:space="preserve"> by 0.</w:t>
      </w:r>
      <w:r w:rsidRPr="00B6583D">
        <w:rPr>
          <w:rFonts w:ascii="Segoe UI" w:hAnsi="Segoe UI" w:cs="Segoe UI"/>
          <w:sz w:val="22"/>
          <w:szCs w:val="22"/>
        </w:rPr>
        <w:t>5</w:t>
      </w:r>
      <w:r w:rsidR="006F21A7" w:rsidRPr="00B6583D">
        <w:rPr>
          <w:rFonts w:ascii="Segoe UI" w:hAnsi="Segoe UI" w:cs="Segoe UI"/>
          <w:sz w:val="22"/>
          <w:szCs w:val="22"/>
        </w:rPr>
        <w:t xml:space="preserve"> percent</w:t>
      </w:r>
      <w:r w:rsidR="00A40585" w:rsidRPr="00B6583D">
        <w:rPr>
          <w:rFonts w:ascii="Segoe UI" w:hAnsi="Segoe UI" w:cs="Segoe UI"/>
          <w:sz w:val="22"/>
          <w:szCs w:val="22"/>
        </w:rPr>
        <w:t xml:space="preserve"> in November, </w:t>
      </w:r>
      <w:r w:rsidRPr="00B6583D">
        <w:rPr>
          <w:rFonts w:ascii="Segoe UI" w:hAnsi="Segoe UI" w:cs="Segoe UI"/>
          <w:sz w:val="22"/>
          <w:szCs w:val="22"/>
        </w:rPr>
        <w:t>resulting in an</w:t>
      </w:r>
      <w:r w:rsidR="000F3CD2" w:rsidRPr="00B6583D">
        <w:rPr>
          <w:rFonts w:ascii="Segoe UI" w:hAnsi="Segoe UI" w:cs="Segoe UI"/>
          <w:sz w:val="22"/>
          <w:szCs w:val="22"/>
        </w:rPr>
        <w:t xml:space="preserve"> annual inflation rate </w:t>
      </w:r>
      <w:r w:rsidRPr="00B6583D">
        <w:rPr>
          <w:rFonts w:ascii="Segoe UI" w:hAnsi="Segoe UI" w:cs="Segoe UI"/>
          <w:sz w:val="22"/>
          <w:szCs w:val="22"/>
        </w:rPr>
        <w:t>of</w:t>
      </w:r>
      <w:r w:rsidR="00E31FBB" w:rsidRPr="00B6583D">
        <w:rPr>
          <w:rFonts w:ascii="Segoe UI" w:hAnsi="Segoe UI" w:cs="Segoe UI"/>
          <w:sz w:val="22"/>
          <w:szCs w:val="22"/>
        </w:rPr>
        <w:t xml:space="preserve"> </w:t>
      </w:r>
      <w:r w:rsidR="006F21A7" w:rsidRPr="00B6583D">
        <w:rPr>
          <w:rFonts w:ascii="Segoe UI" w:hAnsi="Segoe UI" w:cs="Segoe UI"/>
          <w:sz w:val="22"/>
          <w:szCs w:val="22"/>
        </w:rPr>
        <w:t>2.</w:t>
      </w:r>
      <w:r w:rsidR="00A40585" w:rsidRPr="00B6583D">
        <w:rPr>
          <w:rFonts w:ascii="Segoe UI" w:hAnsi="Segoe UI" w:cs="Segoe UI"/>
          <w:sz w:val="22"/>
          <w:szCs w:val="22"/>
        </w:rPr>
        <w:t>4</w:t>
      </w:r>
      <w:r w:rsidR="00E31FBB" w:rsidRPr="00B6583D">
        <w:rPr>
          <w:rFonts w:ascii="Segoe UI" w:hAnsi="Segoe UI" w:cs="Segoe UI"/>
          <w:sz w:val="22"/>
          <w:szCs w:val="22"/>
        </w:rPr>
        <w:t xml:space="preserve"> percent (</w:t>
      </w:r>
      <w:r w:rsidR="00E31FBB" w:rsidRPr="00B6583D">
        <w:rPr>
          <w:rFonts w:ascii="Segoe UI" w:hAnsi="Segoe UI" w:cs="Segoe UI"/>
          <w:b/>
          <w:bCs/>
          <w:sz w:val="22"/>
          <w:szCs w:val="22"/>
        </w:rPr>
        <w:t>Figure 1</w:t>
      </w:r>
      <w:r w:rsidR="00E31FBB" w:rsidRPr="00B6583D">
        <w:rPr>
          <w:rFonts w:ascii="Segoe UI" w:hAnsi="Segoe UI" w:cs="Segoe UI"/>
          <w:sz w:val="22"/>
          <w:szCs w:val="22"/>
        </w:rPr>
        <w:t xml:space="preserve">).  </w:t>
      </w:r>
      <w:r w:rsidR="003978C2" w:rsidRPr="00B6583D">
        <w:rPr>
          <w:rFonts w:ascii="Segoe UI" w:hAnsi="Segoe UI" w:cs="Segoe UI"/>
          <w:sz w:val="22"/>
          <w:szCs w:val="22"/>
        </w:rPr>
        <w:t xml:space="preserve">Net of energy and fruit and vegetables, </w:t>
      </w:r>
      <w:r w:rsidR="00E31FBB" w:rsidRPr="00B6583D">
        <w:rPr>
          <w:rFonts w:ascii="Segoe UI" w:hAnsi="Segoe UI" w:cs="Segoe UI"/>
          <w:sz w:val="22"/>
          <w:szCs w:val="22"/>
        </w:rPr>
        <w:t xml:space="preserve">the annual </w:t>
      </w:r>
      <w:r w:rsidR="003978C2" w:rsidRPr="00B6583D">
        <w:rPr>
          <w:rFonts w:ascii="Segoe UI" w:hAnsi="Segoe UI" w:cs="Segoe UI"/>
          <w:sz w:val="22"/>
          <w:szCs w:val="22"/>
        </w:rPr>
        <w:t xml:space="preserve">inflation </w:t>
      </w:r>
      <w:r w:rsidR="00E31FBB" w:rsidRPr="00B6583D">
        <w:rPr>
          <w:rFonts w:ascii="Segoe UI" w:hAnsi="Segoe UI" w:cs="Segoe UI"/>
          <w:sz w:val="22"/>
          <w:szCs w:val="22"/>
        </w:rPr>
        <w:t xml:space="preserve">rate </w:t>
      </w:r>
      <w:r w:rsidRPr="00B6583D">
        <w:rPr>
          <w:rFonts w:ascii="Segoe UI" w:hAnsi="Segoe UI" w:cs="Segoe UI"/>
          <w:sz w:val="22"/>
          <w:szCs w:val="22"/>
        </w:rPr>
        <w:t>i</w:t>
      </w:r>
      <w:r w:rsidR="00BE5BD6" w:rsidRPr="00B6583D">
        <w:rPr>
          <w:rFonts w:ascii="Segoe UI" w:hAnsi="Segoe UI" w:cs="Segoe UI"/>
          <w:sz w:val="22"/>
          <w:szCs w:val="22"/>
        </w:rPr>
        <w:t>s</w:t>
      </w:r>
      <w:r w:rsidR="00F557EC" w:rsidRPr="00B6583D">
        <w:rPr>
          <w:rFonts w:ascii="Segoe UI" w:hAnsi="Segoe UI" w:cs="Segoe UI"/>
          <w:sz w:val="22"/>
          <w:szCs w:val="22"/>
        </w:rPr>
        <w:t xml:space="preserve"> </w:t>
      </w:r>
      <w:r w:rsidRPr="00B6583D">
        <w:rPr>
          <w:rFonts w:ascii="Segoe UI" w:hAnsi="Segoe UI" w:cs="Segoe UI"/>
          <w:sz w:val="22"/>
          <w:szCs w:val="22"/>
        </w:rPr>
        <w:t>2.</w:t>
      </w:r>
      <w:r w:rsidR="00A40585" w:rsidRPr="00B6583D">
        <w:rPr>
          <w:rFonts w:ascii="Segoe UI" w:hAnsi="Segoe UI" w:cs="Segoe UI"/>
          <w:sz w:val="22"/>
          <w:szCs w:val="22"/>
        </w:rPr>
        <w:t>6</w:t>
      </w:r>
      <w:r w:rsidRPr="00B6583D">
        <w:rPr>
          <w:rFonts w:ascii="Segoe UI" w:hAnsi="Segoe UI" w:cs="Segoe UI"/>
          <w:sz w:val="22"/>
          <w:szCs w:val="22"/>
        </w:rPr>
        <w:t xml:space="preserve"> </w:t>
      </w:r>
      <w:r w:rsidR="003978C2" w:rsidRPr="00B6583D">
        <w:rPr>
          <w:rFonts w:ascii="Segoe UI" w:hAnsi="Segoe UI" w:cs="Segoe UI"/>
          <w:sz w:val="22"/>
          <w:szCs w:val="22"/>
        </w:rPr>
        <w:t>percent</w:t>
      </w:r>
      <w:r w:rsidR="009775A1" w:rsidRPr="00B6583D">
        <w:rPr>
          <w:rFonts w:ascii="Segoe UI" w:hAnsi="Segoe UI" w:cs="Segoe UI"/>
          <w:sz w:val="22"/>
          <w:szCs w:val="22"/>
        </w:rPr>
        <w:t xml:space="preserve"> </w:t>
      </w:r>
      <w:r w:rsidR="003978C2" w:rsidRPr="00B6583D">
        <w:rPr>
          <w:rFonts w:ascii="Segoe UI" w:hAnsi="Segoe UI" w:cs="Segoe UI"/>
          <w:sz w:val="22"/>
          <w:szCs w:val="22"/>
        </w:rPr>
        <w:t>(</w:t>
      </w:r>
      <w:r w:rsidR="003978C2" w:rsidRPr="00B6583D">
        <w:rPr>
          <w:rFonts w:ascii="Segoe UI" w:hAnsi="Segoe UI" w:cs="Segoe UI"/>
          <w:b/>
          <w:bCs/>
          <w:sz w:val="22"/>
          <w:szCs w:val="22"/>
        </w:rPr>
        <w:t>Figure 2</w:t>
      </w:r>
      <w:r w:rsidR="003978C2" w:rsidRPr="00B6583D">
        <w:rPr>
          <w:rFonts w:ascii="Segoe UI" w:hAnsi="Segoe UI" w:cs="Segoe UI"/>
          <w:sz w:val="22"/>
          <w:szCs w:val="22"/>
        </w:rPr>
        <w:t>).</w:t>
      </w:r>
      <w:r w:rsidR="0071424E" w:rsidRPr="00B6583D">
        <w:rPr>
          <w:rFonts w:ascii="Segoe UI" w:hAnsi="Segoe UI" w:cs="Segoe UI"/>
          <w:sz w:val="22"/>
          <w:szCs w:val="22"/>
        </w:rPr>
        <w:t xml:space="preserve"> </w:t>
      </w:r>
      <w:r w:rsidR="000F3CD2" w:rsidRPr="00B6583D">
        <w:rPr>
          <w:rFonts w:ascii="Segoe UI" w:hAnsi="Segoe UI" w:cs="Segoe UI"/>
          <w:sz w:val="22"/>
          <w:szCs w:val="22"/>
        </w:rPr>
        <w:t>The annual inflation rate</w:t>
      </w:r>
      <w:r w:rsidR="00E201C7" w:rsidRPr="00B6583D">
        <w:rPr>
          <w:rFonts w:ascii="Segoe UI" w:hAnsi="Segoe UI" w:cs="Segoe UI"/>
          <w:sz w:val="22"/>
          <w:szCs w:val="22"/>
        </w:rPr>
        <w:t xml:space="preserve"> of</w:t>
      </w:r>
      <w:r w:rsidR="000F3CD2" w:rsidRPr="00B6583D">
        <w:rPr>
          <w:rFonts w:ascii="Segoe UI" w:hAnsi="Segoe UI" w:cs="Segoe UI"/>
          <w:sz w:val="22"/>
          <w:szCs w:val="22"/>
        </w:rPr>
        <w:t xml:space="preserve"> nontradable components</w:t>
      </w:r>
      <w:r w:rsidR="00E201C7" w:rsidRPr="00B6583D">
        <w:rPr>
          <w:rFonts w:ascii="Segoe UI" w:hAnsi="Segoe UI" w:cs="Segoe UI"/>
          <w:sz w:val="22"/>
          <w:szCs w:val="22"/>
        </w:rPr>
        <w:t xml:space="preserve"> </w:t>
      </w:r>
      <w:r w:rsidR="00A40585" w:rsidRPr="00B6583D">
        <w:rPr>
          <w:rFonts w:ascii="Segoe UI" w:hAnsi="Segoe UI" w:cs="Segoe UI"/>
          <w:sz w:val="22"/>
          <w:szCs w:val="22"/>
        </w:rPr>
        <w:t>remained unchanged at</w:t>
      </w:r>
      <w:r w:rsidRPr="00B6583D">
        <w:rPr>
          <w:rFonts w:ascii="Segoe UI" w:hAnsi="Segoe UI" w:cs="Segoe UI"/>
          <w:sz w:val="22"/>
          <w:szCs w:val="22"/>
        </w:rPr>
        <w:t xml:space="preserve"> 3.0</w:t>
      </w:r>
      <w:r w:rsidR="00E201C7" w:rsidRPr="00B6583D">
        <w:rPr>
          <w:rFonts w:ascii="Segoe UI" w:hAnsi="Segoe UI" w:cs="Segoe UI"/>
          <w:sz w:val="22"/>
          <w:szCs w:val="22"/>
        </w:rPr>
        <w:t xml:space="preserve"> percent</w:t>
      </w:r>
      <w:r w:rsidR="006F21A7" w:rsidRPr="00B6583D">
        <w:rPr>
          <w:rFonts w:ascii="Segoe UI" w:hAnsi="Segoe UI" w:cs="Segoe UI"/>
          <w:sz w:val="22"/>
          <w:szCs w:val="22"/>
        </w:rPr>
        <w:t>,</w:t>
      </w:r>
      <w:r w:rsidR="00E201C7" w:rsidRPr="00B6583D">
        <w:rPr>
          <w:rFonts w:ascii="Segoe UI" w:hAnsi="Segoe UI" w:cs="Segoe UI"/>
          <w:sz w:val="22"/>
          <w:szCs w:val="22"/>
        </w:rPr>
        <w:t xml:space="preserve"> </w:t>
      </w:r>
      <w:r w:rsidR="006F21A7" w:rsidRPr="00B6583D">
        <w:rPr>
          <w:rFonts w:ascii="Segoe UI" w:hAnsi="Segoe UI" w:cs="Segoe UI"/>
          <w:sz w:val="22"/>
          <w:szCs w:val="22"/>
        </w:rPr>
        <w:t>and</w:t>
      </w:r>
      <w:r w:rsidR="00E201C7" w:rsidRPr="00B6583D">
        <w:rPr>
          <w:rFonts w:ascii="Segoe UI" w:hAnsi="Segoe UI" w:cs="Segoe UI"/>
          <w:sz w:val="22"/>
          <w:szCs w:val="22"/>
        </w:rPr>
        <w:t xml:space="preserve"> </w:t>
      </w:r>
      <w:r w:rsidR="006F21A7" w:rsidRPr="00B6583D">
        <w:rPr>
          <w:rFonts w:ascii="Segoe UI" w:hAnsi="Segoe UI" w:cs="Segoe UI"/>
          <w:sz w:val="22"/>
          <w:szCs w:val="22"/>
        </w:rPr>
        <w:t>t</w:t>
      </w:r>
      <w:r w:rsidR="00E201C7" w:rsidRPr="00B6583D">
        <w:rPr>
          <w:rFonts w:ascii="Segoe UI" w:hAnsi="Segoe UI" w:cs="Segoe UI"/>
          <w:sz w:val="22"/>
          <w:szCs w:val="22"/>
        </w:rPr>
        <w:t xml:space="preserve">he annual pace of inflation of the tradable components </w:t>
      </w:r>
      <w:r w:rsidR="00A40585" w:rsidRPr="00B6583D">
        <w:rPr>
          <w:rFonts w:ascii="Segoe UI" w:hAnsi="Segoe UI" w:cs="Segoe UI"/>
          <w:sz w:val="22"/>
          <w:szCs w:val="22"/>
        </w:rPr>
        <w:t>declined to</w:t>
      </w:r>
      <w:r w:rsidR="007E55D1" w:rsidRPr="00B6583D">
        <w:rPr>
          <w:rFonts w:ascii="Segoe UI" w:hAnsi="Segoe UI" w:cs="Segoe UI"/>
          <w:sz w:val="22"/>
          <w:szCs w:val="22"/>
        </w:rPr>
        <w:t xml:space="preserve"> </w:t>
      </w:r>
      <w:r w:rsidR="006F21A7" w:rsidRPr="00B6583D">
        <w:rPr>
          <w:rFonts w:ascii="Segoe UI" w:hAnsi="Segoe UI" w:cs="Segoe UI"/>
          <w:sz w:val="22"/>
          <w:szCs w:val="22"/>
        </w:rPr>
        <w:t>1.</w:t>
      </w:r>
      <w:r w:rsidR="00A40585" w:rsidRPr="00B6583D">
        <w:rPr>
          <w:rFonts w:ascii="Segoe UI" w:hAnsi="Segoe UI" w:cs="Segoe UI"/>
          <w:sz w:val="22"/>
          <w:szCs w:val="22"/>
        </w:rPr>
        <w:t>2</w:t>
      </w:r>
      <w:r w:rsidR="007E55D1" w:rsidRPr="00B6583D">
        <w:rPr>
          <w:rFonts w:ascii="Segoe UI" w:hAnsi="Segoe UI" w:cs="Segoe UI"/>
          <w:sz w:val="22"/>
          <w:szCs w:val="22"/>
        </w:rPr>
        <w:t xml:space="preserve"> percent</w:t>
      </w:r>
      <w:r w:rsidR="00651161" w:rsidRPr="00B6583D">
        <w:rPr>
          <w:rFonts w:ascii="Segoe UI" w:hAnsi="Segoe UI" w:cs="Segoe UI"/>
          <w:sz w:val="22"/>
          <w:szCs w:val="22"/>
        </w:rPr>
        <w:t xml:space="preserve"> (</w:t>
      </w:r>
      <w:r w:rsidR="00651161" w:rsidRPr="00B6583D">
        <w:rPr>
          <w:rFonts w:ascii="Segoe UI" w:hAnsi="Segoe UI" w:cs="Segoe UI"/>
          <w:b/>
          <w:bCs/>
          <w:sz w:val="22"/>
          <w:szCs w:val="22"/>
        </w:rPr>
        <w:t>Figure</w:t>
      </w:r>
      <w:r w:rsidR="00332016" w:rsidRPr="00B6583D">
        <w:rPr>
          <w:rFonts w:ascii="Segoe UI" w:hAnsi="Segoe UI" w:cs="Segoe UI"/>
          <w:b/>
          <w:bCs/>
          <w:sz w:val="22"/>
          <w:szCs w:val="22"/>
        </w:rPr>
        <w:t xml:space="preserve"> </w:t>
      </w:r>
      <w:r w:rsidR="00F557EC" w:rsidRPr="00B6583D">
        <w:rPr>
          <w:rFonts w:ascii="Segoe UI" w:hAnsi="Segoe UI" w:cs="Segoe UI"/>
          <w:b/>
          <w:bCs/>
          <w:sz w:val="22"/>
          <w:szCs w:val="22"/>
        </w:rPr>
        <w:t>3</w:t>
      </w:r>
      <w:r w:rsidR="00651161" w:rsidRPr="00B6583D">
        <w:rPr>
          <w:rFonts w:ascii="Segoe UI" w:hAnsi="Segoe UI" w:cs="Segoe UI"/>
          <w:sz w:val="22"/>
          <w:szCs w:val="22"/>
        </w:rPr>
        <w:t>).</w:t>
      </w:r>
      <w:r w:rsidR="00A34B91" w:rsidRPr="00B6583D">
        <w:rPr>
          <w:rFonts w:ascii="Segoe UI" w:hAnsi="Segoe UI" w:cs="Segoe UI"/>
          <w:sz w:val="22"/>
          <w:szCs w:val="22"/>
        </w:rPr>
        <w:t xml:space="preserve"> </w:t>
      </w:r>
      <w:r w:rsidR="00CC1BEA" w:rsidRPr="00B6583D">
        <w:rPr>
          <w:rFonts w:ascii="Segoe UI" w:hAnsi="Segoe UI" w:cs="Segoe UI"/>
          <w:sz w:val="22"/>
          <w:szCs w:val="22"/>
        </w:rPr>
        <w:t>According to forecasters’ projections,</w:t>
      </w:r>
      <w:r w:rsidR="00D44977" w:rsidRPr="00B6583D">
        <w:rPr>
          <w:rFonts w:ascii="Segoe UI" w:hAnsi="Segoe UI" w:cs="Segoe UI"/>
          <w:sz w:val="22"/>
          <w:szCs w:val="22"/>
        </w:rPr>
        <w:t xml:space="preserve"> </w:t>
      </w:r>
      <w:r w:rsidRPr="00B6583D">
        <w:rPr>
          <w:rFonts w:ascii="Segoe UI" w:hAnsi="Segoe UI" w:cs="Segoe UI"/>
          <w:sz w:val="22"/>
          <w:szCs w:val="22"/>
        </w:rPr>
        <w:t xml:space="preserve">there will be </w:t>
      </w:r>
      <w:r w:rsidR="00F96C69" w:rsidRPr="00B6583D">
        <w:rPr>
          <w:rFonts w:ascii="Segoe UI" w:hAnsi="Segoe UI" w:cs="Segoe UI"/>
          <w:sz w:val="22"/>
          <w:szCs w:val="22"/>
        </w:rPr>
        <w:t xml:space="preserve">a </w:t>
      </w:r>
      <w:r w:rsidR="00593E34" w:rsidRPr="00B6583D">
        <w:rPr>
          <w:rFonts w:ascii="Segoe UI" w:hAnsi="Segoe UI" w:cs="Segoe UI"/>
          <w:sz w:val="22"/>
          <w:szCs w:val="22"/>
        </w:rPr>
        <w:t xml:space="preserve">slight </w:t>
      </w:r>
      <w:r w:rsidR="00F96C69" w:rsidRPr="00B6583D">
        <w:rPr>
          <w:rFonts w:ascii="Segoe UI" w:hAnsi="Segoe UI" w:cs="Segoe UI"/>
          <w:sz w:val="22"/>
          <w:szCs w:val="22"/>
        </w:rPr>
        <w:t>temporary increase</w:t>
      </w:r>
      <w:r w:rsidRPr="00B6583D">
        <w:rPr>
          <w:rFonts w:ascii="Segoe UI" w:hAnsi="Segoe UI" w:cs="Segoe UI"/>
          <w:sz w:val="22"/>
          <w:szCs w:val="22"/>
        </w:rPr>
        <w:t xml:space="preserve"> in </w:t>
      </w:r>
      <w:r w:rsidR="00CC1BEA" w:rsidRPr="00B6583D">
        <w:rPr>
          <w:rFonts w:ascii="Segoe UI" w:hAnsi="Segoe UI" w:cs="Segoe UI"/>
          <w:sz w:val="22"/>
          <w:szCs w:val="22"/>
        </w:rPr>
        <w:t>i</w:t>
      </w:r>
      <w:r w:rsidR="00D339E5" w:rsidRPr="00B6583D">
        <w:rPr>
          <w:rFonts w:ascii="Segoe UI" w:hAnsi="Segoe UI" w:cs="Segoe UI"/>
          <w:sz w:val="22"/>
          <w:szCs w:val="22"/>
        </w:rPr>
        <w:t>nflation</w:t>
      </w:r>
      <w:r w:rsidRPr="00B6583D">
        <w:rPr>
          <w:rFonts w:ascii="Segoe UI" w:hAnsi="Segoe UI" w:cs="Segoe UI"/>
          <w:sz w:val="22"/>
          <w:szCs w:val="22"/>
        </w:rPr>
        <w:t xml:space="preserve">, </w:t>
      </w:r>
      <w:r w:rsidR="00CC4061" w:rsidRPr="00B6583D">
        <w:rPr>
          <w:rFonts w:ascii="Segoe UI" w:hAnsi="Segoe UI" w:cs="Segoe UI"/>
          <w:sz w:val="22"/>
          <w:szCs w:val="22"/>
        </w:rPr>
        <w:t>and</w:t>
      </w:r>
      <w:r w:rsidR="006F21A7" w:rsidRPr="00B6583D">
        <w:rPr>
          <w:rFonts w:ascii="Segoe UI" w:hAnsi="Segoe UI" w:cs="Segoe UI"/>
          <w:sz w:val="22"/>
          <w:szCs w:val="22"/>
        </w:rPr>
        <w:t xml:space="preserve"> </w:t>
      </w:r>
      <w:r w:rsidRPr="00B6583D">
        <w:rPr>
          <w:rFonts w:ascii="Segoe UI" w:hAnsi="Segoe UI" w:cs="Segoe UI"/>
          <w:sz w:val="22"/>
          <w:szCs w:val="22"/>
        </w:rPr>
        <w:t xml:space="preserve">it will then decline </w:t>
      </w:r>
      <w:r w:rsidR="00A40585" w:rsidRPr="00B6583D">
        <w:rPr>
          <w:rFonts w:ascii="Segoe UI" w:hAnsi="Segoe UI" w:cs="Segoe UI"/>
          <w:sz w:val="22"/>
          <w:szCs w:val="22"/>
        </w:rPr>
        <w:t>to</w:t>
      </w:r>
      <w:r w:rsidRPr="00B6583D">
        <w:rPr>
          <w:rFonts w:ascii="Segoe UI" w:hAnsi="Segoe UI" w:cs="Segoe UI"/>
          <w:sz w:val="22"/>
          <w:szCs w:val="22"/>
        </w:rPr>
        <w:t xml:space="preserve"> around the midpoint of the target range </w:t>
      </w:r>
      <w:r w:rsidR="00610A83" w:rsidRPr="00B6583D">
        <w:rPr>
          <w:rFonts w:ascii="Segoe UI" w:hAnsi="Segoe UI" w:cs="Segoe UI"/>
          <w:sz w:val="22"/>
          <w:szCs w:val="22"/>
        </w:rPr>
        <w:t>(</w:t>
      </w:r>
      <w:r w:rsidR="00610A83" w:rsidRPr="00B6583D">
        <w:rPr>
          <w:rFonts w:ascii="Segoe UI" w:hAnsi="Segoe UI" w:cs="Segoe UI"/>
          <w:b/>
          <w:bCs/>
          <w:sz w:val="22"/>
          <w:szCs w:val="22"/>
        </w:rPr>
        <w:t>Figure 5</w:t>
      </w:r>
      <w:r w:rsidR="00610A83" w:rsidRPr="00B6583D">
        <w:rPr>
          <w:rFonts w:ascii="Segoe UI" w:hAnsi="Segoe UI" w:cs="Segoe UI"/>
          <w:sz w:val="22"/>
          <w:szCs w:val="22"/>
        </w:rPr>
        <w:t>).</w:t>
      </w:r>
      <w:r w:rsidR="0054460C" w:rsidRPr="00B6583D">
        <w:rPr>
          <w:rFonts w:ascii="Segoe UI" w:hAnsi="Segoe UI" w:cs="Segoe UI"/>
          <w:sz w:val="22"/>
          <w:szCs w:val="22"/>
        </w:rPr>
        <w:t xml:space="preserve"> </w:t>
      </w:r>
      <w:r w:rsidR="00D44977" w:rsidRPr="00B6583D">
        <w:rPr>
          <w:rFonts w:ascii="Segoe UI" w:hAnsi="Segoe UI" w:cs="Segoe UI"/>
          <w:sz w:val="22"/>
          <w:szCs w:val="22"/>
        </w:rPr>
        <w:t>I</w:t>
      </w:r>
      <w:r w:rsidR="00CC1BEA" w:rsidRPr="00B6583D">
        <w:rPr>
          <w:rFonts w:ascii="Segoe UI" w:hAnsi="Segoe UI" w:cs="Segoe UI"/>
          <w:sz w:val="22"/>
          <w:szCs w:val="22"/>
        </w:rPr>
        <w:t xml:space="preserve">nflation expectations for </w:t>
      </w:r>
      <w:r w:rsidR="0007516C" w:rsidRPr="00B6583D">
        <w:rPr>
          <w:rFonts w:ascii="Segoe UI" w:hAnsi="Segoe UI" w:cs="Segoe UI"/>
          <w:sz w:val="22"/>
          <w:szCs w:val="22"/>
        </w:rPr>
        <w:t>one year forward</w:t>
      </w:r>
      <w:r w:rsidR="00CC1BEA" w:rsidRPr="00B6583D">
        <w:rPr>
          <w:rFonts w:ascii="Segoe UI" w:hAnsi="Segoe UI" w:cs="Segoe UI"/>
          <w:sz w:val="22"/>
          <w:szCs w:val="22"/>
        </w:rPr>
        <w:t xml:space="preserve"> </w:t>
      </w:r>
      <w:r w:rsidR="00D44977" w:rsidRPr="00B6583D">
        <w:rPr>
          <w:rFonts w:ascii="Segoe UI" w:hAnsi="Segoe UI" w:cs="Segoe UI"/>
          <w:sz w:val="22"/>
          <w:szCs w:val="22"/>
        </w:rPr>
        <w:t xml:space="preserve">from </w:t>
      </w:r>
      <w:r w:rsidR="003555E7" w:rsidRPr="00B6583D">
        <w:rPr>
          <w:rFonts w:ascii="Segoe UI" w:hAnsi="Segoe UI" w:cs="Segoe UI"/>
          <w:sz w:val="22"/>
          <w:szCs w:val="22"/>
        </w:rPr>
        <w:t xml:space="preserve">the </w:t>
      </w:r>
      <w:r w:rsidR="00D44977" w:rsidRPr="00B6583D">
        <w:rPr>
          <w:rFonts w:ascii="Segoe UI" w:hAnsi="Segoe UI" w:cs="Segoe UI"/>
          <w:sz w:val="22"/>
          <w:szCs w:val="22"/>
        </w:rPr>
        <w:t xml:space="preserve">various sources </w:t>
      </w:r>
      <w:r w:rsidR="0007516C" w:rsidRPr="00B6583D">
        <w:rPr>
          <w:rFonts w:ascii="Segoe UI" w:hAnsi="Segoe UI" w:cs="Segoe UI"/>
          <w:sz w:val="22"/>
          <w:szCs w:val="22"/>
        </w:rPr>
        <w:t>are</w:t>
      </w:r>
      <w:r w:rsidR="00D44977" w:rsidRPr="00B6583D">
        <w:rPr>
          <w:rFonts w:ascii="Segoe UI" w:hAnsi="Segoe UI" w:cs="Segoe UI"/>
          <w:sz w:val="22"/>
          <w:szCs w:val="22"/>
        </w:rPr>
        <w:t xml:space="preserve"> </w:t>
      </w:r>
      <w:r w:rsidR="00A40585" w:rsidRPr="00B6583D">
        <w:rPr>
          <w:rFonts w:ascii="Segoe UI" w:hAnsi="Segoe UI" w:cs="Segoe UI"/>
          <w:sz w:val="22"/>
          <w:szCs w:val="22"/>
        </w:rPr>
        <w:t>slightly below</w:t>
      </w:r>
      <w:r w:rsidR="00D44977" w:rsidRPr="00B6583D">
        <w:rPr>
          <w:rFonts w:ascii="Segoe UI" w:hAnsi="Segoe UI" w:cs="Segoe UI"/>
          <w:sz w:val="22"/>
          <w:szCs w:val="22"/>
        </w:rPr>
        <w:t xml:space="preserve"> the midpoint of</w:t>
      </w:r>
      <w:r w:rsidR="00E31FBB" w:rsidRPr="00B6583D">
        <w:rPr>
          <w:rFonts w:ascii="Segoe UI" w:hAnsi="Segoe UI" w:cs="Segoe UI"/>
          <w:sz w:val="22"/>
          <w:szCs w:val="22"/>
        </w:rPr>
        <w:t xml:space="preserve"> </w:t>
      </w:r>
      <w:r w:rsidR="00CC1BEA" w:rsidRPr="00B6583D">
        <w:rPr>
          <w:rFonts w:ascii="Segoe UI" w:hAnsi="Segoe UI" w:cs="Segoe UI"/>
          <w:sz w:val="22"/>
          <w:szCs w:val="22"/>
        </w:rPr>
        <w:t>the target range (</w:t>
      </w:r>
      <w:r w:rsidR="00CC1BEA" w:rsidRPr="00B6583D">
        <w:rPr>
          <w:rFonts w:ascii="Segoe UI" w:hAnsi="Segoe UI" w:cs="Segoe UI"/>
          <w:b/>
          <w:bCs/>
          <w:sz w:val="22"/>
          <w:szCs w:val="22"/>
        </w:rPr>
        <w:t>Figure 6</w:t>
      </w:r>
      <w:r w:rsidR="00CC1BEA" w:rsidRPr="00B6583D">
        <w:rPr>
          <w:rFonts w:ascii="Segoe UI" w:hAnsi="Segoe UI" w:cs="Segoe UI"/>
          <w:sz w:val="22"/>
          <w:szCs w:val="22"/>
        </w:rPr>
        <w:t xml:space="preserve">).  Expectations for the second year onward </w:t>
      </w:r>
      <w:r w:rsidR="00075EFC" w:rsidRPr="00B6583D">
        <w:rPr>
          <w:rFonts w:ascii="Segoe UI" w:hAnsi="Segoe UI" w:cs="Segoe UI"/>
          <w:sz w:val="22"/>
          <w:szCs w:val="22"/>
        </w:rPr>
        <w:t>remain near the midpoint of the target range</w:t>
      </w:r>
      <w:r w:rsidR="003555E7" w:rsidRPr="00B6583D">
        <w:rPr>
          <w:rFonts w:ascii="Segoe UI" w:hAnsi="Segoe UI" w:cs="Segoe UI"/>
          <w:sz w:val="22"/>
          <w:szCs w:val="22"/>
        </w:rPr>
        <w:t xml:space="preserve"> </w:t>
      </w:r>
      <w:r w:rsidR="00CC1BEA" w:rsidRPr="00B6583D">
        <w:rPr>
          <w:rFonts w:ascii="Segoe UI" w:hAnsi="Segoe UI" w:cs="Segoe UI"/>
          <w:sz w:val="22"/>
          <w:szCs w:val="22"/>
        </w:rPr>
        <w:t>(</w:t>
      </w:r>
      <w:r w:rsidR="00CC1BEA" w:rsidRPr="00B6583D">
        <w:rPr>
          <w:rFonts w:ascii="Segoe UI" w:hAnsi="Segoe UI" w:cs="Segoe UI"/>
          <w:b/>
          <w:bCs/>
          <w:sz w:val="22"/>
          <w:szCs w:val="22"/>
        </w:rPr>
        <w:t>Figure 7</w:t>
      </w:r>
      <w:r w:rsidR="00CC1BEA" w:rsidRPr="00B6583D">
        <w:rPr>
          <w:rFonts w:ascii="Segoe UI" w:hAnsi="Segoe UI" w:cs="Segoe UI"/>
          <w:sz w:val="22"/>
          <w:szCs w:val="22"/>
        </w:rPr>
        <w:t xml:space="preserve">). </w:t>
      </w:r>
      <w:r w:rsidR="00CC1BEA" w:rsidRPr="00B6583D">
        <w:rPr>
          <w:rFonts w:ascii="Segoe UI" w:hAnsi="Segoe UI" w:cs="Segoe UI"/>
          <w:b/>
          <w:bCs/>
          <w:sz w:val="22"/>
          <w:szCs w:val="22"/>
        </w:rPr>
        <w:t xml:space="preserve"> </w:t>
      </w:r>
    </w:p>
    <w:p w:rsidR="003555E7" w:rsidRPr="00B6583D" w:rsidRDefault="003555E7" w:rsidP="003555E7">
      <w:pPr>
        <w:ind w:right="-1"/>
        <w:jc w:val="both"/>
        <w:rPr>
          <w:rFonts w:ascii="Segoe UI" w:hAnsi="Segoe UI" w:cs="Segoe UI"/>
          <w:b/>
          <w:bCs/>
          <w:sz w:val="22"/>
          <w:szCs w:val="22"/>
        </w:rPr>
      </w:pPr>
    </w:p>
    <w:p w:rsidR="0054460C" w:rsidRPr="00B6583D" w:rsidRDefault="00583992" w:rsidP="001830D1">
      <w:pPr>
        <w:ind w:right="-1"/>
        <w:jc w:val="both"/>
        <w:rPr>
          <w:rFonts w:ascii="Segoe UI" w:hAnsi="Segoe UI" w:cs="Segoe UI"/>
          <w:sz w:val="22"/>
          <w:szCs w:val="22"/>
        </w:rPr>
      </w:pPr>
      <w:r w:rsidRPr="00B6583D">
        <w:rPr>
          <w:rFonts w:ascii="Segoe UI" w:hAnsi="Segoe UI" w:cs="Segoe UI"/>
          <w:sz w:val="22"/>
          <w:szCs w:val="22"/>
        </w:rPr>
        <w:t>In t</w:t>
      </w:r>
      <w:r w:rsidR="0054460C" w:rsidRPr="00B6583D">
        <w:rPr>
          <w:rFonts w:ascii="Segoe UI" w:hAnsi="Segoe UI" w:cs="Segoe UI"/>
          <w:sz w:val="22"/>
          <w:szCs w:val="22"/>
        </w:rPr>
        <w:t>he Committee</w:t>
      </w:r>
      <w:r w:rsidRPr="00B6583D">
        <w:rPr>
          <w:rFonts w:ascii="Segoe UI" w:hAnsi="Segoe UI" w:cs="Segoe UI"/>
          <w:sz w:val="22"/>
          <w:szCs w:val="22"/>
        </w:rPr>
        <w:t>’s</w:t>
      </w:r>
      <w:r w:rsidR="0054460C" w:rsidRPr="00B6583D">
        <w:rPr>
          <w:rFonts w:ascii="Segoe UI" w:hAnsi="Segoe UI" w:cs="Segoe UI"/>
          <w:sz w:val="22"/>
          <w:szCs w:val="22"/>
        </w:rPr>
        <w:t xml:space="preserve"> assess</w:t>
      </w:r>
      <w:r w:rsidRPr="00B6583D">
        <w:rPr>
          <w:rFonts w:ascii="Segoe UI" w:hAnsi="Segoe UI" w:cs="Segoe UI"/>
          <w:sz w:val="22"/>
          <w:szCs w:val="22"/>
        </w:rPr>
        <w:t>ment,</w:t>
      </w:r>
      <w:r w:rsidR="0054460C" w:rsidRPr="00B6583D">
        <w:rPr>
          <w:rFonts w:ascii="Segoe UI" w:hAnsi="Segoe UI" w:cs="Segoe UI"/>
          <w:sz w:val="22"/>
          <w:szCs w:val="22"/>
        </w:rPr>
        <w:t xml:space="preserve"> there are several risks </w:t>
      </w:r>
      <w:r w:rsidR="006F21A7" w:rsidRPr="00B6583D">
        <w:rPr>
          <w:rFonts w:ascii="Segoe UI" w:hAnsi="Segoe UI" w:cs="Segoe UI"/>
          <w:sz w:val="22"/>
          <w:szCs w:val="22"/>
        </w:rPr>
        <w:t>of</w:t>
      </w:r>
      <w:r w:rsidR="0054460C" w:rsidRPr="00B6583D">
        <w:rPr>
          <w:rFonts w:ascii="Segoe UI" w:hAnsi="Segoe UI" w:cs="Segoe UI"/>
          <w:sz w:val="22"/>
          <w:szCs w:val="22"/>
        </w:rPr>
        <w:t xml:space="preserve"> </w:t>
      </w:r>
      <w:r w:rsidR="001830D1" w:rsidRPr="00B6583D">
        <w:rPr>
          <w:rFonts w:ascii="Segoe UI" w:hAnsi="Segoe UI" w:cs="Segoe UI"/>
          <w:sz w:val="22"/>
          <w:szCs w:val="22"/>
        </w:rPr>
        <w:t>renewed</w:t>
      </w:r>
      <w:r w:rsidR="0054460C" w:rsidRPr="00B6583D">
        <w:rPr>
          <w:rFonts w:ascii="Segoe UI" w:hAnsi="Segoe UI" w:cs="Segoe UI"/>
          <w:sz w:val="22"/>
          <w:szCs w:val="22"/>
        </w:rPr>
        <w:t xml:space="preserve"> acceleration </w:t>
      </w:r>
      <w:r w:rsidRPr="00B6583D">
        <w:rPr>
          <w:rFonts w:ascii="Segoe UI" w:hAnsi="Segoe UI" w:cs="Segoe UI"/>
          <w:sz w:val="22"/>
          <w:szCs w:val="22"/>
        </w:rPr>
        <w:t>of</w:t>
      </w:r>
      <w:r w:rsidR="0054460C" w:rsidRPr="00B6583D">
        <w:rPr>
          <w:rFonts w:ascii="Segoe UI" w:hAnsi="Segoe UI" w:cs="Segoe UI"/>
          <w:sz w:val="22"/>
          <w:szCs w:val="22"/>
        </w:rPr>
        <w:t xml:space="preserve"> inflation: geopolitical developments and their impact on economic activity, </w:t>
      </w:r>
      <w:r w:rsidR="000F3CD2" w:rsidRPr="00B6583D">
        <w:rPr>
          <w:rFonts w:ascii="Segoe UI" w:hAnsi="Segoe UI" w:cs="Segoe UI"/>
          <w:sz w:val="22"/>
          <w:szCs w:val="22"/>
        </w:rPr>
        <w:t xml:space="preserve">an increase in demand alongside </w:t>
      </w:r>
      <w:r w:rsidR="0054460C" w:rsidRPr="00B6583D">
        <w:rPr>
          <w:rFonts w:ascii="Segoe UI" w:hAnsi="Segoe UI" w:cs="Segoe UI"/>
          <w:sz w:val="22"/>
          <w:szCs w:val="22"/>
        </w:rPr>
        <w:t xml:space="preserve">supply </w:t>
      </w:r>
      <w:r w:rsidR="004907D8" w:rsidRPr="00B6583D">
        <w:rPr>
          <w:rFonts w:ascii="Segoe UI" w:hAnsi="Segoe UI" w:cs="Segoe UI"/>
          <w:sz w:val="22"/>
          <w:szCs w:val="22"/>
        </w:rPr>
        <w:t>constraints</w:t>
      </w:r>
      <w:r w:rsidR="0054460C" w:rsidRPr="00B6583D">
        <w:rPr>
          <w:rFonts w:ascii="Segoe UI" w:hAnsi="Segoe UI" w:cs="Segoe UI"/>
          <w:sz w:val="22"/>
          <w:szCs w:val="22"/>
        </w:rPr>
        <w:t>,</w:t>
      </w:r>
      <w:r w:rsidR="00EC0B87" w:rsidRPr="00B6583D">
        <w:rPr>
          <w:rFonts w:ascii="Segoe UI" w:hAnsi="Segoe UI" w:cs="Segoe UI"/>
          <w:sz w:val="22"/>
          <w:szCs w:val="22"/>
        </w:rPr>
        <w:t xml:space="preserve"> </w:t>
      </w:r>
      <w:r w:rsidR="001830D1" w:rsidRPr="00B6583D">
        <w:rPr>
          <w:rFonts w:ascii="Segoe UI" w:hAnsi="Segoe UI" w:cs="Segoe UI"/>
          <w:sz w:val="22"/>
          <w:szCs w:val="22"/>
        </w:rPr>
        <w:t xml:space="preserve">and </w:t>
      </w:r>
      <w:r w:rsidR="009235C3" w:rsidRPr="00B6583D">
        <w:rPr>
          <w:rFonts w:ascii="Segoe UI" w:hAnsi="Segoe UI" w:cs="Segoe UI"/>
          <w:sz w:val="22"/>
          <w:szCs w:val="22"/>
        </w:rPr>
        <w:t>fiscal developments</w:t>
      </w:r>
      <w:r w:rsidR="0054460C" w:rsidRPr="00B6583D">
        <w:rPr>
          <w:rFonts w:ascii="Segoe UI" w:hAnsi="Segoe UI" w:cs="Segoe UI"/>
          <w:sz w:val="22"/>
          <w:szCs w:val="22"/>
        </w:rPr>
        <w:t>.</w:t>
      </w:r>
    </w:p>
    <w:p w:rsidR="00CC1BEA" w:rsidRPr="00B6583D" w:rsidRDefault="00CC1BEA" w:rsidP="00BD7538">
      <w:pPr>
        <w:pStyle w:val="ac"/>
        <w:bidi w:val="0"/>
        <w:spacing w:line="240" w:lineRule="auto"/>
        <w:ind w:left="0" w:right="-1"/>
        <w:rPr>
          <w:rFonts w:ascii="Segoe UI" w:hAnsi="Segoe UI" w:cs="Segoe UI"/>
          <w:sz w:val="22"/>
          <w:szCs w:val="22"/>
        </w:rPr>
      </w:pPr>
    </w:p>
    <w:p w:rsidR="00CC1BEA" w:rsidRPr="00B6583D" w:rsidRDefault="009235C3" w:rsidP="000258A8">
      <w:pPr>
        <w:pStyle w:val="ac"/>
        <w:bidi w:val="0"/>
        <w:spacing w:line="240" w:lineRule="auto"/>
        <w:ind w:left="0"/>
        <w:rPr>
          <w:rFonts w:ascii="Segoe UI" w:hAnsi="Segoe UI" w:cs="Segoe UI"/>
          <w:color w:val="242424"/>
          <w:sz w:val="22"/>
          <w:szCs w:val="22"/>
        </w:rPr>
      </w:pPr>
      <w:r w:rsidRPr="00B6583D">
        <w:rPr>
          <w:rFonts w:ascii="Segoe UI" w:hAnsi="Segoe UI" w:cs="Segoe UI"/>
          <w:color w:val="242424"/>
          <w:sz w:val="22"/>
          <w:szCs w:val="22"/>
        </w:rPr>
        <w:t xml:space="preserve">Since the previous interest rate decision, the shekel has </w:t>
      </w:r>
      <w:r w:rsidR="000258A8" w:rsidRPr="00B6583D">
        <w:rPr>
          <w:rFonts w:ascii="Segoe UI" w:hAnsi="Segoe UI" w:cs="Segoe UI"/>
          <w:color w:val="242424"/>
          <w:sz w:val="22"/>
          <w:szCs w:val="22"/>
        </w:rPr>
        <w:t>strengthened</w:t>
      </w:r>
      <w:r w:rsidRPr="00B6583D">
        <w:rPr>
          <w:rFonts w:ascii="Segoe UI" w:hAnsi="Segoe UI" w:cs="Segoe UI"/>
          <w:color w:val="242424"/>
          <w:sz w:val="22"/>
          <w:szCs w:val="22"/>
        </w:rPr>
        <w:t xml:space="preserve"> by </w:t>
      </w:r>
      <w:r w:rsidR="00A40585" w:rsidRPr="00B6583D">
        <w:rPr>
          <w:rFonts w:ascii="Segoe UI" w:hAnsi="Segoe UI" w:cs="Segoe UI"/>
          <w:color w:val="242424"/>
          <w:sz w:val="22"/>
          <w:szCs w:val="22"/>
        </w:rPr>
        <w:t>3.1</w:t>
      </w:r>
      <w:r w:rsidRPr="00B6583D">
        <w:rPr>
          <w:rFonts w:ascii="Segoe UI" w:hAnsi="Segoe UI" w:cs="Segoe UI"/>
          <w:color w:val="242424"/>
          <w:sz w:val="22"/>
          <w:szCs w:val="22"/>
        </w:rPr>
        <w:t xml:space="preserve"> percent against the US dollar</w:t>
      </w:r>
      <w:r w:rsidR="000258A8" w:rsidRPr="00B6583D">
        <w:rPr>
          <w:rFonts w:ascii="Segoe UI" w:hAnsi="Segoe UI" w:cs="Segoe UI"/>
          <w:color w:val="242424"/>
          <w:sz w:val="22"/>
          <w:szCs w:val="22"/>
        </w:rPr>
        <w:t xml:space="preserve">, </w:t>
      </w:r>
      <w:r w:rsidRPr="00B6583D">
        <w:rPr>
          <w:rFonts w:ascii="Segoe UI" w:hAnsi="Segoe UI" w:cs="Segoe UI"/>
          <w:color w:val="242424"/>
          <w:sz w:val="22"/>
          <w:szCs w:val="22"/>
        </w:rPr>
        <w:t xml:space="preserve">by </w:t>
      </w:r>
      <w:r w:rsidR="00A40585" w:rsidRPr="00B6583D">
        <w:rPr>
          <w:rFonts w:ascii="Segoe UI" w:hAnsi="Segoe UI" w:cs="Segoe UI"/>
          <w:color w:val="242424"/>
          <w:sz w:val="22"/>
          <w:szCs w:val="22"/>
        </w:rPr>
        <w:t>1.5</w:t>
      </w:r>
      <w:r w:rsidRPr="00B6583D">
        <w:rPr>
          <w:rFonts w:ascii="Segoe UI" w:hAnsi="Segoe UI" w:cs="Segoe UI"/>
          <w:color w:val="242424"/>
          <w:sz w:val="22"/>
          <w:szCs w:val="22"/>
        </w:rPr>
        <w:t xml:space="preserve"> percent against the euro, and by </w:t>
      </w:r>
      <w:r w:rsidR="001830D1" w:rsidRPr="00B6583D">
        <w:rPr>
          <w:rFonts w:ascii="Segoe UI" w:hAnsi="Segoe UI" w:cs="Segoe UI"/>
          <w:color w:val="242424"/>
          <w:sz w:val="22"/>
          <w:szCs w:val="22"/>
        </w:rPr>
        <w:t>2</w:t>
      </w:r>
      <w:r w:rsidRPr="00B6583D">
        <w:rPr>
          <w:rFonts w:ascii="Segoe UI" w:hAnsi="Segoe UI" w:cs="Segoe UI"/>
          <w:color w:val="242424"/>
          <w:sz w:val="22"/>
          <w:szCs w:val="22"/>
        </w:rPr>
        <w:t>.2 percent in terms of the nominal effective exchange rate.</w:t>
      </w:r>
      <w:r w:rsidR="000258A8" w:rsidRPr="00B6583D">
        <w:rPr>
          <w:rFonts w:ascii="Segoe UI" w:hAnsi="Segoe UI" w:cs="Segoe UI"/>
          <w:color w:val="242424"/>
          <w:sz w:val="22"/>
          <w:szCs w:val="22"/>
        </w:rPr>
        <w:t xml:space="preserve">  During 2025, the shekel strengthened by 12.5 percent against the US dollar and by 1.3 percent against the euro.</w:t>
      </w:r>
    </w:p>
    <w:p w:rsidR="00A40585" w:rsidRPr="00B6583D" w:rsidRDefault="00A40585" w:rsidP="00A40585">
      <w:pPr>
        <w:pStyle w:val="ac"/>
        <w:bidi w:val="0"/>
        <w:spacing w:line="240" w:lineRule="auto"/>
        <w:ind w:left="0"/>
        <w:rPr>
          <w:rFonts w:ascii="Segoe UI" w:hAnsi="Segoe UI" w:cs="Segoe UI"/>
          <w:color w:val="242424"/>
          <w:sz w:val="22"/>
          <w:szCs w:val="22"/>
        </w:rPr>
      </w:pPr>
    </w:p>
    <w:p w:rsidR="00A40585" w:rsidRPr="00B6583D" w:rsidRDefault="00A40585" w:rsidP="00B6583D">
      <w:pPr>
        <w:pStyle w:val="ac"/>
        <w:bidi w:val="0"/>
        <w:spacing w:line="240" w:lineRule="auto"/>
        <w:ind w:left="0"/>
        <w:rPr>
          <w:rFonts w:ascii="Segoe UI" w:hAnsi="Segoe UI" w:cs="Segoe UI"/>
          <w:color w:val="242424"/>
          <w:sz w:val="22"/>
          <w:szCs w:val="22"/>
        </w:rPr>
      </w:pPr>
      <w:r w:rsidRPr="00B6583D">
        <w:rPr>
          <w:rFonts w:ascii="Segoe UI" w:hAnsi="Segoe UI" w:cs="Segoe UI"/>
          <w:color w:val="242424"/>
          <w:sz w:val="22"/>
          <w:szCs w:val="22"/>
        </w:rPr>
        <w:t xml:space="preserve">The Bank of Israel Research Department revised its macroeconomic forecast.  The forecast was formulated under the assumption that the ceasefire will be maintained and that the volume of reserve military service will continue to decline. In the </w:t>
      </w:r>
      <w:r w:rsidR="00AC4FFB" w:rsidRPr="00B6583D">
        <w:rPr>
          <w:rFonts w:ascii="Segoe UI" w:hAnsi="Segoe UI" w:cs="Segoe UI"/>
          <w:color w:val="242424"/>
          <w:sz w:val="22"/>
          <w:szCs w:val="22"/>
        </w:rPr>
        <w:t xml:space="preserve">Department’s assessment, supply constraints will dissipate gradually during the forecast period, with a measured increase in domestic demand, such that </w:t>
      </w:r>
      <w:r w:rsidR="00670178" w:rsidRPr="00B6583D">
        <w:rPr>
          <w:rFonts w:ascii="Segoe UI" w:hAnsi="Segoe UI" w:cs="Segoe UI"/>
          <w:color w:val="242424"/>
          <w:sz w:val="22"/>
          <w:szCs w:val="22"/>
        </w:rPr>
        <w:t xml:space="preserve">in balance </w:t>
      </w:r>
      <w:r w:rsidR="00AC4FFB" w:rsidRPr="00B6583D">
        <w:rPr>
          <w:rFonts w:ascii="Segoe UI" w:hAnsi="Segoe UI" w:cs="Segoe UI"/>
          <w:color w:val="242424"/>
          <w:sz w:val="22"/>
          <w:szCs w:val="22"/>
        </w:rPr>
        <w:t>excess demand will moderate.  According to the Department’s assessment, GDP grew by 2.8 percent in 2025, and according to this scenario, GDP is expected to grow by 5.2 percent in 2026 and by 4.3 percent in 2027 (</w:t>
      </w:r>
      <w:r w:rsidR="00AC4FFB" w:rsidRPr="00B6583D">
        <w:rPr>
          <w:rFonts w:ascii="Segoe UI" w:hAnsi="Segoe UI" w:cs="Segoe UI"/>
          <w:b/>
          <w:bCs/>
          <w:color w:val="242424"/>
          <w:sz w:val="22"/>
          <w:szCs w:val="22"/>
        </w:rPr>
        <w:t xml:space="preserve">Figure </w:t>
      </w:r>
      <w:r w:rsidR="00B6583D" w:rsidRPr="00B6583D">
        <w:rPr>
          <w:rFonts w:ascii="Segoe UI" w:hAnsi="Segoe UI" w:cs="Segoe UI"/>
          <w:b/>
          <w:bCs/>
          <w:color w:val="242424"/>
          <w:sz w:val="22"/>
          <w:szCs w:val="22"/>
        </w:rPr>
        <w:t>10</w:t>
      </w:r>
      <w:r w:rsidR="00AC4FFB" w:rsidRPr="00B6583D">
        <w:rPr>
          <w:rFonts w:ascii="Segoe UI" w:hAnsi="Segoe UI" w:cs="Segoe UI"/>
          <w:color w:val="242424"/>
          <w:sz w:val="22"/>
          <w:szCs w:val="22"/>
        </w:rPr>
        <w:t>).</w:t>
      </w:r>
    </w:p>
    <w:p w:rsidR="009235C3" w:rsidRPr="00B6583D" w:rsidRDefault="009235C3" w:rsidP="009235C3">
      <w:pPr>
        <w:pStyle w:val="ac"/>
        <w:bidi w:val="0"/>
        <w:spacing w:line="240" w:lineRule="auto"/>
        <w:ind w:left="0"/>
        <w:rPr>
          <w:rFonts w:ascii="Segoe UI" w:hAnsi="Segoe UI" w:cs="Segoe UI"/>
          <w:sz w:val="22"/>
          <w:szCs w:val="22"/>
        </w:rPr>
      </w:pPr>
    </w:p>
    <w:p w:rsidR="00AC4FFB" w:rsidRPr="00B6583D" w:rsidRDefault="00AC4FFB" w:rsidP="00AC4FFB">
      <w:pPr>
        <w:pStyle w:val="ac"/>
        <w:bidi w:val="0"/>
        <w:spacing w:line="240" w:lineRule="auto"/>
        <w:ind w:left="0"/>
        <w:rPr>
          <w:rFonts w:ascii="Segoe UI" w:hAnsi="Segoe UI" w:cs="Segoe UI"/>
          <w:sz w:val="22"/>
          <w:szCs w:val="22"/>
          <w:rtl/>
        </w:rPr>
      </w:pPr>
      <w:r w:rsidRPr="00B6583D">
        <w:rPr>
          <w:rFonts w:ascii="Segoe UI" w:hAnsi="Segoe UI" w:cs="Segoe UI"/>
          <w:sz w:val="22"/>
          <w:szCs w:val="22"/>
        </w:rPr>
        <w:t>The broad unemployment rate among the prime working ages (25</w:t>
      </w:r>
      <w:r w:rsidRPr="00B6583D">
        <w:rPr>
          <w:rFonts w:ascii="Segoe UI" w:hAnsi="Segoe UI" w:cs="Segoe UI"/>
          <w:sz w:val="22"/>
          <w:szCs w:val="22"/>
        </w:rPr>
        <w:softHyphen/>
        <w:t>–64) is expected to average 3.3 percent in 2026 and 3.5 percent in 2027.  The inflation rate during 2025 is expected to be 2.5 percent, compared with 3 percent in the September forecast, and it is expected to be 1.7 percent in 2026 and 2 percent in 2027.  The estimate of the budget deficit in 2025 is 4.8 percent of GDP, and the deficit is expected to be 3.9 percent of GDP in 2026.  Public debt is expected to be about 68.5 percent of GDP in each of 2025, 2026, and 2027.  Despite the fact that this forecast is characterized by a lower level of uncertainty due to the ceasefire, the risks to the forecast remain significant.</w:t>
      </w:r>
    </w:p>
    <w:p w:rsidR="00AC4FFB" w:rsidRPr="00B6583D" w:rsidRDefault="00AC4FFB" w:rsidP="00AC4FFB">
      <w:pPr>
        <w:pStyle w:val="ac"/>
        <w:bidi w:val="0"/>
        <w:spacing w:line="240" w:lineRule="auto"/>
        <w:ind w:left="0"/>
        <w:rPr>
          <w:rFonts w:ascii="Segoe UI" w:hAnsi="Segoe UI" w:cs="Segoe UI"/>
          <w:sz w:val="22"/>
          <w:szCs w:val="22"/>
          <w:rtl/>
        </w:rPr>
      </w:pPr>
    </w:p>
    <w:p w:rsidR="0046525C" w:rsidRPr="00B6583D" w:rsidRDefault="00C1765B" w:rsidP="00B6583D">
      <w:pPr>
        <w:jc w:val="both"/>
        <w:rPr>
          <w:rFonts w:ascii="Segoe UI" w:hAnsi="Segoe UI" w:cs="Segoe UI"/>
          <w:sz w:val="22"/>
          <w:szCs w:val="22"/>
        </w:rPr>
      </w:pPr>
      <w:r w:rsidRPr="00B6583D">
        <w:rPr>
          <w:rFonts w:ascii="Segoe UI" w:hAnsi="Segoe UI" w:cs="Segoe UI"/>
          <w:sz w:val="22"/>
          <w:szCs w:val="22"/>
        </w:rPr>
        <w:t>Current indicators</w:t>
      </w:r>
      <w:r w:rsidR="00AC4FFB" w:rsidRPr="00B6583D">
        <w:rPr>
          <w:rFonts w:ascii="Segoe UI" w:hAnsi="Segoe UI" w:cs="Segoe UI"/>
          <w:sz w:val="22"/>
          <w:szCs w:val="22"/>
        </w:rPr>
        <w:t xml:space="preserve"> of economic activity</w:t>
      </w:r>
      <w:r w:rsidRPr="00B6583D">
        <w:rPr>
          <w:rFonts w:ascii="Segoe UI" w:hAnsi="Segoe UI" w:cs="Segoe UI"/>
          <w:sz w:val="22"/>
          <w:szCs w:val="22"/>
        </w:rPr>
        <w:t xml:space="preserve"> point to</w:t>
      </w:r>
      <w:r w:rsidR="00AC4FFB" w:rsidRPr="00B6583D">
        <w:rPr>
          <w:rFonts w:ascii="Segoe UI" w:hAnsi="Segoe UI" w:cs="Segoe UI"/>
          <w:sz w:val="22"/>
          <w:szCs w:val="22"/>
        </w:rPr>
        <w:t xml:space="preserve"> continued expansion</w:t>
      </w:r>
      <w:r w:rsidRPr="00B6583D">
        <w:rPr>
          <w:rFonts w:ascii="Segoe UI" w:hAnsi="Segoe UI" w:cs="Segoe UI"/>
          <w:sz w:val="22"/>
          <w:szCs w:val="22"/>
        </w:rPr>
        <w:t xml:space="preserve">.  Credit card expenditure figures </w:t>
      </w:r>
      <w:r w:rsidR="00AC4FFB" w:rsidRPr="00B6583D">
        <w:rPr>
          <w:rFonts w:ascii="Segoe UI" w:hAnsi="Segoe UI" w:cs="Segoe UI"/>
          <w:sz w:val="22"/>
          <w:szCs w:val="22"/>
        </w:rPr>
        <w:t xml:space="preserve">indicated continued growth in the fourth quarter, and range around the trend </w:t>
      </w:r>
      <w:r w:rsidR="00E55E97" w:rsidRPr="00B6583D">
        <w:rPr>
          <w:rFonts w:ascii="Segoe UI" w:hAnsi="Segoe UI" w:cs="Segoe UI"/>
          <w:sz w:val="22"/>
          <w:szCs w:val="22"/>
        </w:rPr>
        <w:t>line</w:t>
      </w:r>
      <w:r w:rsidRPr="00B6583D">
        <w:rPr>
          <w:rFonts w:ascii="Segoe UI" w:hAnsi="Segoe UI" w:cs="Segoe UI"/>
          <w:sz w:val="22"/>
          <w:szCs w:val="22"/>
        </w:rPr>
        <w:t xml:space="preserve"> (</w:t>
      </w:r>
      <w:r w:rsidRPr="00B6583D">
        <w:rPr>
          <w:rFonts w:ascii="Segoe UI" w:hAnsi="Segoe UI" w:cs="Segoe UI"/>
          <w:b/>
          <w:bCs/>
          <w:sz w:val="22"/>
          <w:szCs w:val="22"/>
        </w:rPr>
        <w:t xml:space="preserve">Figure </w:t>
      </w:r>
      <w:r w:rsidR="00B6583D" w:rsidRPr="00B6583D">
        <w:rPr>
          <w:rFonts w:ascii="Segoe UI" w:hAnsi="Segoe UI" w:cs="Segoe UI"/>
          <w:b/>
          <w:bCs/>
          <w:sz w:val="22"/>
          <w:szCs w:val="22"/>
        </w:rPr>
        <w:t>12</w:t>
      </w:r>
      <w:r w:rsidRPr="00B6583D">
        <w:rPr>
          <w:rFonts w:ascii="Segoe UI" w:hAnsi="Segoe UI" w:cs="Segoe UI"/>
          <w:sz w:val="22"/>
          <w:szCs w:val="22"/>
        </w:rPr>
        <w:t xml:space="preserve">).  The aggregate balance in the Central Bureau of Statistics Business Tendency Survey for </w:t>
      </w:r>
      <w:r w:rsidR="00E55E97" w:rsidRPr="00B6583D">
        <w:rPr>
          <w:rFonts w:ascii="Segoe UI" w:hAnsi="Segoe UI" w:cs="Segoe UI"/>
          <w:sz w:val="22"/>
          <w:szCs w:val="22"/>
        </w:rPr>
        <w:t xml:space="preserve">November (seasonally adjusted) is stable, </w:t>
      </w:r>
      <w:r w:rsidRPr="00B6583D">
        <w:rPr>
          <w:rFonts w:ascii="Segoe UI" w:hAnsi="Segoe UI" w:cs="Segoe UI"/>
          <w:sz w:val="22"/>
          <w:szCs w:val="22"/>
        </w:rPr>
        <w:t xml:space="preserve">but </w:t>
      </w:r>
      <w:r w:rsidR="006872F2" w:rsidRPr="00B6583D">
        <w:rPr>
          <w:rFonts w:ascii="Segoe UI" w:hAnsi="Segoe UI" w:cs="Segoe UI"/>
          <w:sz w:val="22"/>
          <w:szCs w:val="22"/>
        </w:rPr>
        <w:t>remains lower than it was prior to the war</w:t>
      </w:r>
      <w:r w:rsidRPr="00B6583D">
        <w:rPr>
          <w:rFonts w:ascii="Segoe UI" w:hAnsi="Segoe UI" w:cs="Segoe UI"/>
          <w:sz w:val="22"/>
          <w:szCs w:val="22"/>
        </w:rPr>
        <w:t xml:space="preserve"> (</w:t>
      </w:r>
      <w:r w:rsidRPr="00B6583D">
        <w:rPr>
          <w:rFonts w:ascii="Segoe UI" w:hAnsi="Segoe UI" w:cs="Segoe UI"/>
          <w:b/>
          <w:bCs/>
          <w:sz w:val="22"/>
          <w:szCs w:val="22"/>
        </w:rPr>
        <w:t xml:space="preserve">Figure </w:t>
      </w:r>
      <w:r w:rsidR="00B6583D" w:rsidRPr="00B6583D">
        <w:rPr>
          <w:rFonts w:ascii="Segoe UI" w:hAnsi="Segoe UI" w:cs="Segoe UI"/>
          <w:b/>
          <w:bCs/>
          <w:sz w:val="22"/>
          <w:szCs w:val="22"/>
        </w:rPr>
        <w:t>11</w:t>
      </w:r>
      <w:r w:rsidRPr="00B6583D">
        <w:rPr>
          <w:rFonts w:ascii="Segoe UI" w:hAnsi="Segoe UI" w:cs="Segoe UI"/>
          <w:sz w:val="22"/>
          <w:szCs w:val="22"/>
        </w:rPr>
        <w:t xml:space="preserve">).  </w:t>
      </w:r>
      <w:r w:rsidR="00E55E97" w:rsidRPr="00B6583D">
        <w:rPr>
          <w:rFonts w:ascii="Segoe UI" w:hAnsi="Segoe UI" w:cs="Segoe UI"/>
          <w:sz w:val="22"/>
          <w:szCs w:val="22"/>
        </w:rPr>
        <w:t>According to the Survey (and according to overnight stay and revenue data), activity in the hotels industry recovered.  In the construction industry, the number of workers continued to increase in the third quarter.</w:t>
      </w:r>
      <w:r w:rsidR="006872F2" w:rsidRPr="00B6583D">
        <w:rPr>
          <w:rFonts w:ascii="Segoe UI" w:hAnsi="Segoe UI" w:cs="Segoe UI"/>
          <w:sz w:val="22"/>
          <w:szCs w:val="22"/>
        </w:rPr>
        <w:t xml:space="preserve"> The consumer confidence index </w:t>
      </w:r>
      <w:r w:rsidR="00E55E97" w:rsidRPr="00B6583D">
        <w:rPr>
          <w:rFonts w:ascii="Segoe UI" w:hAnsi="Segoe UI" w:cs="Segoe UI"/>
          <w:sz w:val="22"/>
          <w:szCs w:val="22"/>
        </w:rPr>
        <w:t>stabilized at a high level in November following a significant increase in October</w:t>
      </w:r>
      <w:r w:rsidR="006872F2" w:rsidRPr="00B6583D">
        <w:rPr>
          <w:rFonts w:ascii="Segoe UI" w:hAnsi="Segoe UI" w:cs="Segoe UI"/>
          <w:sz w:val="22"/>
          <w:szCs w:val="22"/>
        </w:rPr>
        <w:t xml:space="preserve">. </w:t>
      </w:r>
      <w:r w:rsidRPr="00B6583D">
        <w:rPr>
          <w:rFonts w:ascii="Segoe UI" w:hAnsi="Segoe UI" w:cs="Segoe UI"/>
          <w:sz w:val="22"/>
          <w:szCs w:val="22"/>
        </w:rPr>
        <w:t xml:space="preserve">Capital raised by the high-tech sector </w:t>
      </w:r>
      <w:r w:rsidR="006872F2" w:rsidRPr="00B6583D">
        <w:rPr>
          <w:rFonts w:ascii="Segoe UI" w:hAnsi="Segoe UI" w:cs="Segoe UI"/>
          <w:sz w:val="22"/>
          <w:szCs w:val="22"/>
        </w:rPr>
        <w:t>remains</w:t>
      </w:r>
      <w:r w:rsidR="00AA3073" w:rsidRPr="00B6583D">
        <w:rPr>
          <w:rFonts w:ascii="Segoe UI" w:hAnsi="Segoe UI" w:cs="Segoe UI"/>
          <w:sz w:val="22"/>
          <w:szCs w:val="22"/>
        </w:rPr>
        <w:t xml:space="preserve"> high</w:t>
      </w:r>
      <w:r w:rsidR="006872F2" w:rsidRPr="00B6583D">
        <w:rPr>
          <w:rFonts w:ascii="Segoe UI" w:hAnsi="Segoe UI" w:cs="Segoe UI"/>
          <w:sz w:val="22"/>
          <w:szCs w:val="22"/>
        </w:rPr>
        <w:t xml:space="preserve"> </w:t>
      </w:r>
      <w:r w:rsidR="00AA3073" w:rsidRPr="00B6583D">
        <w:rPr>
          <w:rFonts w:ascii="Segoe UI" w:hAnsi="Segoe UI" w:cs="Segoe UI"/>
          <w:sz w:val="22"/>
          <w:szCs w:val="22"/>
        </w:rPr>
        <w:t xml:space="preserve">in the </w:t>
      </w:r>
      <w:r w:rsidR="006872F2" w:rsidRPr="00B6583D">
        <w:rPr>
          <w:rFonts w:ascii="Segoe UI" w:hAnsi="Segoe UI" w:cs="Segoe UI"/>
          <w:sz w:val="22"/>
          <w:szCs w:val="22"/>
        </w:rPr>
        <w:t>fourth</w:t>
      </w:r>
      <w:r w:rsidR="00AA3073" w:rsidRPr="00B6583D">
        <w:rPr>
          <w:rFonts w:ascii="Segoe UI" w:hAnsi="Segoe UI" w:cs="Segoe UI"/>
          <w:sz w:val="22"/>
          <w:szCs w:val="22"/>
        </w:rPr>
        <w:t xml:space="preserve"> quarter</w:t>
      </w:r>
      <w:r w:rsidRPr="00B6583D">
        <w:rPr>
          <w:rFonts w:ascii="Segoe UI" w:hAnsi="Segoe UI" w:cs="Segoe UI"/>
          <w:sz w:val="22"/>
          <w:szCs w:val="22"/>
        </w:rPr>
        <w:t xml:space="preserve"> </w:t>
      </w:r>
      <w:r w:rsidR="00721D9A" w:rsidRPr="00B6583D">
        <w:rPr>
          <w:rFonts w:ascii="Segoe UI" w:hAnsi="Segoe UI" w:cs="Segoe UI"/>
          <w:sz w:val="22"/>
          <w:szCs w:val="22"/>
        </w:rPr>
        <w:t>(</w:t>
      </w:r>
      <w:r w:rsidR="00721D9A" w:rsidRPr="00B6583D">
        <w:rPr>
          <w:rFonts w:ascii="Segoe UI" w:hAnsi="Segoe UI" w:cs="Segoe UI"/>
          <w:b/>
          <w:bCs/>
          <w:sz w:val="22"/>
          <w:szCs w:val="22"/>
        </w:rPr>
        <w:t xml:space="preserve">Figure </w:t>
      </w:r>
      <w:r w:rsidR="00B6583D" w:rsidRPr="00B6583D">
        <w:rPr>
          <w:rFonts w:ascii="Segoe UI" w:hAnsi="Segoe UI" w:cs="Segoe UI"/>
          <w:b/>
          <w:bCs/>
          <w:sz w:val="22"/>
          <w:szCs w:val="22"/>
        </w:rPr>
        <w:t>13</w:t>
      </w:r>
      <w:r w:rsidR="00721D9A" w:rsidRPr="00B6583D">
        <w:rPr>
          <w:rFonts w:ascii="Segoe UI" w:hAnsi="Segoe UI" w:cs="Segoe UI"/>
          <w:sz w:val="22"/>
          <w:szCs w:val="22"/>
        </w:rPr>
        <w:t xml:space="preserve">). </w:t>
      </w:r>
      <w:r w:rsidR="00E55E97" w:rsidRPr="00B6583D">
        <w:rPr>
          <w:rFonts w:ascii="Segoe UI" w:hAnsi="Segoe UI" w:cs="Segoe UI"/>
          <w:sz w:val="22"/>
          <w:szCs w:val="22"/>
        </w:rPr>
        <w:t>G</w:t>
      </w:r>
      <w:r w:rsidR="006872F2" w:rsidRPr="00B6583D">
        <w:rPr>
          <w:rFonts w:ascii="Segoe UI" w:hAnsi="Segoe UI" w:cs="Segoe UI"/>
          <w:sz w:val="22"/>
          <w:szCs w:val="22"/>
        </w:rPr>
        <w:t xml:space="preserve">oods imports and exports continued to increase in </w:t>
      </w:r>
      <w:r w:rsidR="000258A8" w:rsidRPr="00B6583D">
        <w:rPr>
          <w:rFonts w:ascii="Segoe UI" w:hAnsi="Segoe UI" w:cs="Segoe UI"/>
          <w:sz w:val="22"/>
          <w:szCs w:val="22"/>
        </w:rPr>
        <w:t>Novem</w:t>
      </w:r>
      <w:r w:rsidR="006872F2" w:rsidRPr="00B6583D">
        <w:rPr>
          <w:rFonts w:ascii="Segoe UI" w:hAnsi="Segoe UI" w:cs="Segoe UI"/>
          <w:sz w:val="22"/>
          <w:szCs w:val="22"/>
        </w:rPr>
        <w:t>ber</w:t>
      </w:r>
      <w:r w:rsidR="000258A8" w:rsidRPr="00B6583D">
        <w:rPr>
          <w:rFonts w:ascii="Segoe UI" w:hAnsi="Segoe UI" w:cs="Segoe UI"/>
          <w:sz w:val="22"/>
          <w:szCs w:val="22"/>
        </w:rPr>
        <w:t xml:space="preserve">.  Services exports increased by </w:t>
      </w:r>
      <w:r w:rsidR="000258A8" w:rsidRPr="00B6583D">
        <w:rPr>
          <w:rFonts w:ascii="Segoe UI" w:hAnsi="Segoe UI" w:cs="Segoe UI"/>
          <w:sz w:val="22"/>
          <w:szCs w:val="22"/>
        </w:rPr>
        <w:lastRenderedPageBreak/>
        <w:t>4.9 percent in October, further to an increase of 8 percent in September</w:t>
      </w:r>
      <w:r w:rsidR="000A1EAB" w:rsidRPr="00B6583D">
        <w:rPr>
          <w:rFonts w:ascii="Segoe UI" w:hAnsi="Segoe UI" w:cs="Segoe UI"/>
          <w:sz w:val="22"/>
          <w:szCs w:val="22"/>
        </w:rPr>
        <w:t xml:space="preserve"> (</w:t>
      </w:r>
      <w:r w:rsidR="000A1EAB" w:rsidRPr="00B6583D">
        <w:rPr>
          <w:rFonts w:ascii="Segoe UI" w:hAnsi="Segoe UI" w:cs="Segoe UI"/>
          <w:b/>
          <w:bCs/>
          <w:sz w:val="22"/>
          <w:szCs w:val="22"/>
        </w:rPr>
        <w:t xml:space="preserve">Figure </w:t>
      </w:r>
      <w:r w:rsidR="00B6583D" w:rsidRPr="00B6583D">
        <w:rPr>
          <w:rFonts w:ascii="Segoe UI" w:hAnsi="Segoe UI" w:cs="Segoe UI"/>
          <w:b/>
          <w:bCs/>
          <w:sz w:val="22"/>
          <w:szCs w:val="22"/>
        </w:rPr>
        <w:t>20</w:t>
      </w:r>
      <w:r w:rsidR="000A1EAB" w:rsidRPr="00B6583D">
        <w:rPr>
          <w:rFonts w:ascii="Segoe UI" w:hAnsi="Segoe UI" w:cs="Segoe UI"/>
          <w:sz w:val="22"/>
          <w:szCs w:val="22"/>
        </w:rPr>
        <w:t>)</w:t>
      </w:r>
      <w:r w:rsidR="00AA3073" w:rsidRPr="00B6583D">
        <w:rPr>
          <w:rFonts w:ascii="Segoe UI" w:hAnsi="Segoe UI" w:cs="Segoe UI"/>
          <w:sz w:val="22"/>
          <w:szCs w:val="22"/>
        </w:rPr>
        <w:t xml:space="preserve">. </w:t>
      </w:r>
      <w:r w:rsidR="00E55E97" w:rsidRPr="00B6583D">
        <w:rPr>
          <w:rFonts w:ascii="Segoe UI" w:hAnsi="Segoe UI" w:cs="Segoe UI"/>
          <w:sz w:val="22"/>
          <w:szCs w:val="22"/>
        </w:rPr>
        <w:t xml:space="preserve">  In the second and third quarters of 2025, there was a sharp decline in the surplus in the balance of goods and services.  In the third quarter, for the first time since 2013, the current account of the balance of payments shifted to a deficit, even in view of the increase in profits of foreign-owned high-tech companies that kept their profits in Israel, which were therefore recorded as investments in the capital account.</w:t>
      </w:r>
    </w:p>
    <w:p w:rsidR="0046525C" w:rsidRPr="00B6583D" w:rsidRDefault="0046525C" w:rsidP="0046525C">
      <w:pPr>
        <w:jc w:val="both"/>
        <w:rPr>
          <w:rFonts w:ascii="Segoe UI" w:hAnsi="Segoe UI" w:cs="Segoe UI"/>
          <w:sz w:val="22"/>
          <w:szCs w:val="22"/>
        </w:rPr>
      </w:pPr>
    </w:p>
    <w:p w:rsidR="00244C15" w:rsidRPr="00B6583D" w:rsidRDefault="00086CE6" w:rsidP="00B6583D">
      <w:pPr>
        <w:ind w:right="-1"/>
        <w:jc w:val="both"/>
        <w:rPr>
          <w:rFonts w:ascii="Segoe UI" w:hAnsi="Segoe UI" w:cs="Segoe UI"/>
          <w:sz w:val="22"/>
          <w:szCs w:val="22"/>
        </w:rPr>
      </w:pPr>
      <w:r w:rsidRPr="00B6583D">
        <w:rPr>
          <w:rFonts w:ascii="Segoe UI" w:hAnsi="Segoe UI" w:cs="Segoe UI"/>
          <w:sz w:val="22"/>
          <w:szCs w:val="22"/>
        </w:rPr>
        <w:t>The cumulative deficit in the government budget</w:t>
      </w:r>
      <w:r w:rsidR="0072321A" w:rsidRPr="00B6583D">
        <w:rPr>
          <w:rFonts w:ascii="Segoe UI" w:hAnsi="Segoe UI" w:cs="Segoe UI"/>
          <w:sz w:val="22"/>
          <w:szCs w:val="22"/>
        </w:rPr>
        <w:t xml:space="preserve"> in the past 12 months</w:t>
      </w:r>
      <w:r w:rsidR="00446E4B" w:rsidRPr="00B6583D">
        <w:rPr>
          <w:rFonts w:ascii="Segoe UI" w:hAnsi="Segoe UI" w:cs="Segoe UI"/>
          <w:sz w:val="22"/>
          <w:szCs w:val="22"/>
        </w:rPr>
        <w:t xml:space="preserve"> </w:t>
      </w:r>
      <w:r w:rsidR="00E55E97" w:rsidRPr="00B6583D">
        <w:rPr>
          <w:rFonts w:ascii="Segoe UI" w:hAnsi="Segoe UI" w:cs="Segoe UI"/>
          <w:sz w:val="22"/>
          <w:szCs w:val="22"/>
        </w:rPr>
        <w:t>was 4.5</w:t>
      </w:r>
      <w:r w:rsidR="0072321A" w:rsidRPr="00B6583D">
        <w:rPr>
          <w:rFonts w:ascii="Segoe UI" w:hAnsi="Segoe UI" w:cs="Segoe UI"/>
          <w:sz w:val="22"/>
          <w:szCs w:val="22"/>
        </w:rPr>
        <w:t xml:space="preserve"> percent of GDP</w:t>
      </w:r>
      <w:r w:rsidR="00446E4B" w:rsidRPr="00B6583D">
        <w:rPr>
          <w:rFonts w:ascii="Segoe UI" w:hAnsi="Segoe UI" w:cs="Segoe UI"/>
          <w:sz w:val="22"/>
          <w:szCs w:val="22"/>
        </w:rPr>
        <w:t xml:space="preserve"> in </w:t>
      </w:r>
      <w:r w:rsidR="00E55E97" w:rsidRPr="00B6583D">
        <w:rPr>
          <w:rFonts w:ascii="Segoe UI" w:hAnsi="Segoe UI" w:cs="Segoe UI"/>
          <w:sz w:val="22"/>
          <w:szCs w:val="22"/>
        </w:rPr>
        <w:t>Novem</w:t>
      </w:r>
      <w:r w:rsidR="006872F2" w:rsidRPr="00B6583D">
        <w:rPr>
          <w:rFonts w:ascii="Segoe UI" w:hAnsi="Segoe UI" w:cs="Segoe UI"/>
          <w:sz w:val="22"/>
          <w:szCs w:val="22"/>
        </w:rPr>
        <w:t>ber.</w:t>
      </w:r>
      <w:r w:rsidR="00C1765B" w:rsidRPr="00B6583D">
        <w:rPr>
          <w:rFonts w:ascii="Segoe UI" w:hAnsi="Segoe UI" w:cs="Segoe UI"/>
          <w:sz w:val="22"/>
          <w:szCs w:val="22"/>
        </w:rPr>
        <w:t xml:space="preserve"> </w:t>
      </w:r>
      <w:r w:rsidR="00E55E97" w:rsidRPr="00B6583D">
        <w:rPr>
          <w:rFonts w:ascii="Segoe UI" w:hAnsi="Segoe UI" w:cs="Segoe UI"/>
          <w:sz w:val="22"/>
          <w:szCs w:val="22"/>
        </w:rPr>
        <w:t xml:space="preserve">The government approved the proposed budget for 2026 with a deficit ceiling of 3.9 percent of GDP. </w:t>
      </w:r>
      <w:r w:rsidR="006872F2" w:rsidRPr="00B6583D">
        <w:rPr>
          <w:rFonts w:ascii="Segoe UI" w:hAnsi="Segoe UI" w:cs="Segoe UI"/>
          <w:sz w:val="22"/>
          <w:szCs w:val="22"/>
        </w:rPr>
        <w:t>G</w:t>
      </w:r>
      <w:r w:rsidR="00C1765B" w:rsidRPr="00B6583D">
        <w:rPr>
          <w:rFonts w:ascii="Segoe UI" w:hAnsi="Segoe UI" w:cs="Segoe UI"/>
          <w:sz w:val="22"/>
          <w:szCs w:val="22"/>
        </w:rPr>
        <w:t xml:space="preserve">overnment </w:t>
      </w:r>
      <w:r w:rsidR="003A1FB0" w:rsidRPr="00B6583D">
        <w:rPr>
          <w:rFonts w:ascii="Segoe UI" w:hAnsi="Segoe UI" w:cs="Segoe UI"/>
          <w:sz w:val="22"/>
          <w:szCs w:val="22"/>
        </w:rPr>
        <w:t xml:space="preserve">receipts </w:t>
      </w:r>
      <w:r w:rsidR="006872F2" w:rsidRPr="00B6583D">
        <w:rPr>
          <w:rFonts w:ascii="Segoe UI" w:hAnsi="Segoe UI" w:cs="Segoe UI"/>
          <w:sz w:val="22"/>
          <w:szCs w:val="22"/>
        </w:rPr>
        <w:t xml:space="preserve">from direct taxation </w:t>
      </w:r>
      <w:r w:rsidR="003A1FB0" w:rsidRPr="00B6583D">
        <w:rPr>
          <w:rFonts w:ascii="Segoe UI" w:hAnsi="Segoe UI" w:cs="Segoe UI"/>
          <w:sz w:val="22"/>
          <w:szCs w:val="22"/>
        </w:rPr>
        <w:t xml:space="preserve">in </w:t>
      </w:r>
      <w:r w:rsidR="00E55E97" w:rsidRPr="00B6583D">
        <w:rPr>
          <w:rFonts w:ascii="Segoe UI" w:hAnsi="Segoe UI" w:cs="Segoe UI"/>
          <w:sz w:val="22"/>
          <w:szCs w:val="22"/>
        </w:rPr>
        <w:t>Novem</w:t>
      </w:r>
      <w:r w:rsidR="006872F2" w:rsidRPr="00B6583D">
        <w:rPr>
          <w:rFonts w:ascii="Segoe UI" w:hAnsi="Segoe UI" w:cs="Segoe UI"/>
          <w:sz w:val="22"/>
          <w:szCs w:val="22"/>
        </w:rPr>
        <w:t>ber</w:t>
      </w:r>
      <w:r w:rsidR="00C1765B" w:rsidRPr="00B6583D">
        <w:rPr>
          <w:rFonts w:ascii="Segoe UI" w:hAnsi="Segoe UI" w:cs="Segoe UI"/>
          <w:sz w:val="22"/>
          <w:szCs w:val="22"/>
        </w:rPr>
        <w:t xml:space="preserve"> (in fixed prices and net of legislative changes and one-off revenues)</w:t>
      </w:r>
      <w:r w:rsidR="00446E4B" w:rsidRPr="00B6583D">
        <w:rPr>
          <w:rFonts w:ascii="Segoe UI" w:hAnsi="Segoe UI" w:cs="Segoe UI"/>
          <w:sz w:val="22"/>
          <w:szCs w:val="22"/>
        </w:rPr>
        <w:t xml:space="preserve"> </w:t>
      </w:r>
      <w:r w:rsidR="00C1765B" w:rsidRPr="00B6583D">
        <w:rPr>
          <w:rFonts w:ascii="Segoe UI" w:hAnsi="Segoe UI" w:cs="Segoe UI"/>
          <w:sz w:val="22"/>
          <w:szCs w:val="22"/>
        </w:rPr>
        <w:t>are higher than the long-term trend</w:t>
      </w:r>
      <w:r w:rsidR="003A1FB0" w:rsidRPr="00B6583D">
        <w:rPr>
          <w:rFonts w:ascii="Segoe UI" w:hAnsi="Segoe UI" w:cs="Segoe UI"/>
          <w:sz w:val="22"/>
          <w:szCs w:val="22"/>
        </w:rPr>
        <w:t xml:space="preserve"> (</w:t>
      </w:r>
      <w:r w:rsidR="003A1FB0" w:rsidRPr="00B6583D">
        <w:rPr>
          <w:rFonts w:ascii="Segoe UI" w:hAnsi="Segoe UI" w:cs="Segoe UI"/>
          <w:b/>
          <w:bCs/>
          <w:sz w:val="22"/>
          <w:szCs w:val="22"/>
        </w:rPr>
        <w:t xml:space="preserve">Figure </w:t>
      </w:r>
      <w:r w:rsidR="00B6583D" w:rsidRPr="00B6583D">
        <w:rPr>
          <w:rFonts w:ascii="Segoe UI" w:hAnsi="Segoe UI" w:cs="Segoe UI"/>
          <w:b/>
          <w:bCs/>
          <w:sz w:val="22"/>
          <w:szCs w:val="22"/>
        </w:rPr>
        <w:t>14</w:t>
      </w:r>
      <w:r w:rsidR="003A1FB0" w:rsidRPr="00B6583D">
        <w:rPr>
          <w:rFonts w:ascii="Segoe UI" w:hAnsi="Segoe UI" w:cs="Segoe UI"/>
          <w:sz w:val="22"/>
          <w:szCs w:val="22"/>
        </w:rPr>
        <w:t>).</w:t>
      </w:r>
      <w:r w:rsidR="00C1765B" w:rsidRPr="00B6583D">
        <w:rPr>
          <w:rFonts w:ascii="Segoe UI" w:hAnsi="Segoe UI" w:cs="Segoe UI"/>
          <w:sz w:val="22"/>
          <w:szCs w:val="22"/>
        </w:rPr>
        <w:t xml:space="preserve">  </w:t>
      </w:r>
    </w:p>
    <w:p w:rsidR="006872F2" w:rsidRPr="00B6583D" w:rsidRDefault="006872F2" w:rsidP="006872F2">
      <w:pPr>
        <w:ind w:right="-1"/>
        <w:jc w:val="both"/>
        <w:rPr>
          <w:rFonts w:ascii="Segoe UI" w:hAnsi="Segoe UI" w:cs="Segoe UI"/>
          <w:sz w:val="22"/>
          <w:szCs w:val="22"/>
        </w:rPr>
      </w:pPr>
    </w:p>
    <w:p w:rsidR="008A0DA3" w:rsidRPr="00B6583D" w:rsidRDefault="00E55E97" w:rsidP="00B6583D">
      <w:pPr>
        <w:ind w:right="-1"/>
        <w:jc w:val="both"/>
        <w:rPr>
          <w:rFonts w:ascii="Segoe UI" w:hAnsi="Segoe UI" w:cs="Segoe UI"/>
          <w:sz w:val="22"/>
          <w:szCs w:val="22"/>
        </w:rPr>
      </w:pPr>
      <w:r w:rsidRPr="00B6583D">
        <w:rPr>
          <w:rFonts w:ascii="Segoe UI" w:hAnsi="Segoe UI" w:cs="Segoe UI"/>
          <w:color w:val="242424"/>
          <w:sz w:val="22"/>
          <w:szCs w:val="22"/>
        </w:rPr>
        <w:t>T</w:t>
      </w:r>
      <w:r w:rsidR="0075186B" w:rsidRPr="00B6583D">
        <w:rPr>
          <w:rFonts w:ascii="Segoe UI" w:hAnsi="Segoe UI" w:cs="Segoe UI"/>
          <w:color w:val="242424"/>
          <w:sz w:val="22"/>
          <w:szCs w:val="22"/>
        </w:rPr>
        <w:t>he labor market remains tight</w:t>
      </w:r>
      <w:r w:rsidRPr="00B6583D">
        <w:rPr>
          <w:rFonts w:ascii="Segoe UI" w:hAnsi="Segoe UI" w:cs="Segoe UI"/>
          <w:color w:val="242424"/>
          <w:sz w:val="22"/>
          <w:szCs w:val="22"/>
        </w:rPr>
        <w:t>, but the most recent data indicate an easing of the supply constraints. This is reflected in an increase in the participation and employment rates, a decline in the absentee rate due to reserve duty, and a decline in the pace of wage increases in the business sector.</w:t>
      </w:r>
      <w:r w:rsidR="0075186B" w:rsidRPr="00B6583D">
        <w:rPr>
          <w:rFonts w:ascii="Segoe UI" w:hAnsi="Segoe UI" w:cs="Segoe UI"/>
          <w:sz w:val="22"/>
          <w:szCs w:val="22"/>
        </w:rPr>
        <w:t xml:space="preserve">  The employment rate among the prime working ages (25–64) increased to 79</w:t>
      </w:r>
      <w:r w:rsidR="00E41E5A" w:rsidRPr="00B6583D">
        <w:rPr>
          <w:rFonts w:ascii="Segoe UI" w:hAnsi="Segoe UI" w:cs="Segoe UI"/>
          <w:sz w:val="22"/>
          <w:szCs w:val="22"/>
        </w:rPr>
        <w:t>.4</w:t>
      </w:r>
      <w:r w:rsidR="0075186B" w:rsidRPr="00B6583D">
        <w:rPr>
          <w:rFonts w:ascii="Segoe UI" w:hAnsi="Segoe UI" w:cs="Segoe UI"/>
          <w:sz w:val="22"/>
          <w:szCs w:val="22"/>
        </w:rPr>
        <w:t xml:space="preserve"> percent in </w:t>
      </w:r>
      <w:r w:rsidR="00E41E5A" w:rsidRPr="00B6583D">
        <w:rPr>
          <w:rFonts w:ascii="Segoe UI" w:hAnsi="Segoe UI" w:cs="Segoe UI"/>
          <w:sz w:val="22"/>
          <w:szCs w:val="22"/>
        </w:rPr>
        <w:t>Novem</w:t>
      </w:r>
      <w:r w:rsidR="0075186B" w:rsidRPr="00B6583D">
        <w:rPr>
          <w:rFonts w:ascii="Segoe UI" w:hAnsi="Segoe UI" w:cs="Segoe UI"/>
          <w:sz w:val="22"/>
          <w:szCs w:val="22"/>
        </w:rPr>
        <w:t>ber, and the participation rate increased to 81.</w:t>
      </w:r>
      <w:r w:rsidR="00E41E5A" w:rsidRPr="00B6583D">
        <w:rPr>
          <w:rFonts w:ascii="Segoe UI" w:hAnsi="Segoe UI" w:cs="Segoe UI"/>
          <w:sz w:val="22"/>
          <w:szCs w:val="22"/>
        </w:rPr>
        <w:t>7</w:t>
      </w:r>
      <w:r w:rsidR="0075186B" w:rsidRPr="00B6583D">
        <w:rPr>
          <w:rFonts w:ascii="Segoe UI" w:hAnsi="Segoe UI" w:cs="Segoe UI"/>
          <w:sz w:val="22"/>
          <w:szCs w:val="22"/>
        </w:rPr>
        <w:t xml:space="preserve"> percent</w:t>
      </w:r>
      <w:r w:rsidR="00FD182C" w:rsidRPr="00B6583D">
        <w:rPr>
          <w:rFonts w:ascii="Segoe UI" w:hAnsi="Segoe UI" w:cs="Segoe UI"/>
          <w:sz w:val="22"/>
          <w:szCs w:val="22"/>
        </w:rPr>
        <w:t xml:space="preserve"> (</w:t>
      </w:r>
      <w:r w:rsidR="00FD182C" w:rsidRPr="00B6583D">
        <w:rPr>
          <w:rFonts w:ascii="Segoe UI" w:hAnsi="Segoe UI" w:cs="Segoe UI"/>
          <w:b/>
          <w:bCs/>
          <w:sz w:val="22"/>
          <w:szCs w:val="22"/>
        </w:rPr>
        <w:t xml:space="preserve">Figure </w:t>
      </w:r>
      <w:r w:rsidR="00B6583D" w:rsidRPr="00B6583D">
        <w:rPr>
          <w:rFonts w:ascii="Segoe UI" w:hAnsi="Segoe UI" w:cs="Segoe UI"/>
          <w:b/>
          <w:bCs/>
          <w:sz w:val="22"/>
          <w:szCs w:val="22"/>
        </w:rPr>
        <w:t>15a</w:t>
      </w:r>
      <w:r w:rsidR="0072321A" w:rsidRPr="00B6583D">
        <w:rPr>
          <w:rFonts w:ascii="Segoe UI" w:hAnsi="Segoe UI" w:cs="Segoe UI"/>
          <w:sz w:val="22"/>
          <w:szCs w:val="22"/>
        </w:rPr>
        <w:t>).</w:t>
      </w:r>
      <w:r w:rsidR="0075186B" w:rsidRPr="00B6583D">
        <w:rPr>
          <w:rFonts w:ascii="Segoe UI" w:hAnsi="Segoe UI" w:cs="Segoe UI"/>
          <w:sz w:val="22"/>
          <w:szCs w:val="22"/>
        </w:rPr>
        <w:t xml:space="preserve">  The broad unemployment rate among the prime working ages (25–64) was </w:t>
      </w:r>
      <w:r w:rsidR="00E41E5A" w:rsidRPr="00B6583D">
        <w:rPr>
          <w:rFonts w:ascii="Segoe UI" w:hAnsi="Segoe UI" w:cs="Segoe UI"/>
          <w:sz w:val="22"/>
          <w:szCs w:val="22"/>
        </w:rPr>
        <w:t>stable at 3.1</w:t>
      </w:r>
      <w:r w:rsidR="0075186B" w:rsidRPr="00B6583D">
        <w:rPr>
          <w:rFonts w:ascii="Segoe UI" w:hAnsi="Segoe UI" w:cs="Segoe UI"/>
          <w:sz w:val="22"/>
          <w:szCs w:val="22"/>
        </w:rPr>
        <w:t xml:space="preserve"> percent in </w:t>
      </w:r>
      <w:r w:rsidR="00E41E5A" w:rsidRPr="00B6583D">
        <w:rPr>
          <w:rFonts w:ascii="Segoe UI" w:hAnsi="Segoe UI" w:cs="Segoe UI"/>
          <w:sz w:val="22"/>
          <w:szCs w:val="22"/>
        </w:rPr>
        <w:t>Novem</w:t>
      </w:r>
      <w:r w:rsidR="00C971C4" w:rsidRPr="00B6583D">
        <w:rPr>
          <w:rFonts w:ascii="Segoe UI" w:hAnsi="Segoe UI" w:cs="Segoe UI"/>
          <w:sz w:val="22"/>
          <w:szCs w:val="22"/>
        </w:rPr>
        <w:t>ber</w:t>
      </w:r>
      <w:r w:rsidR="0075186B" w:rsidRPr="00B6583D">
        <w:rPr>
          <w:rFonts w:ascii="Segoe UI" w:hAnsi="Segoe UI" w:cs="Segoe UI"/>
          <w:sz w:val="22"/>
          <w:szCs w:val="22"/>
        </w:rPr>
        <w:t xml:space="preserve"> (</w:t>
      </w:r>
      <w:r w:rsidR="0075186B" w:rsidRPr="00B6583D">
        <w:rPr>
          <w:rFonts w:ascii="Segoe UI" w:hAnsi="Segoe UI" w:cs="Segoe UI"/>
          <w:b/>
          <w:bCs/>
          <w:sz w:val="22"/>
          <w:szCs w:val="22"/>
        </w:rPr>
        <w:t xml:space="preserve">Figure </w:t>
      </w:r>
      <w:r w:rsidR="00B6583D" w:rsidRPr="00B6583D">
        <w:rPr>
          <w:rFonts w:ascii="Segoe UI" w:hAnsi="Segoe UI" w:cs="Segoe UI"/>
          <w:b/>
          <w:bCs/>
          <w:sz w:val="22"/>
          <w:szCs w:val="22"/>
        </w:rPr>
        <w:t>15b</w:t>
      </w:r>
      <w:r w:rsidR="0075186B" w:rsidRPr="00B6583D">
        <w:rPr>
          <w:rFonts w:ascii="Segoe UI" w:hAnsi="Segoe UI" w:cs="Segoe UI"/>
          <w:sz w:val="22"/>
          <w:szCs w:val="22"/>
        </w:rPr>
        <w:t>).</w:t>
      </w:r>
      <w:r w:rsidR="0072321A" w:rsidRPr="00B6583D">
        <w:rPr>
          <w:rFonts w:ascii="Segoe UI" w:hAnsi="Segoe UI" w:cs="Segoe UI"/>
          <w:sz w:val="22"/>
          <w:szCs w:val="22"/>
        </w:rPr>
        <w:t xml:space="preserve"> </w:t>
      </w:r>
      <w:r w:rsidR="00984668" w:rsidRPr="00B6583D">
        <w:rPr>
          <w:rFonts w:ascii="Segoe UI" w:hAnsi="Segoe UI" w:cs="Segoe UI"/>
          <w:sz w:val="22"/>
          <w:szCs w:val="22"/>
        </w:rPr>
        <w:t xml:space="preserve">The rate of temporary absentees due to reserve duty </w:t>
      </w:r>
      <w:r w:rsidR="00E41E5A" w:rsidRPr="00B6583D">
        <w:rPr>
          <w:rFonts w:ascii="Segoe UI" w:hAnsi="Segoe UI" w:cs="Segoe UI"/>
          <w:sz w:val="22"/>
          <w:szCs w:val="22"/>
        </w:rPr>
        <w:t>declined slightly to</w:t>
      </w:r>
      <w:r w:rsidR="00FD182C" w:rsidRPr="00B6583D">
        <w:rPr>
          <w:rFonts w:ascii="Segoe UI" w:hAnsi="Segoe UI" w:cs="Segoe UI"/>
          <w:sz w:val="22"/>
          <w:szCs w:val="22"/>
        </w:rPr>
        <w:t xml:space="preserve"> 0.</w:t>
      </w:r>
      <w:r w:rsidR="00E41E5A" w:rsidRPr="00B6583D">
        <w:rPr>
          <w:rFonts w:ascii="Segoe UI" w:hAnsi="Segoe UI" w:cs="Segoe UI"/>
          <w:sz w:val="22"/>
          <w:szCs w:val="22"/>
        </w:rPr>
        <w:t>5</w:t>
      </w:r>
      <w:r w:rsidR="00984668" w:rsidRPr="00B6583D">
        <w:rPr>
          <w:rFonts w:ascii="Segoe UI" w:hAnsi="Segoe UI" w:cs="Segoe UI"/>
          <w:sz w:val="22"/>
          <w:szCs w:val="22"/>
        </w:rPr>
        <w:t xml:space="preserve"> percent in</w:t>
      </w:r>
      <w:r w:rsidR="00FD182C" w:rsidRPr="00B6583D">
        <w:rPr>
          <w:rFonts w:ascii="Segoe UI" w:hAnsi="Segoe UI" w:cs="Segoe UI"/>
          <w:sz w:val="22"/>
          <w:szCs w:val="22"/>
        </w:rPr>
        <w:t xml:space="preserve"> </w:t>
      </w:r>
      <w:r w:rsidR="00E41E5A" w:rsidRPr="00B6583D">
        <w:rPr>
          <w:rFonts w:ascii="Segoe UI" w:hAnsi="Segoe UI" w:cs="Segoe UI"/>
          <w:sz w:val="22"/>
          <w:szCs w:val="22"/>
        </w:rPr>
        <w:t>Novem</w:t>
      </w:r>
      <w:r w:rsidR="0075186B" w:rsidRPr="00B6583D">
        <w:rPr>
          <w:rFonts w:ascii="Segoe UI" w:hAnsi="Segoe UI" w:cs="Segoe UI"/>
          <w:sz w:val="22"/>
          <w:szCs w:val="22"/>
        </w:rPr>
        <w:t>ber</w:t>
      </w:r>
      <w:r w:rsidR="00984668" w:rsidRPr="00B6583D">
        <w:rPr>
          <w:rFonts w:ascii="Segoe UI" w:hAnsi="Segoe UI" w:cs="Segoe UI"/>
          <w:sz w:val="22"/>
          <w:szCs w:val="22"/>
        </w:rPr>
        <w:t xml:space="preserve">. </w:t>
      </w:r>
      <w:r w:rsidR="0075186B" w:rsidRPr="00B6583D">
        <w:rPr>
          <w:rFonts w:ascii="Segoe UI" w:hAnsi="Segoe UI" w:cs="Segoe UI"/>
          <w:sz w:val="22"/>
          <w:szCs w:val="22"/>
        </w:rPr>
        <w:t xml:space="preserve">Wages in the business sector </w:t>
      </w:r>
      <w:r w:rsidR="00D344F6" w:rsidRPr="00B6583D">
        <w:rPr>
          <w:rFonts w:ascii="Segoe UI" w:hAnsi="Segoe UI" w:cs="Segoe UI"/>
          <w:sz w:val="22"/>
          <w:szCs w:val="22"/>
        </w:rPr>
        <w:t>increase</w:t>
      </w:r>
      <w:r w:rsidR="0075186B" w:rsidRPr="00B6583D">
        <w:rPr>
          <w:rFonts w:ascii="Segoe UI" w:hAnsi="Segoe UI" w:cs="Segoe UI"/>
          <w:sz w:val="22"/>
          <w:szCs w:val="22"/>
        </w:rPr>
        <w:t>d</w:t>
      </w:r>
      <w:r w:rsidR="00820E0F" w:rsidRPr="00B6583D">
        <w:rPr>
          <w:rFonts w:ascii="Segoe UI" w:hAnsi="Segoe UI" w:cs="Segoe UI"/>
          <w:sz w:val="22"/>
          <w:szCs w:val="22"/>
        </w:rPr>
        <w:t xml:space="preserve"> </w:t>
      </w:r>
      <w:r w:rsidR="003A6A53" w:rsidRPr="00B6583D">
        <w:rPr>
          <w:rFonts w:ascii="Segoe UI" w:hAnsi="Segoe UI" w:cs="Segoe UI"/>
          <w:sz w:val="22"/>
          <w:szCs w:val="22"/>
        </w:rPr>
        <w:t xml:space="preserve">in </w:t>
      </w:r>
      <w:r w:rsidR="00E41E5A" w:rsidRPr="00B6583D">
        <w:rPr>
          <w:rFonts w:ascii="Segoe UI" w:hAnsi="Segoe UI" w:cs="Segoe UI"/>
          <w:sz w:val="22"/>
          <w:szCs w:val="22"/>
        </w:rPr>
        <w:t>August</w:t>
      </w:r>
      <w:r w:rsidR="00D344F6" w:rsidRPr="00B6583D">
        <w:rPr>
          <w:rFonts w:ascii="Segoe UI" w:hAnsi="Segoe UI" w:cs="Segoe UI"/>
          <w:sz w:val="22"/>
          <w:szCs w:val="22"/>
        </w:rPr>
        <w:t>–</w:t>
      </w:r>
      <w:r w:rsidR="00E41E5A" w:rsidRPr="00B6583D">
        <w:rPr>
          <w:rFonts w:ascii="Segoe UI" w:hAnsi="Segoe UI" w:cs="Segoe UI"/>
          <w:sz w:val="22"/>
          <w:szCs w:val="22"/>
        </w:rPr>
        <w:t>Octo</w:t>
      </w:r>
      <w:r w:rsidR="0075186B" w:rsidRPr="00B6583D">
        <w:rPr>
          <w:rFonts w:ascii="Segoe UI" w:hAnsi="Segoe UI" w:cs="Segoe UI"/>
          <w:sz w:val="22"/>
          <w:szCs w:val="22"/>
        </w:rPr>
        <w:t>ber</w:t>
      </w:r>
      <w:r w:rsidR="00D344F6" w:rsidRPr="00B6583D">
        <w:rPr>
          <w:rFonts w:ascii="Segoe UI" w:hAnsi="Segoe UI" w:cs="Segoe UI"/>
          <w:sz w:val="22"/>
          <w:szCs w:val="22"/>
        </w:rPr>
        <w:t xml:space="preserve"> by </w:t>
      </w:r>
      <w:r w:rsidR="0075186B" w:rsidRPr="00B6583D">
        <w:rPr>
          <w:rFonts w:ascii="Segoe UI" w:hAnsi="Segoe UI" w:cs="Segoe UI"/>
          <w:sz w:val="22"/>
          <w:szCs w:val="22"/>
        </w:rPr>
        <w:t>5</w:t>
      </w:r>
      <w:r w:rsidR="00D344F6" w:rsidRPr="00B6583D">
        <w:rPr>
          <w:rFonts w:ascii="Segoe UI" w:hAnsi="Segoe UI" w:cs="Segoe UI"/>
          <w:sz w:val="22"/>
          <w:szCs w:val="22"/>
        </w:rPr>
        <w:t>.</w:t>
      </w:r>
      <w:r w:rsidR="00E41E5A" w:rsidRPr="00B6583D">
        <w:rPr>
          <w:rFonts w:ascii="Segoe UI" w:hAnsi="Segoe UI" w:cs="Segoe UI"/>
          <w:sz w:val="22"/>
          <w:szCs w:val="22"/>
        </w:rPr>
        <w:t>3</w:t>
      </w:r>
      <w:r w:rsidR="00D344F6" w:rsidRPr="00B6583D">
        <w:rPr>
          <w:rFonts w:ascii="Segoe UI" w:hAnsi="Segoe UI" w:cs="Segoe UI"/>
          <w:sz w:val="22"/>
          <w:szCs w:val="22"/>
        </w:rPr>
        <w:t xml:space="preserve"> percent</w:t>
      </w:r>
      <w:r w:rsidR="00FD182C" w:rsidRPr="00B6583D">
        <w:rPr>
          <w:rFonts w:ascii="Segoe UI" w:hAnsi="Segoe UI" w:cs="Segoe UI"/>
          <w:sz w:val="22"/>
          <w:szCs w:val="22"/>
        </w:rPr>
        <w:t xml:space="preserve"> </w:t>
      </w:r>
      <w:r w:rsidR="005C23CB" w:rsidRPr="00B6583D">
        <w:rPr>
          <w:rFonts w:ascii="Segoe UI" w:hAnsi="Segoe UI" w:cs="Segoe UI"/>
          <w:sz w:val="22"/>
          <w:szCs w:val="22"/>
        </w:rPr>
        <w:t xml:space="preserve">(in </w:t>
      </w:r>
      <w:r w:rsidR="003A6A53" w:rsidRPr="00B6583D">
        <w:rPr>
          <w:rFonts w:ascii="Segoe UI" w:hAnsi="Segoe UI" w:cs="Segoe UI"/>
          <w:sz w:val="22"/>
          <w:szCs w:val="22"/>
        </w:rPr>
        <w:t>annual terms</w:t>
      </w:r>
      <w:r w:rsidR="005C23CB" w:rsidRPr="00B6583D">
        <w:rPr>
          <w:rFonts w:ascii="Segoe UI" w:hAnsi="Segoe UI" w:cs="Segoe UI"/>
          <w:sz w:val="22"/>
          <w:szCs w:val="22"/>
        </w:rPr>
        <w:t>)</w:t>
      </w:r>
      <w:r w:rsidR="003A6A53" w:rsidRPr="00B6583D">
        <w:rPr>
          <w:rFonts w:ascii="Segoe UI" w:hAnsi="Segoe UI" w:cs="Segoe UI"/>
          <w:sz w:val="22"/>
          <w:szCs w:val="22"/>
        </w:rPr>
        <w:t xml:space="preserve"> </w:t>
      </w:r>
      <w:r w:rsidR="00D344F6" w:rsidRPr="00B6583D">
        <w:rPr>
          <w:rFonts w:ascii="Segoe UI" w:hAnsi="Segoe UI" w:cs="Segoe UI"/>
          <w:sz w:val="22"/>
          <w:szCs w:val="22"/>
        </w:rPr>
        <w:t>relative to</w:t>
      </w:r>
      <w:r w:rsidR="005B7A98" w:rsidRPr="00B6583D">
        <w:rPr>
          <w:rFonts w:ascii="Segoe UI" w:hAnsi="Segoe UI" w:cs="Segoe UI"/>
          <w:sz w:val="22"/>
          <w:szCs w:val="22"/>
        </w:rPr>
        <w:t xml:space="preserve"> the </w:t>
      </w:r>
      <w:r w:rsidR="00E41E5A" w:rsidRPr="00B6583D">
        <w:rPr>
          <w:rFonts w:ascii="Segoe UI" w:hAnsi="Segoe UI" w:cs="Segoe UI"/>
          <w:sz w:val="22"/>
          <w:szCs w:val="22"/>
        </w:rPr>
        <w:t>same period in the previous year, compared with 5.9 percent in July–September</w:t>
      </w:r>
      <w:r w:rsidR="00631800" w:rsidRPr="00B6583D">
        <w:rPr>
          <w:rFonts w:ascii="Segoe UI" w:hAnsi="Segoe UI" w:cs="Segoe UI"/>
          <w:sz w:val="22"/>
          <w:szCs w:val="22"/>
        </w:rPr>
        <w:t xml:space="preserve"> (</w:t>
      </w:r>
      <w:r w:rsidR="00631800" w:rsidRPr="00B6583D">
        <w:rPr>
          <w:rFonts w:ascii="Segoe UI" w:hAnsi="Segoe UI" w:cs="Segoe UI"/>
          <w:b/>
          <w:bCs/>
          <w:sz w:val="22"/>
          <w:szCs w:val="22"/>
        </w:rPr>
        <w:t xml:space="preserve">Figure </w:t>
      </w:r>
      <w:r w:rsidR="00B6583D" w:rsidRPr="00B6583D">
        <w:rPr>
          <w:rFonts w:ascii="Segoe UI" w:hAnsi="Segoe UI" w:cs="Segoe UI"/>
          <w:b/>
          <w:bCs/>
          <w:sz w:val="22"/>
          <w:szCs w:val="22"/>
        </w:rPr>
        <w:t>17</w:t>
      </w:r>
      <w:r w:rsidR="00631800" w:rsidRPr="00B6583D">
        <w:rPr>
          <w:rFonts w:ascii="Segoe UI" w:hAnsi="Segoe UI" w:cs="Segoe UI"/>
          <w:sz w:val="22"/>
          <w:szCs w:val="22"/>
        </w:rPr>
        <w:t>)</w:t>
      </w:r>
      <w:r w:rsidR="00970DF3" w:rsidRPr="00B6583D">
        <w:rPr>
          <w:rFonts w:ascii="Segoe UI" w:hAnsi="Segoe UI" w:cs="Segoe UI"/>
          <w:sz w:val="22"/>
          <w:szCs w:val="22"/>
        </w:rPr>
        <w:t>.</w:t>
      </w:r>
      <w:r w:rsidR="00454674" w:rsidRPr="00B6583D">
        <w:rPr>
          <w:rFonts w:ascii="Segoe UI" w:hAnsi="Segoe UI" w:cs="Segoe UI"/>
          <w:sz w:val="22"/>
          <w:szCs w:val="22"/>
        </w:rPr>
        <w:t xml:space="preserve">  Alongside this, t</w:t>
      </w:r>
      <w:r w:rsidR="00454674" w:rsidRPr="00B6583D">
        <w:rPr>
          <w:rFonts w:ascii="Segoe UI" w:hAnsi="Segoe UI" w:cs="Segoe UI"/>
          <w:color w:val="242424"/>
          <w:sz w:val="22"/>
          <w:szCs w:val="22"/>
        </w:rPr>
        <w:t>he ratio between the number of job vacancies and the number of unemployed is stable at a high level (</w:t>
      </w:r>
      <w:r w:rsidR="00454674" w:rsidRPr="00B6583D">
        <w:rPr>
          <w:rFonts w:ascii="Segoe UI" w:hAnsi="Segoe UI" w:cs="Segoe UI"/>
          <w:b/>
          <w:bCs/>
          <w:color w:val="242424"/>
          <w:sz w:val="22"/>
          <w:szCs w:val="22"/>
        </w:rPr>
        <w:t xml:space="preserve">Figure </w:t>
      </w:r>
      <w:r w:rsidR="00B6583D" w:rsidRPr="00B6583D">
        <w:rPr>
          <w:rFonts w:ascii="Segoe UI" w:hAnsi="Segoe UI" w:cs="Segoe UI"/>
          <w:b/>
          <w:bCs/>
          <w:color w:val="242424"/>
          <w:sz w:val="22"/>
          <w:szCs w:val="22"/>
        </w:rPr>
        <w:t>16b</w:t>
      </w:r>
      <w:r w:rsidR="00454674" w:rsidRPr="00B6583D">
        <w:rPr>
          <w:rFonts w:ascii="Segoe UI" w:hAnsi="Segoe UI" w:cs="Segoe UI"/>
          <w:color w:val="242424"/>
          <w:sz w:val="22"/>
          <w:szCs w:val="22"/>
        </w:rPr>
        <w:t xml:space="preserve">).  </w:t>
      </w:r>
      <w:r w:rsidR="00454674" w:rsidRPr="00B6583D">
        <w:rPr>
          <w:rFonts w:ascii="Segoe UI" w:hAnsi="Segoe UI" w:cs="Segoe UI"/>
          <w:sz w:val="22"/>
          <w:szCs w:val="22"/>
        </w:rPr>
        <w:t>The job vacancy rate increased slightly to 4.6 percent in November (</w:t>
      </w:r>
      <w:r w:rsidR="00454674" w:rsidRPr="00B6583D">
        <w:rPr>
          <w:rFonts w:ascii="Segoe UI" w:hAnsi="Segoe UI" w:cs="Segoe UI"/>
          <w:b/>
          <w:bCs/>
          <w:sz w:val="22"/>
          <w:szCs w:val="22"/>
        </w:rPr>
        <w:t xml:space="preserve">Figure </w:t>
      </w:r>
      <w:r w:rsidR="00B6583D" w:rsidRPr="00B6583D">
        <w:rPr>
          <w:rFonts w:ascii="Segoe UI" w:hAnsi="Segoe UI" w:cs="Segoe UI"/>
          <w:b/>
          <w:bCs/>
          <w:sz w:val="22"/>
          <w:szCs w:val="22"/>
        </w:rPr>
        <w:t>16a</w:t>
      </w:r>
      <w:r w:rsidR="00454674" w:rsidRPr="00B6583D">
        <w:rPr>
          <w:rFonts w:ascii="Segoe UI" w:hAnsi="Segoe UI" w:cs="Segoe UI"/>
          <w:sz w:val="22"/>
          <w:szCs w:val="22"/>
        </w:rPr>
        <w:t>).</w:t>
      </w:r>
    </w:p>
    <w:p w:rsidR="00454674" w:rsidRPr="00B6583D" w:rsidRDefault="00454674" w:rsidP="00454674">
      <w:pPr>
        <w:ind w:right="-1"/>
        <w:jc w:val="both"/>
        <w:rPr>
          <w:rFonts w:ascii="Segoe UI" w:hAnsi="Segoe UI" w:cs="Segoe UI"/>
          <w:sz w:val="22"/>
          <w:szCs w:val="22"/>
        </w:rPr>
      </w:pPr>
    </w:p>
    <w:p w:rsidR="00454674" w:rsidRPr="00B6583D" w:rsidRDefault="00454674" w:rsidP="00454674">
      <w:pPr>
        <w:ind w:right="-1"/>
        <w:jc w:val="both"/>
        <w:rPr>
          <w:rFonts w:ascii="Segoe UI" w:hAnsi="Segoe UI" w:cs="Segoe UI"/>
          <w:sz w:val="22"/>
          <w:szCs w:val="22"/>
        </w:rPr>
      </w:pPr>
      <w:r w:rsidRPr="00B6583D">
        <w:rPr>
          <w:rFonts w:ascii="Segoe UI" w:hAnsi="Segoe UI" w:cs="Segoe UI"/>
          <w:sz w:val="22"/>
          <w:szCs w:val="22"/>
        </w:rPr>
        <w:t>In the housing market, the downward trend in home prices continued.  Home prices declined by 0.5 percent in September–October, and the annual pace of increase in home prices slowed to 0.1 percent (</w:t>
      </w:r>
      <w:r w:rsidRPr="00B6583D">
        <w:rPr>
          <w:rFonts w:ascii="Segoe UI" w:hAnsi="Segoe UI" w:cs="Segoe UI"/>
          <w:b/>
          <w:bCs/>
          <w:sz w:val="22"/>
          <w:szCs w:val="22"/>
        </w:rPr>
        <w:t>Figure 8</w:t>
      </w:r>
      <w:r w:rsidRPr="00B6583D">
        <w:rPr>
          <w:rFonts w:ascii="Segoe UI" w:hAnsi="Segoe UI" w:cs="Segoe UI"/>
          <w:sz w:val="22"/>
          <w:szCs w:val="22"/>
        </w:rPr>
        <w:t>). The number of housing transactions declined in October, and the stock of unsold new homes remains high.  Mortgage borrowing totaled about NIS 9 billion in November (</w:t>
      </w:r>
      <w:r w:rsidRPr="00B6583D">
        <w:rPr>
          <w:rFonts w:ascii="Segoe UI" w:hAnsi="Segoe UI" w:cs="Segoe UI"/>
          <w:b/>
          <w:bCs/>
          <w:sz w:val="22"/>
          <w:szCs w:val="22"/>
        </w:rPr>
        <w:t>Figure 9</w:t>
      </w:r>
      <w:r w:rsidRPr="00B6583D">
        <w:rPr>
          <w:rFonts w:ascii="Segoe UI" w:hAnsi="Segoe UI" w:cs="Segoe UI"/>
          <w:sz w:val="22"/>
          <w:szCs w:val="22"/>
        </w:rPr>
        <w:t>). The annual pace of increase in the owner-occupied housing services component (rent in new and renewing contracts) declined to 2.6 percent in November, from 3.1 percent in October.  The pace of increase in contracts where the tenant changed declined from 5.5 percent in October to 4.7 percent in November</w:t>
      </w:r>
    </w:p>
    <w:p w:rsidR="0044662E" w:rsidRPr="00B6583D" w:rsidRDefault="0044662E" w:rsidP="00BD7538">
      <w:pPr>
        <w:ind w:right="-1"/>
        <w:jc w:val="both"/>
        <w:rPr>
          <w:rFonts w:ascii="Segoe UI" w:hAnsi="Segoe UI" w:cs="Segoe UI"/>
          <w:sz w:val="22"/>
          <w:szCs w:val="22"/>
        </w:rPr>
      </w:pPr>
    </w:p>
    <w:p w:rsidR="00E41E5A" w:rsidRPr="00B6583D" w:rsidRDefault="00454674" w:rsidP="00B6583D">
      <w:pPr>
        <w:ind w:right="-1"/>
        <w:jc w:val="both"/>
        <w:rPr>
          <w:rFonts w:ascii="Segoe UI" w:hAnsi="Segoe UI" w:cs="Segoe UI"/>
          <w:sz w:val="22"/>
          <w:szCs w:val="22"/>
        </w:rPr>
      </w:pPr>
      <w:r w:rsidRPr="00B6583D">
        <w:rPr>
          <w:rFonts w:ascii="Segoe UI" w:hAnsi="Segoe UI" w:cs="Segoe UI"/>
          <w:sz w:val="22"/>
          <w:szCs w:val="22"/>
        </w:rPr>
        <w:t>Alongside this, t</w:t>
      </w:r>
      <w:r w:rsidR="00E41E5A" w:rsidRPr="00B6583D">
        <w:rPr>
          <w:rFonts w:ascii="Segoe UI" w:hAnsi="Segoe UI" w:cs="Segoe UI"/>
          <w:sz w:val="22"/>
          <w:szCs w:val="22"/>
        </w:rPr>
        <w:t xml:space="preserve">he level of activity in the construction industry is high.  According to Central Bureau of Statistics data, the annual pace of building starts continued to increase in the third quarter, to about 81,000 residential units—an increase of about 31 percent relative to the previous four quarters.  Land purchases by contractors in Israel Land Authority tenders </w:t>
      </w:r>
      <w:r w:rsidR="00670178" w:rsidRPr="00B6583D">
        <w:rPr>
          <w:rFonts w:ascii="Segoe UI" w:hAnsi="Segoe UI" w:cs="Segoe UI"/>
          <w:sz w:val="22"/>
          <w:szCs w:val="22"/>
        </w:rPr>
        <w:t>continued at high</w:t>
      </w:r>
      <w:r w:rsidR="00E41E5A" w:rsidRPr="00B6583D">
        <w:rPr>
          <w:rFonts w:ascii="Segoe UI" w:hAnsi="Segoe UI" w:cs="Segoe UI"/>
          <w:sz w:val="22"/>
          <w:szCs w:val="22"/>
        </w:rPr>
        <w:t xml:space="preserve"> levels in 2025, particularly toward the end of the year.  In contrast, building completions totaled about 58,000 residential units, an increase of about 4.3 percent relative to the previous four quarters. (</w:t>
      </w:r>
      <w:r w:rsidR="00E41E5A" w:rsidRPr="00B6583D">
        <w:rPr>
          <w:rFonts w:ascii="Segoe UI" w:hAnsi="Segoe UI" w:cs="Segoe UI"/>
          <w:b/>
          <w:bCs/>
          <w:sz w:val="22"/>
          <w:szCs w:val="22"/>
        </w:rPr>
        <w:t xml:space="preserve">Figure </w:t>
      </w:r>
      <w:r w:rsidR="00B6583D" w:rsidRPr="00B6583D">
        <w:rPr>
          <w:rFonts w:ascii="Segoe UI" w:hAnsi="Segoe UI" w:cs="Segoe UI"/>
          <w:b/>
          <w:bCs/>
          <w:sz w:val="22"/>
          <w:szCs w:val="22"/>
        </w:rPr>
        <w:t>19</w:t>
      </w:r>
      <w:r w:rsidR="00E41E5A" w:rsidRPr="00B6583D">
        <w:rPr>
          <w:rFonts w:ascii="Segoe UI" w:hAnsi="Segoe UI" w:cs="Segoe UI"/>
          <w:sz w:val="22"/>
          <w:szCs w:val="22"/>
        </w:rPr>
        <w:t xml:space="preserve">).  The gap between building starts and building completions is mainly due to the increase in the average construction time, which reached 37 months.  In part, this reflects the shortage of workers in this industry during the war.  </w:t>
      </w:r>
    </w:p>
    <w:p w:rsidR="00E41E5A" w:rsidRPr="00B6583D" w:rsidRDefault="00E41E5A" w:rsidP="00E41E5A">
      <w:pPr>
        <w:ind w:right="-1"/>
        <w:jc w:val="both"/>
        <w:rPr>
          <w:rFonts w:ascii="Segoe UI" w:hAnsi="Segoe UI" w:cs="Segoe UI"/>
          <w:sz w:val="22"/>
          <w:szCs w:val="22"/>
        </w:rPr>
      </w:pPr>
    </w:p>
    <w:p w:rsidR="005D299B" w:rsidRPr="00B6583D" w:rsidRDefault="00454674" w:rsidP="00670178">
      <w:pPr>
        <w:ind w:right="-1"/>
        <w:jc w:val="both"/>
        <w:rPr>
          <w:rFonts w:ascii="Segoe UI" w:hAnsi="Segoe UI" w:cs="Segoe UI"/>
          <w:sz w:val="22"/>
          <w:szCs w:val="22"/>
        </w:rPr>
      </w:pPr>
      <w:r w:rsidRPr="00B6583D">
        <w:rPr>
          <w:rFonts w:ascii="Segoe UI" w:hAnsi="Segoe UI" w:cs="Segoe UI"/>
          <w:sz w:val="22"/>
          <w:szCs w:val="22"/>
        </w:rPr>
        <w:t>Israel equity indices increased d</w:t>
      </w:r>
      <w:r w:rsidR="00E41E5A" w:rsidRPr="00B6583D">
        <w:rPr>
          <w:rFonts w:ascii="Segoe UI" w:hAnsi="Segoe UI" w:cs="Segoe UI"/>
          <w:sz w:val="22"/>
          <w:szCs w:val="22"/>
        </w:rPr>
        <w:t xml:space="preserve">uring </w:t>
      </w:r>
      <w:r w:rsidR="00F450FC" w:rsidRPr="00B6583D">
        <w:rPr>
          <w:rFonts w:ascii="Segoe UI" w:hAnsi="Segoe UI" w:cs="Segoe UI"/>
          <w:sz w:val="22"/>
          <w:szCs w:val="22"/>
        </w:rPr>
        <w:t>the reviewed period</w:t>
      </w:r>
      <w:r w:rsidRPr="00B6583D">
        <w:rPr>
          <w:rFonts w:ascii="Segoe UI" w:hAnsi="Segoe UI" w:cs="Segoe UI"/>
          <w:sz w:val="22"/>
          <w:szCs w:val="22"/>
        </w:rPr>
        <w:t xml:space="preserve">, and </w:t>
      </w:r>
      <w:r w:rsidR="00670178" w:rsidRPr="00B6583D">
        <w:rPr>
          <w:rFonts w:ascii="Segoe UI" w:hAnsi="Segoe UI" w:cs="Segoe UI"/>
          <w:sz w:val="22"/>
          <w:szCs w:val="22"/>
        </w:rPr>
        <w:t>outperformed</w:t>
      </w:r>
      <w:r w:rsidRPr="00B6583D">
        <w:rPr>
          <w:rFonts w:ascii="Segoe UI" w:hAnsi="Segoe UI" w:cs="Segoe UI"/>
          <w:sz w:val="22"/>
          <w:szCs w:val="22"/>
        </w:rPr>
        <w:t xml:space="preserve"> the rest of the world</w:t>
      </w:r>
      <w:r w:rsidR="00456ADD" w:rsidRPr="00B6583D">
        <w:rPr>
          <w:rFonts w:ascii="Segoe UI" w:hAnsi="Segoe UI" w:cs="Segoe UI"/>
          <w:sz w:val="22"/>
          <w:szCs w:val="22"/>
        </w:rPr>
        <w:t xml:space="preserve"> (</w:t>
      </w:r>
      <w:r w:rsidR="00456ADD" w:rsidRPr="00B6583D">
        <w:rPr>
          <w:rFonts w:ascii="Segoe UI" w:hAnsi="Segoe UI" w:cs="Segoe UI"/>
          <w:b/>
          <w:bCs/>
          <w:sz w:val="22"/>
          <w:szCs w:val="22"/>
        </w:rPr>
        <w:t xml:space="preserve">Figure </w:t>
      </w:r>
      <w:r w:rsidR="000D73D6" w:rsidRPr="00B6583D">
        <w:rPr>
          <w:rFonts w:ascii="Segoe UI" w:hAnsi="Segoe UI" w:cs="Segoe UI"/>
          <w:b/>
          <w:bCs/>
          <w:sz w:val="22"/>
          <w:szCs w:val="22"/>
        </w:rPr>
        <w:t>2</w:t>
      </w:r>
      <w:r w:rsidR="000A1EAB" w:rsidRPr="00B6583D">
        <w:rPr>
          <w:rFonts w:ascii="Segoe UI" w:hAnsi="Segoe UI" w:cs="Segoe UI"/>
          <w:b/>
          <w:bCs/>
          <w:sz w:val="22"/>
          <w:szCs w:val="22"/>
        </w:rPr>
        <w:t>8</w:t>
      </w:r>
      <w:r w:rsidR="00456ADD" w:rsidRPr="00B6583D">
        <w:rPr>
          <w:rFonts w:ascii="Segoe UI" w:hAnsi="Segoe UI" w:cs="Segoe UI"/>
          <w:sz w:val="22"/>
          <w:szCs w:val="22"/>
        </w:rPr>
        <w:t>).</w:t>
      </w:r>
      <w:r w:rsidR="000E6DF7" w:rsidRPr="00B6583D">
        <w:rPr>
          <w:rFonts w:ascii="Segoe UI" w:hAnsi="Segoe UI" w:cs="Segoe UI"/>
          <w:sz w:val="22"/>
          <w:szCs w:val="22"/>
        </w:rPr>
        <w:t xml:space="preserve"> </w:t>
      </w:r>
      <w:r w:rsidR="006C73A9" w:rsidRPr="00B6583D">
        <w:rPr>
          <w:rFonts w:ascii="Segoe UI" w:hAnsi="Segoe UI" w:cs="Segoe UI"/>
          <w:sz w:val="22"/>
          <w:szCs w:val="22"/>
        </w:rPr>
        <w:t xml:space="preserve">Israel’s risk premium, as </w:t>
      </w:r>
      <w:r w:rsidR="00AE0DC2" w:rsidRPr="00B6583D">
        <w:rPr>
          <w:rFonts w:ascii="Segoe UI" w:hAnsi="Segoe UI" w:cs="Segoe UI"/>
          <w:sz w:val="22"/>
          <w:szCs w:val="22"/>
        </w:rPr>
        <w:t xml:space="preserve">measured by the </w:t>
      </w:r>
      <w:r w:rsidR="00D94DEC" w:rsidRPr="00B6583D">
        <w:rPr>
          <w:rFonts w:ascii="Segoe UI" w:hAnsi="Segoe UI" w:cs="Segoe UI"/>
          <w:sz w:val="22"/>
          <w:szCs w:val="22"/>
        </w:rPr>
        <w:t>CDS spread</w:t>
      </w:r>
      <w:r w:rsidR="00C43724" w:rsidRPr="00B6583D">
        <w:rPr>
          <w:rFonts w:ascii="Segoe UI" w:hAnsi="Segoe UI" w:cs="Segoe UI"/>
          <w:sz w:val="22"/>
          <w:szCs w:val="22"/>
        </w:rPr>
        <w:t xml:space="preserve">, </w:t>
      </w:r>
      <w:r w:rsidR="00125B4C" w:rsidRPr="00B6583D">
        <w:rPr>
          <w:rFonts w:ascii="Segoe UI" w:hAnsi="Segoe UI" w:cs="Segoe UI"/>
          <w:sz w:val="22"/>
          <w:szCs w:val="22"/>
        </w:rPr>
        <w:t xml:space="preserve">is close to </w:t>
      </w:r>
      <w:r w:rsidR="00F450FC" w:rsidRPr="00B6583D">
        <w:rPr>
          <w:rFonts w:ascii="Segoe UI" w:hAnsi="Segoe UI" w:cs="Segoe UI"/>
          <w:sz w:val="22"/>
          <w:szCs w:val="22"/>
        </w:rPr>
        <w:t>its</w:t>
      </w:r>
      <w:r w:rsidR="00C43724" w:rsidRPr="00B6583D">
        <w:rPr>
          <w:rFonts w:ascii="Segoe UI" w:hAnsi="Segoe UI" w:cs="Segoe UI"/>
          <w:sz w:val="22"/>
          <w:szCs w:val="22"/>
        </w:rPr>
        <w:t xml:space="preserve"> prewar </w:t>
      </w:r>
      <w:r w:rsidR="00F450FC" w:rsidRPr="00B6583D">
        <w:rPr>
          <w:rFonts w:ascii="Segoe UI" w:hAnsi="Segoe UI" w:cs="Segoe UI"/>
          <w:sz w:val="22"/>
          <w:szCs w:val="22"/>
        </w:rPr>
        <w:t>level</w:t>
      </w:r>
      <w:r w:rsidR="00D94DEC" w:rsidRPr="00B6583D">
        <w:rPr>
          <w:rFonts w:ascii="Segoe UI" w:hAnsi="Segoe UI" w:cs="Segoe UI"/>
          <w:sz w:val="22"/>
          <w:szCs w:val="22"/>
        </w:rPr>
        <w:t xml:space="preserve">.  The spreads on dollar-denominated </w:t>
      </w:r>
      <w:r w:rsidR="00F450FC" w:rsidRPr="00B6583D">
        <w:rPr>
          <w:rFonts w:ascii="Segoe UI" w:hAnsi="Segoe UI" w:cs="Segoe UI"/>
          <w:sz w:val="22"/>
          <w:szCs w:val="22"/>
        </w:rPr>
        <w:t xml:space="preserve">and shekel-denominated </w:t>
      </w:r>
      <w:r w:rsidR="00D94DEC" w:rsidRPr="00B6583D">
        <w:rPr>
          <w:rFonts w:ascii="Segoe UI" w:hAnsi="Segoe UI" w:cs="Segoe UI"/>
          <w:sz w:val="22"/>
          <w:szCs w:val="22"/>
        </w:rPr>
        <w:t xml:space="preserve">government bonds </w:t>
      </w:r>
      <w:r w:rsidR="00125B4C" w:rsidRPr="00B6583D">
        <w:rPr>
          <w:rFonts w:ascii="Segoe UI" w:hAnsi="Segoe UI" w:cs="Segoe UI"/>
          <w:sz w:val="22"/>
          <w:szCs w:val="22"/>
        </w:rPr>
        <w:t>vis-à-vis US Treasuries were virtually unchanged</w:t>
      </w:r>
      <w:r w:rsidR="00F450FC" w:rsidRPr="00B6583D">
        <w:rPr>
          <w:rFonts w:ascii="Segoe UI" w:hAnsi="Segoe UI" w:cs="Segoe UI"/>
          <w:sz w:val="22"/>
          <w:szCs w:val="22"/>
        </w:rPr>
        <w:t xml:space="preserve"> </w:t>
      </w:r>
      <w:r w:rsidR="00075EFC" w:rsidRPr="00B6583D">
        <w:rPr>
          <w:rFonts w:ascii="Segoe UI" w:hAnsi="Segoe UI" w:cs="Segoe UI"/>
          <w:sz w:val="22"/>
          <w:szCs w:val="22"/>
        </w:rPr>
        <w:t>(</w:t>
      </w:r>
      <w:r w:rsidR="00075EFC" w:rsidRPr="00B6583D">
        <w:rPr>
          <w:rFonts w:ascii="Segoe UI" w:hAnsi="Segoe UI" w:cs="Segoe UI"/>
          <w:b/>
          <w:bCs/>
          <w:sz w:val="22"/>
          <w:szCs w:val="22"/>
        </w:rPr>
        <w:t>Figure</w:t>
      </w:r>
      <w:r w:rsidR="001B3203" w:rsidRPr="00B6583D">
        <w:rPr>
          <w:rFonts w:ascii="Segoe UI" w:hAnsi="Segoe UI" w:cs="Segoe UI"/>
          <w:b/>
          <w:bCs/>
          <w:sz w:val="22"/>
          <w:szCs w:val="22"/>
        </w:rPr>
        <w:t>s</w:t>
      </w:r>
      <w:r w:rsidR="00075EFC" w:rsidRPr="00B6583D">
        <w:rPr>
          <w:rFonts w:ascii="Segoe UI" w:hAnsi="Segoe UI" w:cs="Segoe UI"/>
          <w:b/>
          <w:bCs/>
          <w:sz w:val="22"/>
          <w:szCs w:val="22"/>
        </w:rPr>
        <w:t xml:space="preserve"> </w:t>
      </w:r>
      <w:r w:rsidR="000A1EAB" w:rsidRPr="00B6583D">
        <w:rPr>
          <w:rFonts w:ascii="Segoe UI" w:hAnsi="Segoe UI" w:cs="Segoe UI"/>
          <w:b/>
          <w:bCs/>
          <w:sz w:val="22"/>
          <w:szCs w:val="22"/>
        </w:rPr>
        <w:t>29</w:t>
      </w:r>
      <w:r w:rsidR="00FE6425" w:rsidRPr="00B6583D">
        <w:rPr>
          <w:rFonts w:ascii="Segoe UI" w:hAnsi="Segoe UI" w:cs="Segoe UI"/>
          <w:b/>
          <w:bCs/>
          <w:sz w:val="22"/>
          <w:szCs w:val="22"/>
        </w:rPr>
        <w:t>a-b</w:t>
      </w:r>
      <w:r w:rsidR="00075EFC" w:rsidRPr="00B6583D">
        <w:rPr>
          <w:rFonts w:ascii="Segoe UI" w:hAnsi="Segoe UI" w:cs="Segoe UI"/>
          <w:sz w:val="22"/>
          <w:szCs w:val="22"/>
        </w:rPr>
        <w:t>)</w:t>
      </w:r>
      <w:r w:rsidR="00AE0DC2" w:rsidRPr="00B6583D">
        <w:rPr>
          <w:rFonts w:ascii="Segoe UI" w:hAnsi="Segoe UI" w:cs="Segoe UI"/>
          <w:sz w:val="22"/>
          <w:szCs w:val="22"/>
        </w:rPr>
        <w:t>.</w:t>
      </w:r>
      <w:r w:rsidR="006C73A9" w:rsidRPr="00B6583D">
        <w:rPr>
          <w:rFonts w:ascii="Segoe UI" w:hAnsi="Segoe UI" w:cs="Segoe UI"/>
          <w:sz w:val="22"/>
          <w:szCs w:val="22"/>
        </w:rPr>
        <w:t xml:space="preserve">  </w:t>
      </w:r>
      <w:r w:rsidR="003A7972" w:rsidRPr="00B6583D">
        <w:rPr>
          <w:rFonts w:ascii="Segoe UI" w:hAnsi="Segoe UI" w:cs="Segoe UI"/>
          <w:sz w:val="22"/>
          <w:szCs w:val="22"/>
        </w:rPr>
        <w:t>Bus</w:t>
      </w:r>
      <w:r w:rsidR="00E7258E" w:rsidRPr="00B6583D">
        <w:rPr>
          <w:rFonts w:ascii="Segoe UI" w:hAnsi="Segoe UI" w:cs="Segoe UI"/>
          <w:sz w:val="22"/>
          <w:szCs w:val="22"/>
        </w:rPr>
        <w:t>iness</w:t>
      </w:r>
      <w:r w:rsidR="00156B47" w:rsidRPr="00B6583D">
        <w:rPr>
          <w:rFonts w:ascii="Segoe UI" w:hAnsi="Segoe UI" w:cs="Segoe UI"/>
          <w:sz w:val="22"/>
          <w:szCs w:val="22"/>
        </w:rPr>
        <w:t xml:space="preserve"> </w:t>
      </w:r>
      <w:r w:rsidR="00E7258E" w:rsidRPr="00B6583D">
        <w:rPr>
          <w:rFonts w:ascii="Segoe UI" w:hAnsi="Segoe UI" w:cs="Segoe UI"/>
          <w:sz w:val="22"/>
          <w:szCs w:val="22"/>
        </w:rPr>
        <w:t xml:space="preserve">credit </w:t>
      </w:r>
      <w:r w:rsidR="00F450FC" w:rsidRPr="00B6583D">
        <w:rPr>
          <w:rFonts w:ascii="Segoe UI" w:hAnsi="Segoe UI" w:cs="Segoe UI"/>
          <w:sz w:val="22"/>
          <w:szCs w:val="22"/>
        </w:rPr>
        <w:t xml:space="preserve">continued to </w:t>
      </w:r>
      <w:r w:rsidR="00E7258E" w:rsidRPr="00B6583D">
        <w:rPr>
          <w:rFonts w:ascii="Segoe UI" w:hAnsi="Segoe UI" w:cs="Segoe UI"/>
          <w:sz w:val="22"/>
          <w:szCs w:val="22"/>
        </w:rPr>
        <w:t>expand,</w:t>
      </w:r>
      <w:r w:rsidR="00F450FC" w:rsidRPr="00B6583D">
        <w:rPr>
          <w:rFonts w:ascii="Segoe UI" w:hAnsi="Segoe UI" w:cs="Segoe UI"/>
          <w:sz w:val="22"/>
          <w:szCs w:val="22"/>
        </w:rPr>
        <w:t xml:space="preserve"> led by credit </w:t>
      </w:r>
      <w:r w:rsidR="00125B4C" w:rsidRPr="00B6583D">
        <w:rPr>
          <w:rFonts w:ascii="Segoe UI" w:hAnsi="Segoe UI" w:cs="Segoe UI"/>
          <w:sz w:val="22"/>
          <w:szCs w:val="22"/>
        </w:rPr>
        <w:t>from banks</w:t>
      </w:r>
      <w:r w:rsidR="00F450FC" w:rsidRPr="00B6583D">
        <w:rPr>
          <w:rFonts w:ascii="Segoe UI" w:hAnsi="Segoe UI" w:cs="Segoe UI"/>
          <w:sz w:val="22"/>
          <w:szCs w:val="22"/>
        </w:rPr>
        <w:t xml:space="preserve">. </w:t>
      </w:r>
      <w:r w:rsidR="00125B4C" w:rsidRPr="00B6583D">
        <w:rPr>
          <w:rFonts w:ascii="Segoe UI" w:hAnsi="Segoe UI" w:cs="Segoe UI"/>
          <w:sz w:val="22"/>
          <w:szCs w:val="22"/>
        </w:rPr>
        <w:t>Consumer credit to households expanded, with an increase in credit from all sources.</w:t>
      </w:r>
      <w:r w:rsidR="00C12344" w:rsidRPr="00B6583D">
        <w:rPr>
          <w:rFonts w:ascii="Segoe UI" w:hAnsi="Segoe UI" w:cs="Segoe UI"/>
          <w:sz w:val="22"/>
          <w:szCs w:val="22"/>
        </w:rPr>
        <w:t xml:space="preserve">  </w:t>
      </w:r>
      <w:r w:rsidRPr="00B6583D">
        <w:rPr>
          <w:rFonts w:ascii="Segoe UI" w:hAnsi="Segoe UI" w:cs="Segoe UI"/>
          <w:sz w:val="22"/>
          <w:szCs w:val="22"/>
        </w:rPr>
        <w:t xml:space="preserve">Late </w:t>
      </w:r>
      <w:r w:rsidRPr="00B6583D">
        <w:rPr>
          <w:rFonts w:ascii="Segoe UI" w:hAnsi="Segoe UI" w:cs="Segoe UI"/>
          <w:sz w:val="22"/>
          <w:szCs w:val="22"/>
        </w:rPr>
        <w:lastRenderedPageBreak/>
        <w:t xml:space="preserve">payment rates in all activity segments remained low. </w:t>
      </w:r>
      <w:r w:rsidR="00C12344" w:rsidRPr="00B6583D">
        <w:rPr>
          <w:rFonts w:ascii="Segoe UI" w:hAnsi="Segoe UI" w:cs="Segoe UI"/>
          <w:sz w:val="22"/>
          <w:szCs w:val="22"/>
        </w:rPr>
        <w:t xml:space="preserve">According to the Central Bureau of Statistics Business Tendency Survey for </w:t>
      </w:r>
      <w:r w:rsidR="00125B4C" w:rsidRPr="00B6583D">
        <w:rPr>
          <w:rFonts w:ascii="Segoe UI" w:hAnsi="Segoe UI" w:cs="Segoe UI"/>
          <w:sz w:val="22"/>
          <w:szCs w:val="22"/>
        </w:rPr>
        <w:t>Novem</w:t>
      </w:r>
      <w:r w:rsidR="00F450FC" w:rsidRPr="00B6583D">
        <w:rPr>
          <w:rFonts w:ascii="Segoe UI" w:hAnsi="Segoe UI" w:cs="Segoe UI"/>
          <w:sz w:val="22"/>
          <w:szCs w:val="22"/>
        </w:rPr>
        <w:t>ber</w:t>
      </w:r>
      <w:r w:rsidR="00C12344" w:rsidRPr="00B6583D">
        <w:rPr>
          <w:rFonts w:ascii="Segoe UI" w:hAnsi="Segoe UI" w:cs="Segoe UI"/>
          <w:sz w:val="22"/>
          <w:szCs w:val="22"/>
        </w:rPr>
        <w:t xml:space="preserve">, </w:t>
      </w:r>
      <w:r w:rsidR="00125B4C" w:rsidRPr="00B6583D">
        <w:rPr>
          <w:rFonts w:ascii="Segoe UI" w:hAnsi="Segoe UI" w:cs="Segoe UI"/>
          <w:sz w:val="22"/>
          <w:szCs w:val="22"/>
        </w:rPr>
        <w:t>access to credit remained relatively high</w:t>
      </w:r>
      <w:r w:rsidR="00C12344" w:rsidRPr="00B6583D">
        <w:rPr>
          <w:rFonts w:ascii="Segoe UI" w:hAnsi="Segoe UI" w:cs="Segoe UI"/>
          <w:sz w:val="22"/>
          <w:szCs w:val="22"/>
        </w:rPr>
        <w:t xml:space="preserve"> (</w:t>
      </w:r>
      <w:r w:rsidR="00C12344" w:rsidRPr="00B6583D">
        <w:rPr>
          <w:rFonts w:ascii="Segoe UI" w:hAnsi="Segoe UI" w:cs="Segoe UI"/>
          <w:b/>
          <w:bCs/>
          <w:sz w:val="22"/>
          <w:szCs w:val="22"/>
        </w:rPr>
        <w:t xml:space="preserve">Figure </w:t>
      </w:r>
      <w:r w:rsidR="00631800" w:rsidRPr="00B6583D">
        <w:rPr>
          <w:rFonts w:ascii="Segoe UI" w:hAnsi="Segoe UI" w:cs="Segoe UI"/>
          <w:b/>
          <w:bCs/>
          <w:sz w:val="22"/>
          <w:szCs w:val="22"/>
        </w:rPr>
        <w:t>2</w:t>
      </w:r>
      <w:r w:rsidR="000A1EAB" w:rsidRPr="00B6583D">
        <w:rPr>
          <w:rFonts w:ascii="Segoe UI" w:hAnsi="Segoe UI" w:cs="Segoe UI"/>
          <w:b/>
          <w:bCs/>
          <w:sz w:val="22"/>
          <w:szCs w:val="22"/>
        </w:rPr>
        <w:t>7</w:t>
      </w:r>
      <w:r w:rsidR="00B6583D" w:rsidRPr="00B6583D">
        <w:rPr>
          <w:rFonts w:ascii="Segoe UI" w:hAnsi="Segoe UI" w:cs="Segoe UI"/>
          <w:b/>
          <w:bCs/>
          <w:sz w:val="22"/>
          <w:szCs w:val="22"/>
        </w:rPr>
        <w:t>a-b</w:t>
      </w:r>
      <w:r w:rsidR="00C12344" w:rsidRPr="00B6583D">
        <w:rPr>
          <w:rFonts w:ascii="Segoe UI" w:hAnsi="Segoe UI" w:cs="Segoe UI"/>
          <w:sz w:val="22"/>
          <w:szCs w:val="22"/>
        </w:rPr>
        <w:t>).</w:t>
      </w:r>
    </w:p>
    <w:p w:rsidR="000308DE" w:rsidRPr="00B6583D" w:rsidRDefault="000308DE" w:rsidP="006075EE">
      <w:pPr>
        <w:ind w:right="265"/>
        <w:jc w:val="both"/>
        <w:rPr>
          <w:rFonts w:ascii="Segoe UI" w:hAnsi="Segoe UI" w:cs="Segoe UI"/>
          <w:sz w:val="22"/>
          <w:szCs w:val="22"/>
        </w:rPr>
      </w:pPr>
    </w:p>
    <w:p w:rsidR="003A7972" w:rsidRPr="00B6583D" w:rsidRDefault="00463141" w:rsidP="00D93A32">
      <w:pPr>
        <w:pStyle w:val="NormalWeb"/>
        <w:shd w:val="clear" w:color="auto" w:fill="FFFFFF"/>
        <w:spacing w:before="0" w:beforeAutospacing="0" w:after="240" w:afterAutospacing="0"/>
        <w:jc w:val="both"/>
        <w:rPr>
          <w:rFonts w:ascii="Segoe UI" w:hAnsi="Segoe UI" w:cs="Segoe UI"/>
          <w:color w:val="242424"/>
          <w:sz w:val="22"/>
          <w:szCs w:val="22"/>
        </w:rPr>
      </w:pPr>
      <w:r w:rsidRPr="00B6583D">
        <w:rPr>
          <w:rFonts w:ascii="Segoe UI" w:hAnsi="Segoe UI" w:cs="Segoe UI"/>
          <w:color w:val="242424"/>
          <w:sz w:val="22"/>
          <w:szCs w:val="22"/>
        </w:rPr>
        <w:t>G</w:t>
      </w:r>
      <w:r w:rsidR="00AC2CE8" w:rsidRPr="00B6583D">
        <w:rPr>
          <w:rFonts w:ascii="Segoe UI" w:hAnsi="Segoe UI" w:cs="Segoe UI"/>
          <w:color w:val="242424"/>
          <w:sz w:val="22"/>
          <w:szCs w:val="22"/>
        </w:rPr>
        <w:t xml:space="preserve">lobal economic activity </w:t>
      </w:r>
      <w:r w:rsidR="00864070" w:rsidRPr="00B6583D">
        <w:rPr>
          <w:rFonts w:ascii="Segoe UI" w:hAnsi="Segoe UI" w:cs="Segoe UI"/>
          <w:color w:val="242424"/>
          <w:sz w:val="22"/>
          <w:szCs w:val="22"/>
        </w:rPr>
        <w:t xml:space="preserve">continues to expand moderately.  The global growth forecast </w:t>
      </w:r>
      <w:r w:rsidR="00D93A32" w:rsidRPr="00B6583D">
        <w:rPr>
          <w:rFonts w:ascii="Segoe UI" w:hAnsi="Segoe UI" w:cs="Segoe UI"/>
          <w:color w:val="242424"/>
          <w:sz w:val="22"/>
          <w:szCs w:val="22"/>
        </w:rPr>
        <w:t xml:space="preserve">projects growth of about 3.0 percent </w:t>
      </w:r>
      <w:r w:rsidR="00864070" w:rsidRPr="00B6583D">
        <w:rPr>
          <w:rFonts w:ascii="Segoe UI" w:hAnsi="Segoe UI" w:cs="Segoe UI"/>
          <w:color w:val="242424"/>
          <w:sz w:val="22"/>
          <w:szCs w:val="22"/>
        </w:rPr>
        <w:t>for 2025</w:t>
      </w:r>
      <w:r w:rsidR="00D93A32" w:rsidRPr="00B6583D">
        <w:rPr>
          <w:rFonts w:ascii="Segoe UI" w:hAnsi="Segoe UI" w:cs="Segoe UI"/>
          <w:color w:val="242424"/>
          <w:sz w:val="22"/>
          <w:szCs w:val="22"/>
        </w:rPr>
        <w:t xml:space="preserve"> and 2.9 percent for 2026</w:t>
      </w:r>
      <w:r w:rsidR="00864070" w:rsidRPr="00B6583D">
        <w:rPr>
          <w:rFonts w:ascii="Segoe UI" w:hAnsi="Segoe UI" w:cs="Segoe UI"/>
          <w:color w:val="242424"/>
          <w:sz w:val="22"/>
          <w:szCs w:val="22"/>
        </w:rPr>
        <w:t xml:space="preserve"> </w:t>
      </w:r>
      <w:r w:rsidR="000D73D6" w:rsidRPr="00B6583D">
        <w:rPr>
          <w:rFonts w:ascii="Segoe UI" w:hAnsi="Segoe UI" w:cs="Segoe UI"/>
          <w:color w:val="242424"/>
          <w:sz w:val="22"/>
          <w:szCs w:val="22"/>
        </w:rPr>
        <w:t>(</w:t>
      </w:r>
      <w:r w:rsidR="000D73D6" w:rsidRPr="00B6583D">
        <w:rPr>
          <w:rFonts w:ascii="Segoe UI" w:hAnsi="Segoe UI" w:cs="Segoe UI"/>
          <w:b/>
          <w:bCs/>
          <w:color w:val="242424"/>
          <w:sz w:val="22"/>
          <w:szCs w:val="22"/>
        </w:rPr>
        <w:t>Figure 3</w:t>
      </w:r>
      <w:r w:rsidR="000A1EAB" w:rsidRPr="00B6583D">
        <w:rPr>
          <w:rFonts w:ascii="Segoe UI" w:hAnsi="Segoe UI" w:cs="Segoe UI"/>
          <w:b/>
          <w:bCs/>
          <w:color w:val="242424"/>
          <w:sz w:val="22"/>
          <w:szCs w:val="22"/>
        </w:rPr>
        <w:t>0</w:t>
      </w:r>
      <w:r w:rsidR="000D73D6" w:rsidRPr="00B6583D">
        <w:rPr>
          <w:rFonts w:ascii="Segoe UI" w:hAnsi="Segoe UI" w:cs="Segoe UI"/>
          <w:color w:val="242424"/>
          <w:sz w:val="22"/>
          <w:szCs w:val="22"/>
        </w:rPr>
        <w:t>)</w:t>
      </w:r>
      <w:r w:rsidR="00D93A32" w:rsidRPr="00B6583D">
        <w:rPr>
          <w:rFonts w:ascii="Segoe UI" w:hAnsi="Segoe UI" w:cs="Segoe UI"/>
          <w:color w:val="242424"/>
          <w:sz w:val="22"/>
          <w:szCs w:val="22"/>
        </w:rPr>
        <w:t>. Global inflation continues to moderate slowly, mainly thanks to a decline in energy prices and relative calm in the trade war.</w:t>
      </w:r>
      <w:r w:rsidRPr="00B6583D">
        <w:rPr>
          <w:rFonts w:ascii="Segoe UI" w:hAnsi="Segoe UI" w:cs="Segoe UI"/>
          <w:color w:val="242424"/>
          <w:sz w:val="22"/>
          <w:szCs w:val="22"/>
        </w:rPr>
        <w:t xml:space="preserve"> </w:t>
      </w:r>
      <w:r w:rsidR="00D93A32" w:rsidRPr="00B6583D">
        <w:rPr>
          <w:rFonts w:ascii="Segoe UI" w:hAnsi="Segoe UI" w:cs="Segoe UI"/>
          <w:color w:val="242424"/>
          <w:sz w:val="22"/>
          <w:szCs w:val="22"/>
        </w:rPr>
        <w:t>T</w:t>
      </w:r>
      <w:r w:rsidRPr="00B6583D">
        <w:rPr>
          <w:rFonts w:ascii="Segoe UI" w:hAnsi="Segoe UI" w:cs="Segoe UI"/>
          <w:color w:val="242424"/>
          <w:sz w:val="22"/>
          <w:szCs w:val="22"/>
        </w:rPr>
        <w:t xml:space="preserve">he </w:t>
      </w:r>
      <w:r w:rsidR="003A4E18" w:rsidRPr="00B6583D">
        <w:rPr>
          <w:rFonts w:ascii="Segoe UI" w:hAnsi="Segoe UI" w:cs="Segoe UI"/>
          <w:color w:val="242424"/>
          <w:sz w:val="22"/>
          <w:szCs w:val="22"/>
        </w:rPr>
        <w:t>global P</w:t>
      </w:r>
      <w:r w:rsidR="00593FD2" w:rsidRPr="00B6583D">
        <w:rPr>
          <w:rFonts w:ascii="Segoe UI" w:hAnsi="Segoe UI" w:cs="Segoe UI"/>
          <w:color w:val="242424"/>
          <w:sz w:val="22"/>
          <w:szCs w:val="22"/>
        </w:rPr>
        <w:t xml:space="preserve">urchasing </w:t>
      </w:r>
      <w:r w:rsidR="003A4E18" w:rsidRPr="00B6583D">
        <w:rPr>
          <w:rFonts w:ascii="Segoe UI" w:hAnsi="Segoe UI" w:cs="Segoe UI"/>
          <w:color w:val="242424"/>
          <w:sz w:val="22"/>
          <w:szCs w:val="22"/>
        </w:rPr>
        <w:t>M</w:t>
      </w:r>
      <w:r w:rsidR="00593FD2" w:rsidRPr="00B6583D">
        <w:rPr>
          <w:rFonts w:ascii="Segoe UI" w:hAnsi="Segoe UI" w:cs="Segoe UI"/>
          <w:color w:val="242424"/>
          <w:sz w:val="22"/>
          <w:szCs w:val="22"/>
        </w:rPr>
        <w:t xml:space="preserve">anagers </w:t>
      </w:r>
      <w:r w:rsidR="003A4E18" w:rsidRPr="00B6583D">
        <w:rPr>
          <w:rFonts w:ascii="Segoe UI" w:hAnsi="Segoe UI" w:cs="Segoe UI"/>
          <w:color w:val="242424"/>
          <w:sz w:val="22"/>
          <w:szCs w:val="22"/>
        </w:rPr>
        <w:t>I</w:t>
      </w:r>
      <w:r w:rsidR="00593FD2" w:rsidRPr="00B6583D">
        <w:rPr>
          <w:rFonts w:ascii="Segoe UI" w:hAnsi="Segoe UI" w:cs="Segoe UI"/>
          <w:color w:val="242424"/>
          <w:sz w:val="22"/>
          <w:szCs w:val="22"/>
        </w:rPr>
        <w:t xml:space="preserve">ndex for </w:t>
      </w:r>
      <w:r w:rsidR="00D93A32" w:rsidRPr="00B6583D">
        <w:rPr>
          <w:rFonts w:ascii="Segoe UI" w:hAnsi="Segoe UI" w:cs="Segoe UI"/>
          <w:color w:val="242424"/>
          <w:sz w:val="22"/>
          <w:szCs w:val="22"/>
        </w:rPr>
        <w:t>Novem</w:t>
      </w:r>
      <w:r w:rsidR="00864070" w:rsidRPr="00B6583D">
        <w:rPr>
          <w:rFonts w:ascii="Segoe UI" w:hAnsi="Segoe UI" w:cs="Segoe UI"/>
          <w:color w:val="242424"/>
          <w:sz w:val="22"/>
          <w:szCs w:val="22"/>
        </w:rPr>
        <w:t>ber</w:t>
      </w:r>
      <w:r w:rsidR="00D93A32" w:rsidRPr="00B6583D">
        <w:rPr>
          <w:rFonts w:ascii="Segoe UI" w:hAnsi="Segoe UI" w:cs="Segoe UI"/>
          <w:color w:val="242424"/>
          <w:sz w:val="22"/>
          <w:szCs w:val="22"/>
        </w:rPr>
        <w:t xml:space="preserve"> pointed to a slight slowdown in the pace of growth, but remains at </w:t>
      </w:r>
      <w:r w:rsidR="00864070" w:rsidRPr="00B6583D">
        <w:rPr>
          <w:rFonts w:ascii="Segoe UI" w:hAnsi="Segoe UI" w:cs="Segoe UI"/>
          <w:color w:val="242424"/>
          <w:sz w:val="22"/>
          <w:szCs w:val="22"/>
        </w:rPr>
        <w:t xml:space="preserve">a level that indicates expansion </w:t>
      </w:r>
      <w:r w:rsidR="00D93A32" w:rsidRPr="00B6583D">
        <w:rPr>
          <w:rFonts w:ascii="Segoe UI" w:hAnsi="Segoe UI" w:cs="Segoe UI"/>
          <w:color w:val="242424"/>
          <w:sz w:val="22"/>
          <w:szCs w:val="22"/>
        </w:rPr>
        <w:t xml:space="preserve">in the pace of activity </w:t>
      </w:r>
      <w:r w:rsidR="00593FD2" w:rsidRPr="00B6583D">
        <w:rPr>
          <w:rFonts w:ascii="Segoe UI" w:hAnsi="Segoe UI" w:cs="Segoe UI"/>
          <w:color w:val="242424"/>
          <w:sz w:val="22"/>
          <w:szCs w:val="22"/>
        </w:rPr>
        <w:t>(</w:t>
      </w:r>
      <w:r w:rsidR="00593FD2" w:rsidRPr="00B6583D">
        <w:rPr>
          <w:rFonts w:ascii="Segoe UI" w:hAnsi="Segoe UI" w:cs="Segoe UI"/>
          <w:b/>
          <w:bCs/>
          <w:color w:val="242424"/>
          <w:sz w:val="22"/>
          <w:szCs w:val="22"/>
        </w:rPr>
        <w:t>Figure 3</w:t>
      </w:r>
      <w:r w:rsidR="000A1EAB" w:rsidRPr="00B6583D">
        <w:rPr>
          <w:rFonts w:ascii="Segoe UI" w:hAnsi="Segoe UI" w:cs="Segoe UI"/>
          <w:b/>
          <w:bCs/>
          <w:color w:val="242424"/>
          <w:sz w:val="22"/>
          <w:szCs w:val="22"/>
        </w:rPr>
        <w:t>3</w:t>
      </w:r>
      <w:r w:rsidR="00593FD2" w:rsidRPr="00B6583D">
        <w:rPr>
          <w:rFonts w:ascii="Segoe UI" w:hAnsi="Segoe UI" w:cs="Segoe UI"/>
          <w:color w:val="242424"/>
          <w:sz w:val="22"/>
          <w:szCs w:val="22"/>
        </w:rPr>
        <w:t xml:space="preserve">). </w:t>
      </w:r>
      <w:r w:rsidR="003A7972" w:rsidRPr="00B6583D">
        <w:rPr>
          <w:rFonts w:ascii="Segoe UI" w:hAnsi="Segoe UI" w:cs="Segoe UI"/>
          <w:color w:val="242424"/>
          <w:sz w:val="22"/>
          <w:szCs w:val="22"/>
        </w:rPr>
        <w:t>The pace of expansion of world trade</w:t>
      </w:r>
      <w:r w:rsidRPr="00B6583D">
        <w:rPr>
          <w:rFonts w:ascii="Segoe UI" w:hAnsi="Segoe UI" w:cs="Segoe UI"/>
          <w:color w:val="242424"/>
          <w:sz w:val="22"/>
          <w:szCs w:val="22"/>
        </w:rPr>
        <w:t xml:space="preserve"> </w:t>
      </w:r>
      <w:r w:rsidR="00D93A32" w:rsidRPr="00B6583D">
        <w:rPr>
          <w:rFonts w:ascii="Segoe UI" w:hAnsi="Segoe UI" w:cs="Segoe UI"/>
          <w:color w:val="242424"/>
          <w:sz w:val="22"/>
          <w:szCs w:val="22"/>
        </w:rPr>
        <w:t>slowed during the reviewed period</w:t>
      </w:r>
      <w:r w:rsidR="00593FD2" w:rsidRPr="00B6583D">
        <w:rPr>
          <w:rFonts w:ascii="Segoe UI" w:hAnsi="Segoe UI" w:cs="Segoe UI"/>
          <w:color w:val="242424"/>
          <w:sz w:val="22"/>
          <w:szCs w:val="22"/>
        </w:rPr>
        <w:t xml:space="preserve"> (</w:t>
      </w:r>
      <w:r w:rsidR="00593FD2" w:rsidRPr="00B6583D">
        <w:rPr>
          <w:rFonts w:ascii="Segoe UI" w:hAnsi="Segoe UI" w:cs="Segoe UI"/>
          <w:b/>
          <w:bCs/>
          <w:color w:val="242424"/>
          <w:sz w:val="22"/>
          <w:szCs w:val="22"/>
        </w:rPr>
        <w:t>Figure 3</w:t>
      </w:r>
      <w:r w:rsidR="000A1EAB" w:rsidRPr="00B6583D">
        <w:rPr>
          <w:rFonts w:ascii="Segoe UI" w:hAnsi="Segoe UI" w:cs="Segoe UI"/>
          <w:b/>
          <w:bCs/>
          <w:color w:val="242424"/>
          <w:sz w:val="22"/>
          <w:szCs w:val="22"/>
        </w:rPr>
        <w:t>2</w:t>
      </w:r>
      <w:r w:rsidR="00593FD2" w:rsidRPr="00B6583D">
        <w:rPr>
          <w:rFonts w:ascii="Segoe UI" w:hAnsi="Segoe UI" w:cs="Segoe UI"/>
          <w:color w:val="242424"/>
          <w:sz w:val="22"/>
          <w:szCs w:val="22"/>
        </w:rPr>
        <w:t xml:space="preserve">). </w:t>
      </w:r>
    </w:p>
    <w:p w:rsidR="00864070" w:rsidRPr="00B6583D" w:rsidRDefault="00864070" w:rsidP="00670178">
      <w:pPr>
        <w:pStyle w:val="NormalWeb"/>
        <w:shd w:val="clear" w:color="auto" w:fill="FFFFFF"/>
        <w:spacing w:before="0" w:beforeAutospacing="0" w:after="240" w:afterAutospacing="0"/>
        <w:jc w:val="both"/>
        <w:rPr>
          <w:rFonts w:ascii="Segoe UI" w:hAnsi="Segoe UI" w:cs="Segoe UI"/>
          <w:color w:val="242424"/>
          <w:sz w:val="22"/>
          <w:szCs w:val="22"/>
        </w:rPr>
      </w:pPr>
      <w:r w:rsidRPr="00B6583D">
        <w:rPr>
          <w:rFonts w:ascii="Segoe UI" w:hAnsi="Segoe UI" w:cs="Segoe UI"/>
          <w:color w:val="242424"/>
          <w:sz w:val="22"/>
          <w:szCs w:val="22"/>
        </w:rPr>
        <w:t>I</w:t>
      </w:r>
      <w:r w:rsidR="00593FD2" w:rsidRPr="00B6583D">
        <w:rPr>
          <w:rFonts w:ascii="Segoe UI" w:hAnsi="Segoe UI" w:cs="Segoe UI"/>
          <w:color w:val="242424"/>
          <w:sz w:val="22"/>
          <w:szCs w:val="22"/>
        </w:rPr>
        <w:t>n the US</w:t>
      </w:r>
      <w:r w:rsidRPr="00B6583D">
        <w:rPr>
          <w:rFonts w:ascii="Segoe UI" w:hAnsi="Segoe UI" w:cs="Segoe UI"/>
          <w:color w:val="242424"/>
          <w:sz w:val="22"/>
          <w:szCs w:val="22"/>
        </w:rPr>
        <w:t>,</w:t>
      </w:r>
      <w:r w:rsidR="00D93A32" w:rsidRPr="00B6583D">
        <w:rPr>
          <w:rFonts w:ascii="Segoe UI" w:hAnsi="Segoe UI" w:cs="Segoe UI"/>
          <w:sz w:val="22"/>
          <w:szCs w:val="22"/>
        </w:rPr>
        <w:t xml:space="preserve"> </w:t>
      </w:r>
      <w:r w:rsidR="00670178" w:rsidRPr="00B6583D">
        <w:rPr>
          <w:rFonts w:ascii="Segoe UI" w:hAnsi="Segoe UI" w:cs="Segoe UI"/>
          <w:sz w:val="22"/>
          <w:szCs w:val="22"/>
        </w:rPr>
        <w:t xml:space="preserve">third quarter </w:t>
      </w:r>
      <w:r w:rsidR="008C633B" w:rsidRPr="00B6583D">
        <w:rPr>
          <w:rStyle w:val="af3"/>
          <w:rFonts w:ascii="Segoe UI" w:hAnsi="Segoe UI" w:cs="Segoe UI"/>
          <w:i w:val="0"/>
          <w:iCs w:val="0"/>
          <w:sz w:val="22"/>
          <w:szCs w:val="22"/>
          <w:shd w:val="clear" w:color="auto" w:fill="FFFFFF"/>
        </w:rPr>
        <w:t>GDP</w:t>
      </w:r>
      <w:r w:rsidR="008C633B" w:rsidRPr="00B6583D">
        <w:rPr>
          <w:rFonts w:ascii="Segoe UI" w:hAnsi="Segoe UI" w:cs="Segoe UI"/>
          <w:sz w:val="22"/>
          <w:szCs w:val="22"/>
          <w:shd w:val="clear" w:color="auto" w:fill="FFFFFF"/>
        </w:rPr>
        <w:t> rose at an annualized rate of 4.3</w:t>
      </w:r>
      <w:proofErr w:type="gramStart"/>
      <w:r w:rsidR="008C633B" w:rsidRPr="00B6583D">
        <w:rPr>
          <w:rFonts w:ascii="Segoe UI" w:hAnsi="Segoe UI" w:cs="Segoe UI"/>
          <w:sz w:val="22"/>
          <w:szCs w:val="22"/>
          <w:shd w:val="clear" w:color="auto" w:fill="FFFFFF"/>
        </w:rPr>
        <w:t>% ,</w:t>
      </w:r>
      <w:proofErr w:type="gramEnd"/>
      <w:r w:rsidR="008C633B" w:rsidRPr="00B6583D">
        <w:rPr>
          <w:rFonts w:ascii="Segoe UI" w:hAnsi="Segoe UI" w:cs="Segoe UI"/>
          <w:sz w:val="22"/>
          <w:szCs w:val="22"/>
          <w:shd w:val="clear" w:color="auto" w:fill="FFFFFF"/>
        </w:rPr>
        <w:t xml:space="preserve"> </w:t>
      </w:r>
      <w:r w:rsidR="00670178" w:rsidRPr="00B6583D">
        <w:rPr>
          <w:rFonts w:ascii="Segoe UI" w:hAnsi="Segoe UI" w:cs="Segoe UI"/>
          <w:sz w:val="22"/>
          <w:szCs w:val="22"/>
          <w:shd w:val="clear" w:color="auto" w:fill="FFFFFF"/>
        </w:rPr>
        <w:t xml:space="preserve">surprising to the upside </w:t>
      </w:r>
      <w:r w:rsidR="008C633B" w:rsidRPr="00B6583D">
        <w:rPr>
          <w:rFonts w:ascii="Segoe UI" w:hAnsi="Segoe UI" w:cs="Segoe UI"/>
          <w:sz w:val="22"/>
          <w:szCs w:val="22"/>
          <w:shd w:val="clear" w:color="auto" w:fill="FFFFFF"/>
        </w:rPr>
        <w:t>.</w:t>
      </w:r>
      <w:r w:rsidR="00D93A32" w:rsidRPr="00B6583D">
        <w:rPr>
          <w:rFonts w:ascii="Segoe UI" w:hAnsi="Segoe UI" w:cs="Segoe UI"/>
          <w:color w:val="242424"/>
          <w:sz w:val="22"/>
          <w:szCs w:val="22"/>
        </w:rPr>
        <w:t xml:space="preserve"> </w:t>
      </w:r>
      <w:r w:rsidRPr="00B6583D">
        <w:rPr>
          <w:rFonts w:ascii="Segoe UI" w:hAnsi="Segoe UI" w:cs="Segoe UI"/>
          <w:color w:val="242424"/>
          <w:sz w:val="22"/>
          <w:szCs w:val="22"/>
        </w:rPr>
        <w:t xml:space="preserve"> </w:t>
      </w:r>
      <w:r w:rsidR="00D93A32" w:rsidRPr="00B6583D">
        <w:rPr>
          <w:rFonts w:ascii="Segoe UI" w:hAnsi="Segoe UI" w:cs="Segoe UI"/>
          <w:color w:val="242424"/>
          <w:sz w:val="22"/>
          <w:szCs w:val="22"/>
        </w:rPr>
        <w:t xml:space="preserve">Private consumption grew by 3.5 percent, as service consumption, goods consumption, and net exports were strong, comprising most of the contribution to growth.   In the eurozone, the growth rate was revised to about 1.4 percent in annual terms in the third quarter, mainly led by domestic demand and investments. </w:t>
      </w:r>
      <w:r w:rsidR="00593FD2" w:rsidRPr="00B6583D">
        <w:rPr>
          <w:rFonts w:ascii="Segoe UI" w:hAnsi="Segoe UI" w:cs="Segoe UI"/>
          <w:color w:val="242424"/>
          <w:sz w:val="22"/>
          <w:szCs w:val="22"/>
        </w:rPr>
        <w:t xml:space="preserve">In China, </w:t>
      </w:r>
      <w:r w:rsidR="00D93A32" w:rsidRPr="00B6583D">
        <w:rPr>
          <w:rFonts w:ascii="Segoe UI" w:hAnsi="Segoe UI" w:cs="Segoe UI"/>
          <w:color w:val="242424"/>
          <w:sz w:val="22"/>
          <w:szCs w:val="22"/>
        </w:rPr>
        <w:t xml:space="preserve">economic activity data for November indicate a slowdown in the pace of </w:t>
      </w:r>
      <w:r w:rsidRPr="00B6583D">
        <w:rPr>
          <w:rFonts w:ascii="Segoe UI" w:hAnsi="Segoe UI" w:cs="Segoe UI"/>
          <w:color w:val="242424"/>
          <w:sz w:val="22"/>
          <w:szCs w:val="22"/>
        </w:rPr>
        <w:t>growth</w:t>
      </w:r>
      <w:r w:rsidR="00D93A32" w:rsidRPr="00B6583D">
        <w:rPr>
          <w:rFonts w:ascii="Segoe UI" w:hAnsi="Segoe UI" w:cs="Segoe UI"/>
          <w:color w:val="242424"/>
          <w:sz w:val="22"/>
          <w:szCs w:val="22"/>
        </w:rPr>
        <w:t xml:space="preserve">.  Growth of public consumption declined to 1.3 percent in annual terms—the lowest level since the COVID-19 period. </w:t>
      </w:r>
    </w:p>
    <w:p w:rsidR="00D32BDF" w:rsidRPr="00B6583D" w:rsidRDefault="00D32BDF" w:rsidP="00B6583D">
      <w:pPr>
        <w:pStyle w:val="NormalWeb"/>
        <w:shd w:val="clear" w:color="auto" w:fill="FFFFFF"/>
        <w:spacing w:before="0" w:beforeAutospacing="0" w:after="240" w:afterAutospacing="0"/>
        <w:jc w:val="both"/>
        <w:rPr>
          <w:rFonts w:ascii="Segoe UI" w:hAnsi="Segoe UI" w:cs="Segoe UI"/>
          <w:color w:val="242424"/>
          <w:sz w:val="22"/>
          <w:szCs w:val="22"/>
        </w:rPr>
      </w:pPr>
      <w:r w:rsidRPr="00B6583D">
        <w:rPr>
          <w:rFonts w:ascii="Segoe UI" w:hAnsi="Segoe UI" w:cs="Segoe UI"/>
          <w:color w:val="242424"/>
          <w:sz w:val="22"/>
          <w:szCs w:val="22"/>
        </w:rPr>
        <w:t xml:space="preserve">In the United States, </w:t>
      </w:r>
      <w:r w:rsidR="00D93A32" w:rsidRPr="00B6583D">
        <w:rPr>
          <w:rFonts w:ascii="Segoe UI" w:hAnsi="Segoe UI" w:cs="Segoe UI"/>
          <w:color w:val="242424"/>
          <w:sz w:val="22"/>
          <w:szCs w:val="22"/>
        </w:rPr>
        <w:t>the CPI showed clear moderation</w:t>
      </w:r>
      <w:r w:rsidR="00B42626" w:rsidRPr="00B6583D">
        <w:rPr>
          <w:rFonts w:ascii="Segoe UI" w:hAnsi="Segoe UI" w:cs="Segoe UI"/>
          <w:color w:val="242424"/>
          <w:sz w:val="22"/>
          <w:szCs w:val="22"/>
        </w:rPr>
        <w:t>.</w:t>
      </w:r>
      <w:r w:rsidR="00D93A32" w:rsidRPr="00B6583D">
        <w:rPr>
          <w:rFonts w:ascii="Segoe UI" w:hAnsi="Segoe UI" w:cs="Segoe UI"/>
          <w:color w:val="242424"/>
          <w:sz w:val="22"/>
          <w:szCs w:val="22"/>
        </w:rPr>
        <w:t xml:space="preserve">  Inflation in November was 2.7 percent, compared with 3 percent in September.</w:t>
      </w:r>
      <w:r w:rsidR="00957834" w:rsidRPr="00B6583D">
        <w:rPr>
          <w:rFonts w:ascii="Segoe UI" w:hAnsi="Segoe UI" w:cs="Segoe UI"/>
          <w:color w:val="242424"/>
          <w:sz w:val="22"/>
          <w:szCs w:val="22"/>
        </w:rPr>
        <w:t xml:space="preserve"> </w:t>
      </w:r>
      <w:r w:rsidR="00231085" w:rsidRPr="00B6583D">
        <w:rPr>
          <w:rFonts w:ascii="Segoe UI" w:hAnsi="Segoe UI" w:cs="Segoe UI"/>
          <w:color w:val="242424"/>
          <w:sz w:val="22"/>
          <w:szCs w:val="22"/>
        </w:rPr>
        <w:t>C</w:t>
      </w:r>
      <w:r w:rsidR="00957834" w:rsidRPr="00B6583D">
        <w:rPr>
          <w:rFonts w:ascii="Segoe UI" w:hAnsi="Segoe UI" w:cs="Segoe UI"/>
          <w:color w:val="242424"/>
          <w:sz w:val="22"/>
          <w:szCs w:val="22"/>
        </w:rPr>
        <w:t xml:space="preserve">ore CPI </w:t>
      </w:r>
      <w:r w:rsidR="00B42626" w:rsidRPr="00B6583D">
        <w:rPr>
          <w:rFonts w:ascii="Segoe UI" w:hAnsi="Segoe UI" w:cs="Segoe UI"/>
          <w:color w:val="242424"/>
          <w:sz w:val="22"/>
          <w:szCs w:val="22"/>
        </w:rPr>
        <w:t xml:space="preserve">moderated to </w:t>
      </w:r>
      <w:r w:rsidR="00D93A32" w:rsidRPr="00B6583D">
        <w:rPr>
          <w:rFonts w:ascii="Segoe UI" w:hAnsi="Segoe UI" w:cs="Segoe UI"/>
          <w:color w:val="242424"/>
          <w:sz w:val="22"/>
          <w:szCs w:val="22"/>
        </w:rPr>
        <w:t>2.6</w:t>
      </w:r>
      <w:r w:rsidR="00B42626" w:rsidRPr="00B6583D">
        <w:rPr>
          <w:rFonts w:ascii="Segoe UI" w:hAnsi="Segoe UI" w:cs="Segoe UI"/>
          <w:color w:val="242424"/>
          <w:sz w:val="22"/>
          <w:szCs w:val="22"/>
        </w:rPr>
        <w:t xml:space="preserve"> </w:t>
      </w:r>
      <w:r w:rsidR="00957834" w:rsidRPr="00B6583D">
        <w:rPr>
          <w:rFonts w:ascii="Segoe UI" w:hAnsi="Segoe UI" w:cs="Segoe UI"/>
          <w:color w:val="242424"/>
          <w:sz w:val="22"/>
          <w:szCs w:val="22"/>
        </w:rPr>
        <w:t>percent</w:t>
      </w:r>
      <w:r w:rsidRPr="00B6583D">
        <w:rPr>
          <w:rFonts w:ascii="Segoe UI" w:hAnsi="Segoe UI" w:cs="Segoe UI"/>
          <w:color w:val="242424"/>
          <w:sz w:val="22"/>
          <w:szCs w:val="22"/>
        </w:rPr>
        <w:t xml:space="preserve">. </w:t>
      </w:r>
      <w:r w:rsidR="007364B3" w:rsidRPr="00B6583D">
        <w:rPr>
          <w:rFonts w:ascii="Segoe UI" w:hAnsi="Segoe UI" w:cs="Segoe UI"/>
          <w:color w:val="242424"/>
          <w:sz w:val="22"/>
          <w:szCs w:val="22"/>
        </w:rPr>
        <w:t>I</w:t>
      </w:r>
      <w:r w:rsidR="00B71E2A" w:rsidRPr="00B6583D">
        <w:rPr>
          <w:rFonts w:ascii="Segoe UI" w:hAnsi="Segoe UI" w:cs="Segoe UI"/>
          <w:color w:val="242424"/>
          <w:sz w:val="22"/>
          <w:szCs w:val="22"/>
        </w:rPr>
        <w:t xml:space="preserve">n the </w:t>
      </w:r>
      <w:r w:rsidR="00C9560E" w:rsidRPr="00B6583D">
        <w:rPr>
          <w:rFonts w:ascii="Segoe UI" w:hAnsi="Segoe UI" w:cs="Segoe UI"/>
          <w:color w:val="242424"/>
          <w:sz w:val="22"/>
          <w:szCs w:val="22"/>
        </w:rPr>
        <w:t>e</w:t>
      </w:r>
      <w:r w:rsidR="00B71E2A" w:rsidRPr="00B6583D">
        <w:rPr>
          <w:rFonts w:ascii="Segoe UI" w:hAnsi="Segoe UI" w:cs="Segoe UI"/>
          <w:color w:val="242424"/>
          <w:sz w:val="22"/>
          <w:szCs w:val="22"/>
        </w:rPr>
        <w:t>urozone</w:t>
      </w:r>
      <w:r w:rsidR="007364B3" w:rsidRPr="00B6583D">
        <w:rPr>
          <w:rFonts w:ascii="Segoe UI" w:hAnsi="Segoe UI" w:cs="Segoe UI"/>
          <w:color w:val="242424"/>
          <w:sz w:val="22"/>
          <w:szCs w:val="22"/>
        </w:rPr>
        <w:t xml:space="preserve">, </w:t>
      </w:r>
      <w:r w:rsidR="00B42626" w:rsidRPr="00B6583D">
        <w:rPr>
          <w:rFonts w:ascii="Segoe UI" w:hAnsi="Segoe UI" w:cs="Segoe UI"/>
          <w:color w:val="242424"/>
          <w:sz w:val="22"/>
          <w:szCs w:val="22"/>
        </w:rPr>
        <w:t xml:space="preserve">inflation remains moderate.  Inflation in </w:t>
      </w:r>
      <w:r w:rsidR="00D93A32" w:rsidRPr="00B6583D">
        <w:rPr>
          <w:rFonts w:ascii="Segoe UI" w:hAnsi="Segoe UI" w:cs="Segoe UI"/>
          <w:color w:val="242424"/>
          <w:sz w:val="22"/>
          <w:szCs w:val="22"/>
        </w:rPr>
        <w:t>November remained at</w:t>
      </w:r>
      <w:r w:rsidR="00B42626" w:rsidRPr="00B6583D">
        <w:rPr>
          <w:rFonts w:ascii="Segoe UI" w:hAnsi="Segoe UI" w:cs="Segoe UI"/>
          <w:color w:val="242424"/>
          <w:sz w:val="22"/>
          <w:szCs w:val="22"/>
        </w:rPr>
        <w:t xml:space="preserve"> 2.1 percent</w:t>
      </w:r>
      <w:r w:rsidR="00D93A32" w:rsidRPr="00B6583D">
        <w:rPr>
          <w:rFonts w:ascii="Segoe UI" w:hAnsi="Segoe UI" w:cs="Segoe UI"/>
          <w:color w:val="242424"/>
          <w:sz w:val="22"/>
          <w:szCs w:val="22"/>
        </w:rPr>
        <w:t xml:space="preserve"> in annual terms</w:t>
      </w:r>
      <w:r w:rsidR="00B42626" w:rsidRPr="00B6583D">
        <w:rPr>
          <w:rFonts w:ascii="Segoe UI" w:hAnsi="Segoe UI" w:cs="Segoe UI"/>
          <w:color w:val="242424"/>
          <w:sz w:val="22"/>
          <w:szCs w:val="22"/>
        </w:rPr>
        <w:t xml:space="preserve">, while core inflation remained unchanged at 2.4 percent.  </w:t>
      </w:r>
      <w:r w:rsidR="008C633B" w:rsidRPr="00B6583D">
        <w:rPr>
          <w:rFonts w:ascii="Segoe UI" w:hAnsi="Segoe UI" w:cs="Segoe UI"/>
          <w:color w:val="242424"/>
          <w:sz w:val="22"/>
          <w:szCs w:val="22"/>
        </w:rPr>
        <w:t xml:space="preserve">During the reviewed period, the ECB </w:t>
      </w:r>
      <w:r w:rsidR="00B42626" w:rsidRPr="00B6583D">
        <w:rPr>
          <w:rFonts w:ascii="Segoe UI" w:hAnsi="Segoe UI" w:cs="Segoe UI"/>
          <w:color w:val="242424"/>
          <w:sz w:val="22"/>
          <w:szCs w:val="22"/>
        </w:rPr>
        <w:t xml:space="preserve">left </w:t>
      </w:r>
      <w:r w:rsidR="008C633B" w:rsidRPr="00B6583D">
        <w:rPr>
          <w:rFonts w:ascii="Segoe UI" w:hAnsi="Segoe UI" w:cs="Segoe UI"/>
          <w:color w:val="242424"/>
          <w:sz w:val="22"/>
          <w:szCs w:val="22"/>
        </w:rPr>
        <w:t>its</w:t>
      </w:r>
      <w:r w:rsidR="00B42626" w:rsidRPr="00B6583D">
        <w:rPr>
          <w:rFonts w:ascii="Segoe UI" w:hAnsi="Segoe UI" w:cs="Segoe UI"/>
          <w:color w:val="242424"/>
          <w:sz w:val="22"/>
          <w:szCs w:val="22"/>
        </w:rPr>
        <w:t xml:space="preserve"> interest rate unchanged</w:t>
      </w:r>
      <w:r w:rsidR="008C633B" w:rsidRPr="00B6583D">
        <w:rPr>
          <w:rFonts w:ascii="Segoe UI" w:hAnsi="Segoe UI" w:cs="Segoe UI"/>
          <w:color w:val="242424"/>
          <w:sz w:val="22"/>
          <w:szCs w:val="22"/>
        </w:rPr>
        <w:t>, and the interest rate path</w:t>
      </w:r>
      <w:r w:rsidR="004F08A4" w:rsidRPr="00B6583D">
        <w:rPr>
          <w:rFonts w:ascii="Segoe UI" w:hAnsi="Segoe UI" w:cs="Segoe UI"/>
          <w:color w:val="242424"/>
          <w:sz w:val="22"/>
          <w:szCs w:val="22"/>
        </w:rPr>
        <w:t xml:space="preserve"> derived from market </w:t>
      </w:r>
      <w:proofErr w:type="gramStart"/>
      <w:r w:rsidR="004F08A4" w:rsidRPr="00B6583D">
        <w:rPr>
          <w:rFonts w:ascii="Segoe UI" w:hAnsi="Segoe UI" w:cs="Segoe UI"/>
          <w:color w:val="242424"/>
          <w:sz w:val="22"/>
          <w:szCs w:val="22"/>
        </w:rPr>
        <w:t xml:space="preserve">pricing </w:t>
      </w:r>
      <w:r w:rsidR="008C633B" w:rsidRPr="00B6583D">
        <w:rPr>
          <w:rFonts w:ascii="Segoe UI" w:hAnsi="Segoe UI" w:cs="Segoe UI"/>
          <w:color w:val="242424"/>
          <w:sz w:val="22"/>
          <w:szCs w:val="22"/>
        </w:rPr>
        <w:t xml:space="preserve"> </w:t>
      </w:r>
      <w:r w:rsidR="004F08A4" w:rsidRPr="00B6583D">
        <w:rPr>
          <w:rFonts w:ascii="Segoe UI" w:hAnsi="Segoe UI" w:cs="Segoe UI"/>
          <w:color w:val="242424"/>
          <w:sz w:val="22"/>
          <w:szCs w:val="22"/>
        </w:rPr>
        <w:t>rose</w:t>
      </w:r>
      <w:proofErr w:type="gramEnd"/>
      <w:r w:rsidR="004F08A4" w:rsidRPr="00B6583D">
        <w:rPr>
          <w:rFonts w:ascii="Segoe UI" w:hAnsi="Segoe UI" w:cs="Segoe UI"/>
          <w:color w:val="242424"/>
          <w:sz w:val="22"/>
          <w:szCs w:val="22"/>
        </w:rPr>
        <w:t xml:space="preserve"> slightly</w:t>
      </w:r>
      <w:r w:rsidR="00B42626" w:rsidRPr="00B6583D">
        <w:rPr>
          <w:rFonts w:ascii="Segoe UI" w:hAnsi="Segoe UI" w:cs="Segoe UI"/>
          <w:color w:val="242424"/>
          <w:sz w:val="22"/>
          <w:szCs w:val="22"/>
        </w:rPr>
        <w:t>.</w:t>
      </w:r>
      <w:r w:rsidR="002F73EC" w:rsidRPr="00B6583D">
        <w:rPr>
          <w:rFonts w:ascii="Segoe UI" w:hAnsi="Segoe UI" w:cs="Segoe UI"/>
          <w:color w:val="242424"/>
          <w:sz w:val="22"/>
          <w:szCs w:val="22"/>
        </w:rPr>
        <w:t xml:space="preserve">  The Federal Reserve </w:t>
      </w:r>
      <w:r w:rsidR="00231085" w:rsidRPr="00B6583D">
        <w:rPr>
          <w:rFonts w:ascii="Segoe UI" w:hAnsi="Segoe UI" w:cs="Segoe UI"/>
          <w:color w:val="242424"/>
          <w:sz w:val="22"/>
          <w:szCs w:val="22"/>
        </w:rPr>
        <w:t>lowered</w:t>
      </w:r>
      <w:r w:rsidR="002F73EC" w:rsidRPr="00B6583D">
        <w:rPr>
          <w:rFonts w:ascii="Segoe UI" w:hAnsi="Segoe UI" w:cs="Segoe UI"/>
          <w:color w:val="242424"/>
          <w:sz w:val="22"/>
          <w:szCs w:val="22"/>
        </w:rPr>
        <w:t xml:space="preserve"> its </w:t>
      </w:r>
      <w:r w:rsidR="00231085" w:rsidRPr="00B6583D">
        <w:rPr>
          <w:rFonts w:ascii="Segoe UI" w:hAnsi="Segoe UI" w:cs="Segoe UI"/>
          <w:color w:val="242424"/>
          <w:sz w:val="22"/>
          <w:szCs w:val="22"/>
        </w:rPr>
        <w:t xml:space="preserve">interest </w:t>
      </w:r>
      <w:r w:rsidR="002F73EC" w:rsidRPr="00B6583D">
        <w:rPr>
          <w:rFonts w:ascii="Segoe UI" w:hAnsi="Segoe UI" w:cs="Segoe UI"/>
          <w:color w:val="242424"/>
          <w:sz w:val="22"/>
          <w:szCs w:val="22"/>
        </w:rPr>
        <w:t>rate</w:t>
      </w:r>
      <w:r w:rsidR="00231085" w:rsidRPr="00B6583D">
        <w:rPr>
          <w:rFonts w:ascii="Segoe UI" w:hAnsi="Segoe UI" w:cs="Segoe UI"/>
          <w:color w:val="242424"/>
          <w:sz w:val="22"/>
          <w:szCs w:val="22"/>
        </w:rPr>
        <w:t xml:space="preserve"> by 25 basis points</w:t>
      </w:r>
      <w:r w:rsidR="00B6583D" w:rsidRPr="00B6583D">
        <w:rPr>
          <w:rFonts w:ascii="Segoe UI" w:hAnsi="Segoe UI" w:cs="Segoe UI"/>
          <w:color w:val="242424"/>
          <w:sz w:val="22"/>
          <w:szCs w:val="22"/>
        </w:rPr>
        <w:t xml:space="preserve"> </w:t>
      </w:r>
      <w:r w:rsidR="00B6583D" w:rsidRPr="00B6583D">
        <w:rPr>
          <w:rFonts w:ascii="Segoe UI" w:hAnsi="Segoe UI" w:cs="Segoe UI"/>
          <w:b/>
          <w:bCs/>
          <w:color w:val="242424"/>
          <w:sz w:val="22"/>
          <w:szCs w:val="22"/>
        </w:rPr>
        <w:t>(Figure 34)</w:t>
      </w:r>
      <w:r w:rsidR="008C633B" w:rsidRPr="00B6583D">
        <w:rPr>
          <w:rFonts w:ascii="Segoe UI" w:hAnsi="Segoe UI" w:cs="Segoe UI"/>
          <w:color w:val="242424"/>
          <w:sz w:val="22"/>
          <w:szCs w:val="22"/>
        </w:rPr>
        <w:t>,</w:t>
      </w:r>
      <w:r w:rsidR="00231085" w:rsidRPr="00B6583D">
        <w:rPr>
          <w:rFonts w:ascii="Segoe UI" w:hAnsi="Segoe UI" w:cs="Segoe UI"/>
          <w:color w:val="242424"/>
          <w:sz w:val="22"/>
          <w:szCs w:val="22"/>
        </w:rPr>
        <w:t xml:space="preserve"> and</w:t>
      </w:r>
      <w:r w:rsidR="00957834" w:rsidRPr="00B6583D">
        <w:rPr>
          <w:rFonts w:ascii="Segoe UI" w:hAnsi="Segoe UI" w:cs="Segoe UI"/>
          <w:color w:val="242424"/>
          <w:sz w:val="22"/>
          <w:szCs w:val="22"/>
        </w:rPr>
        <w:t xml:space="preserve"> </w:t>
      </w:r>
      <w:r w:rsidR="00231085" w:rsidRPr="00B6583D">
        <w:rPr>
          <w:rFonts w:ascii="Segoe UI" w:hAnsi="Segoe UI" w:cs="Segoe UI"/>
          <w:color w:val="242424"/>
          <w:sz w:val="22"/>
          <w:szCs w:val="22"/>
        </w:rPr>
        <w:t>t</w:t>
      </w:r>
      <w:r w:rsidRPr="00B6583D">
        <w:rPr>
          <w:rFonts w:ascii="Segoe UI" w:hAnsi="Segoe UI" w:cs="Segoe UI"/>
          <w:color w:val="242424"/>
          <w:sz w:val="22"/>
          <w:szCs w:val="22"/>
        </w:rPr>
        <w:t>he</w:t>
      </w:r>
      <w:r w:rsidR="008C633B" w:rsidRPr="00B6583D">
        <w:rPr>
          <w:rFonts w:ascii="Segoe UI" w:hAnsi="Segoe UI" w:cs="Segoe UI"/>
          <w:color w:val="242424"/>
          <w:sz w:val="22"/>
          <w:szCs w:val="22"/>
        </w:rPr>
        <w:t xml:space="preserve"> expected interest rate path </w:t>
      </w:r>
      <w:r w:rsidR="004F08A4" w:rsidRPr="00B6583D">
        <w:rPr>
          <w:rFonts w:ascii="Segoe UI" w:hAnsi="Segoe UI" w:cs="Segoe UI"/>
          <w:color w:val="242424"/>
          <w:sz w:val="22"/>
          <w:szCs w:val="22"/>
        </w:rPr>
        <w:t>was almost unchanged</w:t>
      </w:r>
      <w:r w:rsidR="008C633B" w:rsidRPr="00B6583D">
        <w:rPr>
          <w:rFonts w:ascii="Segoe UI" w:hAnsi="Segoe UI" w:cs="Segoe UI"/>
          <w:color w:val="242424"/>
          <w:sz w:val="22"/>
          <w:szCs w:val="22"/>
        </w:rPr>
        <w:t xml:space="preserve"> the reviewed period</w:t>
      </w:r>
      <w:r w:rsidR="00957834" w:rsidRPr="00B6583D">
        <w:rPr>
          <w:rFonts w:ascii="Segoe UI" w:hAnsi="Segoe UI" w:cs="Segoe UI"/>
          <w:color w:val="242424"/>
          <w:sz w:val="22"/>
          <w:szCs w:val="22"/>
        </w:rPr>
        <w:t xml:space="preserve"> (</w:t>
      </w:r>
      <w:r w:rsidR="00957834" w:rsidRPr="00B6583D">
        <w:rPr>
          <w:rFonts w:ascii="Segoe UI" w:hAnsi="Segoe UI" w:cs="Segoe UI"/>
          <w:b/>
          <w:bCs/>
          <w:color w:val="242424"/>
          <w:sz w:val="22"/>
          <w:szCs w:val="22"/>
        </w:rPr>
        <w:t xml:space="preserve">Figure </w:t>
      </w:r>
      <w:r w:rsidR="00B6583D" w:rsidRPr="00B6583D">
        <w:rPr>
          <w:rFonts w:ascii="Segoe UI" w:hAnsi="Segoe UI" w:cs="Segoe UI"/>
          <w:b/>
          <w:bCs/>
          <w:color w:val="242424"/>
          <w:sz w:val="22"/>
          <w:szCs w:val="22"/>
        </w:rPr>
        <w:t>35</w:t>
      </w:r>
      <w:r w:rsidR="00957834" w:rsidRPr="00B6583D">
        <w:rPr>
          <w:rFonts w:ascii="Segoe UI" w:hAnsi="Segoe UI" w:cs="Segoe UI"/>
          <w:color w:val="242424"/>
          <w:sz w:val="22"/>
          <w:szCs w:val="22"/>
        </w:rPr>
        <w:t>).</w:t>
      </w:r>
    </w:p>
    <w:p w:rsidR="00AD12BC" w:rsidRPr="00B6583D" w:rsidRDefault="00AD12BC" w:rsidP="006075EE">
      <w:pPr>
        <w:jc w:val="both"/>
        <w:rPr>
          <w:rFonts w:ascii="Segoe UI" w:hAnsi="Segoe UI" w:cs="Segoe UI"/>
          <w:sz w:val="22"/>
          <w:szCs w:val="22"/>
        </w:rPr>
      </w:pPr>
    </w:p>
    <w:p w:rsidR="00AD12BC" w:rsidRPr="00B6583D" w:rsidRDefault="00AD12BC" w:rsidP="006075EE">
      <w:pPr>
        <w:jc w:val="both"/>
        <w:rPr>
          <w:rFonts w:ascii="Segoe UI" w:hAnsi="Segoe UI" w:cs="Segoe UI"/>
          <w:sz w:val="22"/>
          <w:szCs w:val="22"/>
        </w:rPr>
      </w:pPr>
    </w:p>
    <w:p w:rsidR="00B21E55" w:rsidRPr="00E1583C" w:rsidRDefault="00D26730" w:rsidP="008C633B">
      <w:pPr>
        <w:jc w:val="both"/>
        <w:rPr>
          <w:rFonts w:ascii="Segoe UI" w:hAnsi="Segoe UI" w:cs="Segoe UI"/>
          <w:sz w:val="22"/>
          <w:szCs w:val="22"/>
          <w:rtl/>
        </w:rPr>
      </w:pPr>
      <w:r w:rsidRPr="00B6583D">
        <w:rPr>
          <w:rFonts w:ascii="Segoe UI" w:hAnsi="Segoe UI" w:cs="Segoe UI"/>
          <w:sz w:val="22"/>
          <w:szCs w:val="22"/>
        </w:rPr>
        <w:t xml:space="preserve">The minutes of the monetary discussions prior to this interest rate decision will be published on </w:t>
      </w:r>
      <w:r w:rsidR="008C633B" w:rsidRPr="00B6583D">
        <w:rPr>
          <w:rFonts w:ascii="Segoe UI" w:hAnsi="Segoe UI" w:cs="Segoe UI"/>
          <w:sz w:val="22"/>
          <w:szCs w:val="22"/>
        </w:rPr>
        <w:t>January 19, 2026</w:t>
      </w:r>
      <w:r w:rsidR="00B71E2A" w:rsidRPr="00B6583D">
        <w:rPr>
          <w:rFonts w:ascii="Segoe UI" w:hAnsi="Segoe UI" w:cs="Segoe UI"/>
          <w:sz w:val="22"/>
          <w:szCs w:val="22"/>
        </w:rPr>
        <w:t>.</w:t>
      </w:r>
      <w:r w:rsidRPr="00B6583D">
        <w:rPr>
          <w:rFonts w:ascii="Segoe UI" w:hAnsi="Segoe UI" w:cs="Segoe UI"/>
          <w:sz w:val="22"/>
          <w:szCs w:val="22"/>
        </w:rPr>
        <w:t xml:space="preserve"> The next decision regarding the interest rate will be published on </w:t>
      </w:r>
      <w:r w:rsidR="002F73EC" w:rsidRPr="00B6583D">
        <w:rPr>
          <w:rFonts w:ascii="Segoe UI" w:hAnsi="Segoe UI" w:cs="Segoe UI"/>
          <w:sz w:val="22"/>
          <w:szCs w:val="22"/>
        </w:rPr>
        <w:t>Mon</w:t>
      </w:r>
      <w:r w:rsidR="00096C47" w:rsidRPr="00B6583D">
        <w:rPr>
          <w:rFonts w:ascii="Segoe UI" w:hAnsi="Segoe UI" w:cs="Segoe UI"/>
          <w:sz w:val="22"/>
          <w:szCs w:val="22"/>
        </w:rPr>
        <w:t>day</w:t>
      </w:r>
      <w:r w:rsidR="00B71E2A" w:rsidRPr="00B6583D">
        <w:rPr>
          <w:rFonts w:ascii="Segoe UI" w:hAnsi="Segoe UI" w:cs="Segoe UI"/>
          <w:sz w:val="22"/>
          <w:szCs w:val="22"/>
        </w:rPr>
        <w:t>,</w:t>
      </w:r>
      <w:r w:rsidR="00096C47" w:rsidRPr="00B6583D">
        <w:rPr>
          <w:rFonts w:ascii="Segoe UI" w:hAnsi="Segoe UI" w:cs="Segoe UI"/>
          <w:sz w:val="22"/>
          <w:szCs w:val="22"/>
        </w:rPr>
        <w:t xml:space="preserve"> </w:t>
      </w:r>
      <w:r w:rsidR="008C633B" w:rsidRPr="00B6583D">
        <w:rPr>
          <w:rFonts w:ascii="Segoe UI" w:hAnsi="Segoe UI" w:cs="Segoe UI"/>
          <w:sz w:val="22"/>
          <w:szCs w:val="22"/>
        </w:rPr>
        <w:t>February 23</w:t>
      </w:r>
      <w:r w:rsidR="002E2089" w:rsidRPr="00B6583D">
        <w:rPr>
          <w:rFonts w:ascii="Segoe UI" w:hAnsi="Segoe UI" w:cs="Segoe UI"/>
          <w:sz w:val="22"/>
          <w:szCs w:val="22"/>
        </w:rPr>
        <w:t>,</w:t>
      </w:r>
      <w:r w:rsidR="00B71E2A" w:rsidRPr="00B6583D">
        <w:rPr>
          <w:rFonts w:ascii="Segoe UI" w:hAnsi="Segoe UI" w:cs="Segoe UI"/>
          <w:sz w:val="22"/>
          <w:szCs w:val="22"/>
        </w:rPr>
        <w:t xml:space="preserve"> 202</w:t>
      </w:r>
      <w:r w:rsidR="00B42626" w:rsidRPr="00B6583D">
        <w:rPr>
          <w:rFonts w:ascii="Segoe UI" w:hAnsi="Segoe UI" w:cs="Segoe UI"/>
          <w:sz w:val="22"/>
          <w:szCs w:val="22"/>
        </w:rPr>
        <w:t>6</w:t>
      </w:r>
      <w:r w:rsidR="00C615F3" w:rsidRPr="00B6583D">
        <w:rPr>
          <w:rFonts w:ascii="Segoe UI" w:hAnsi="Segoe UI" w:cs="Segoe UI"/>
          <w:sz w:val="22"/>
          <w:szCs w:val="22"/>
        </w:rPr>
        <w:t>.</w:t>
      </w:r>
    </w:p>
    <w:sectPr w:rsidR="00B21E55" w:rsidRPr="00E1583C" w:rsidSect="00E1583C">
      <w:headerReference w:type="first" r:id="rId8"/>
      <w:type w:val="continuous"/>
      <w:pgSz w:w="11907" w:h="16839" w:code="9"/>
      <w:pgMar w:top="1135"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6D1" w:rsidRDefault="00C676D1" w:rsidP="006A415B">
      <w:r>
        <w:separator/>
      </w:r>
    </w:p>
  </w:endnote>
  <w:endnote w:type="continuationSeparator" w:id="0">
    <w:p w:rsidR="00C676D1" w:rsidRDefault="00C676D1"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6D1" w:rsidRDefault="00C676D1" w:rsidP="006A415B">
      <w:r>
        <w:separator/>
      </w:r>
    </w:p>
  </w:footnote>
  <w:footnote w:type="continuationSeparator" w:id="0">
    <w:p w:rsidR="00C676D1" w:rsidRDefault="00C676D1"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18" w:rsidRDefault="00040BB6" w:rsidP="00B06E18">
    <w:pPr>
      <w:pStyle w:val="regpar"/>
      <w:spacing w:line="300" w:lineRule="atLeast"/>
      <w:ind w:firstLine="0"/>
      <w:jc w:val="center"/>
      <w:rPr>
        <w:rFonts w:ascii="Times New Roman" w:hAnsi="Times New Roman" w:cs="David"/>
        <w:bCs/>
      </w:rPr>
    </w:pPr>
    <w:r w:rsidRPr="004C20CE">
      <w:rPr>
        <w:rFonts w:eastAsiaTheme="minorHAnsi"/>
        <w:noProof/>
        <w:sz w:val="22"/>
        <w:szCs w:val="22"/>
      </w:rPr>
      <w:drawing>
        <wp:inline distT="0" distB="0" distL="0" distR="0" wp14:anchorId="2BAABA3E" wp14:editId="4FB7ABDF">
          <wp:extent cx="887105" cy="887105"/>
          <wp:effectExtent l="0" t="0" r="8255" b="8255"/>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100" cy="887100"/>
                  </a:xfrm>
                  <a:prstGeom prst="rect">
                    <a:avLst/>
                  </a:prstGeom>
                  <a:noFill/>
                  <a:ln>
                    <a:noFill/>
                  </a:ln>
                </pic:spPr>
              </pic:pic>
            </a:graphicData>
          </a:graphic>
        </wp:inline>
      </w:drawing>
    </w:r>
  </w:p>
  <w:p w:rsidR="00B06E18" w:rsidRPr="0012431B" w:rsidRDefault="00B06E18" w:rsidP="00B06E18">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rsidR="00B06E18" w:rsidRPr="0012431B" w:rsidRDefault="00B06E18"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Office of the Spokesperson and Economic Information</w:t>
    </w:r>
  </w:p>
  <w:p w:rsidR="00B06E18" w:rsidRPr="0012431B" w:rsidRDefault="00B06E18" w:rsidP="00B06E18">
    <w:pPr>
      <w:pStyle w:val="regpar"/>
      <w:spacing w:line="300" w:lineRule="atLeast"/>
      <w:ind w:firstLine="0"/>
      <w:jc w:val="center"/>
      <w:rPr>
        <w:rFonts w:ascii="Segoe UI" w:hAnsi="Segoe UI" w:cs="Segoe UI"/>
        <w:sz w:val="22"/>
        <w:szCs w:val="22"/>
      </w:rPr>
    </w:pPr>
  </w:p>
  <w:p w:rsidR="00B06E18" w:rsidRPr="0012431B" w:rsidRDefault="00B06E18"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6DA002C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BA64F0"/>
    <w:multiLevelType w:val="hybridMultilevel"/>
    <w:tmpl w:val="4F7A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4A23"/>
    <w:rsid w:val="00014EF7"/>
    <w:rsid w:val="0001723D"/>
    <w:rsid w:val="00017C7F"/>
    <w:rsid w:val="00020F9E"/>
    <w:rsid w:val="000247BE"/>
    <w:rsid w:val="0002574D"/>
    <w:rsid w:val="000258A8"/>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BB6"/>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3A2"/>
    <w:rsid w:val="00074B82"/>
    <w:rsid w:val="0007516C"/>
    <w:rsid w:val="0007573A"/>
    <w:rsid w:val="00075EFC"/>
    <w:rsid w:val="000769A8"/>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1EAB"/>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3D6"/>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2DC3"/>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209A1"/>
    <w:rsid w:val="00120A96"/>
    <w:rsid w:val="00120CBC"/>
    <w:rsid w:val="001230AB"/>
    <w:rsid w:val="0012343B"/>
    <w:rsid w:val="00123AAE"/>
    <w:rsid w:val="001246CD"/>
    <w:rsid w:val="00124898"/>
    <w:rsid w:val="00124C58"/>
    <w:rsid w:val="0012539C"/>
    <w:rsid w:val="00125B4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0D1"/>
    <w:rsid w:val="00183F6B"/>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918"/>
    <w:rsid w:val="001B3203"/>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201F"/>
    <w:rsid w:val="002224F4"/>
    <w:rsid w:val="00225374"/>
    <w:rsid w:val="00227B40"/>
    <w:rsid w:val="00227DF7"/>
    <w:rsid w:val="002301B5"/>
    <w:rsid w:val="00230452"/>
    <w:rsid w:val="00230BCF"/>
    <w:rsid w:val="00231085"/>
    <w:rsid w:val="0023129F"/>
    <w:rsid w:val="00231C91"/>
    <w:rsid w:val="00232305"/>
    <w:rsid w:val="00233242"/>
    <w:rsid w:val="0023352B"/>
    <w:rsid w:val="00234E8D"/>
    <w:rsid w:val="00235C2C"/>
    <w:rsid w:val="00235C9A"/>
    <w:rsid w:val="002372E6"/>
    <w:rsid w:val="0024000B"/>
    <w:rsid w:val="00240CBE"/>
    <w:rsid w:val="0024158D"/>
    <w:rsid w:val="00241C81"/>
    <w:rsid w:val="00242029"/>
    <w:rsid w:val="002427B4"/>
    <w:rsid w:val="00242EA5"/>
    <w:rsid w:val="002439C2"/>
    <w:rsid w:val="00244C15"/>
    <w:rsid w:val="00244DF1"/>
    <w:rsid w:val="002454BD"/>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2773"/>
    <w:rsid w:val="00282A2B"/>
    <w:rsid w:val="00283756"/>
    <w:rsid w:val="002842CA"/>
    <w:rsid w:val="002848C9"/>
    <w:rsid w:val="002851F2"/>
    <w:rsid w:val="00286644"/>
    <w:rsid w:val="0028736A"/>
    <w:rsid w:val="0028776B"/>
    <w:rsid w:val="0029067D"/>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089"/>
    <w:rsid w:val="002E2227"/>
    <w:rsid w:val="002E3534"/>
    <w:rsid w:val="002E392D"/>
    <w:rsid w:val="002E4CFC"/>
    <w:rsid w:val="002E5026"/>
    <w:rsid w:val="002E5CE8"/>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ECF"/>
    <w:rsid w:val="00316005"/>
    <w:rsid w:val="00316084"/>
    <w:rsid w:val="00316F56"/>
    <w:rsid w:val="0032005A"/>
    <w:rsid w:val="00320388"/>
    <w:rsid w:val="0032040A"/>
    <w:rsid w:val="0033191B"/>
    <w:rsid w:val="00332016"/>
    <w:rsid w:val="00332296"/>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318B"/>
    <w:rsid w:val="003631F8"/>
    <w:rsid w:val="003633EB"/>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44AF"/>
    <w:rsid w:val="00384D6F"/>
    <w:rsid w:val="00384FC9"/>
    <w:rsid w:val="00385FA7"/>
    <w:rsid w:val="003862E1"/>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4E18"/>
    <w:rsid w:val="003A5885"/>
    <w:rsid w:val="003A6413"/>
    <w:rsid w:val="003A67E8"/>
    <w:rsid w:val="003A6A53"/>
    <w:rsid w:val="003A7972"/>
    <w:rsid w:val="003A79DF"/>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AAA"/>
    <w:rsid w:val="003F749D"/>
    <w:rsid w:val="003F7641"/>
    <w:rsid w:val="003F7E41"/>
    <w:rsid w:val="0040015E"/>
    <w:rsid w:val="00401B6B"/>
    <w:rsid w:val="00403695"/>
    <w:rsid w:val="004039C7"/>
    <w:rsid w:val="00403F5E"/>
    <w:rsid w:val="00404947"/>
    <w:rsid w:val="00405263"/>
    <w:rsid w:val="004071C8"/>
    <w:rsid w:val="00407BA2"/>
    <w:rsid w:val="00407D89"/>
    <w:rsid w:val="00411275"/>
    <w:rsid w:val="00411CA3"/>
    <w:rsid w:val="0041296A"/>
    <w:rsid w:val="00412F81"/>
    <w:rsid w:val="00412FED"/>
    <w:rsid w:val="00413311"/>
    <w:rsid w:val="00414674"/>
    <w:rsid w:val="00414BFB"/>
    <w:rsid w:val="00415067"/>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4674"/>
    <w:rsid w:val="004554B0"/>
    <w:rsid w:val="00456ADD"/>
    <w:rsid w:val="00456CD0"/>
    <w:rsid w:val="0046248B"/>
    <w:rsid w:val="00463141"/>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E013E"/>
    <w:rsid w:val="004E1E4C"/>
    <w:rsid w:val="004E3B82"/>
    <w:rsid w:val="004E6D36"/>
    <w:rsid w:val="004E7DBB"/>
    <w:rsid w:val="004F08A4"/>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6183"/>
    <w:rsid w:val="00546A27"/>
    <w:rsid w:val="005471C8"/>
    <w:rsid w:val="0055060B"/>
    <w:rsid w:val="00550BAA"/>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23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E34"/>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8B7"/>
    <w:rsid w:val="005A7318"/>
    <w:rsid w:val="005A7B96"/>
    <w:rsid w:val="005B062A"/>
    <w:rsid w:val="005B1A5D"/>
    <w:rsid w:val="005B48AC"/>
    <w:rsid w:val="005B48F7"/>
    <w:rsid w:val="005B4F92"/>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4FD"/>
    <w:rsid w:val="005D7745"/>
    <w:rsid w:val="005E0C50"/>
    <w:rsid w:val="005E1316"/>
    <w:rsid w:val="005E14FE"/>
    <w:rsid w:val="005E1622"/>
    <w:rsid w:val="005E1B97"/>
    <w:rsid w:val="005E1C22"/>
    <w:rsid w:val="005E40A9"/>
    <w:rsid w:val="005E5173"/>
    <w:rsid w:val="005E5CF0"/>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B2B"/>
    <w:rsid w:val="00603C96"/>
    <w:rsid w:val="00604869"/>
    <w:rsid w:val="00605AC3"/>
    <w:rsid w:val="00606830"/>
    <w:rsid w:val="006075EE"/>
    <w:rsid w:val="00607D9E"/>
    <w:rsid w:val="00610A83"/>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64B8"/>
    <w:rsid w:val="0066010C"/>
    <w:rsid w:val="0066125E"/>
    <w:rsid w:val="00661521"/>
    <w:rsid w:val="006616A7"/>
    <w:rsid w:val="006620D9"/>
    <w:rsid w:val="00663F68"/>
    <w:rsid w:val="006661A7"/>
    <w:rsid w:val="00666482"/>
    <w:rsid w:val="006700ED"/>
    <w:rsid w:val="00670178"/>
    <w:rsid w:val="006704A7"/>
    <w:rsid w:val="006704D5"/>
    <w:rsid w:val="0067190B"/>
    <w:rsid w:val="00671D55"/>
    <w:rsid w:val="00671EDC"/>
    <w:rsid w:val="00680DD3"/>
    <w:rsid w:val="0068113A"/>
    <w:rsid w:val="00685749"/>
    <w:rsid w:val="0068610F"/>
    <w:rsid w:val="006870F5"/>
    <w:rsid w:val="006872F2"/>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4015"/>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21A7"/>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4B2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186B"/>
    <w:rsid w:val="007521B2"/>
    <w:rsid w:val="007535D6"/>
    <w:rsid w:val="0075413E"/>
    <w:rsid w:val="0075475A"/>
    <w:rsid w:val="00754E89"/>
    <w:rsid w:val="00755121"/>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51499"/>
    <w:rsid w:val="00851F97"/>
    <w:rsid w:val="00853451"/>
    <w:rsid w:val="00854A5A"/>
    <w:rsid w:val="00854CD9"/>
    <w:rsid w:val="008569A1"/>
    <w:rsid w:val="00861E00"/>
    <w:rsid w:val="00862C10"/>
    <w:rsid w:val="00862E1F"/>
    <w:rsid w:val="00863182"/>
    <w:rsid w:val="00864070"/>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33B"/>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71F"/>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5C3"/>
    <w:rsid w:val="00923AE1"/>
    <w:rsid w:val="00925045"/>
    <w:rsid w:val="0092728F"/>
    <w:rsid w:val="00930D4A"/>
    <w:rsid w:val="00930FE6"/>
    <w:rsid w:val="009313DD"/>
    <w:rsid w:val="00931497"/>
    <w:rsid w:val="009314BB"/>
    <w:rsid w:val="00937C76"/>
    <w:rsid w:val="00937D43"/>
    <w:rsid w:val="009412E7"/>
    <w:rsid w:val="00941D4D"/>
    <w:rsid w:val="00943AF1"/>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66A"/>
    <w:rsid w:val="0096380C"/>
    <w:rsid w:val="00965E25"/>
    <w:rsid w:val="00966233"/>
    <w:rsid w:val="00966369"/>
    <w:rsid w:val="009665AD"/>
    <w:rsid w:val="00967437"/>
    <w:rsid w:val="009677AB"/>
    <w:rsid w:val="00967B33"/>
    <w:rsid w:val="00970DF3"/>
    <w:rsid w:val="009716C7"/>
    <w:rsid w:val="00971E10"/>
    <w:rsid w:val="00971E31"/>
    <w:rsid w:val="0097232D"/>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034"/>
    <w:rsid w:val="00A16834"/>
    <w:rsid w:val="00A2024E"/>
    <w:rsid w:val="00A20358"/>
    <w:rsid w:val="00A21908"/>
    <w:rsid w:val="00A21A31"/>
    <w:rsid w:val="00A2268E"/>
    <w:rsid w:val="00A2455D"/>
    <w:rsid w:val="00A256FF"/>
    <w:rsid w:val="00A25F53"/>
    <w:rsid w:val="00A2604E"/>
    <w:rsid w:val="00A275D5"/>
    <w:rsid w:val="00A3093E"/>
    <w:rsid w:val="00A30B19"/>
    <w:rsid w:val="00A30B37"/>
    <w:rsid w:val="00A30BAD"/>
    <w:rsid w:val="00A321A4"/>
    <w:rsid w:val="00A32278"/>
    <w:rsid w:val="00A3304A"/>
    <w:rsid w:val="00A34B91"/>
    <w:rsid w:val="00A35AAB"/>
    <w:rsid w:val="00A372DE"/>
    <w:rsid w:val="00A377F1"/>
    <w:rsid w:val="00A37BEF"/>
    <w:rsid w:val="00A4000D"/>
    <w:rsid w:val="00A40585"/>
    <w:rsid w:val="00A40936"/>
    <w:rsid w:val="00A41536"/>
    <w:rsid w:val="00A41E8C"/>
    <w:rsid w:val="00A420A7"/>
    <w:rsid w:val="00A44016"/>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90A03"/>
    <w:rsid w:val="00A91834"/>
    <w:rsid w:val="00A93BF8"/>
    <w:rsid w:val="00A96683"/>
    <w:rsid w:val="00AA1389"/>
    <w:rsid w:val="00AA1963"/>
    <w:rsid w:val="00AA2E3D"/>
    <w:rsid w:val="00AA3073"/>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4FFB"/>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D66"/>
    <w:rsid w:val="00AF0DBB"/>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B1A"/>
    <w:rsid w:val="00B32A27"/>
    <w:rsid w:val="00B33102"/>
    <w:rsid w:val="00B34AF7"/>
    <w:rsid w:val="00B3572B"/>
    <w:rsid w:val="00B36007"/>
    <w:rsid w:val="00B375CE"/>
    <w:rsid w:val="00B4001D"/>
    <w:rsid w:val="00B41882"/>
    <w:rsid w:val="00B421DC"/>
    <w:rsid w:val="00B423C0"/>
    <w:rsid w:val="00B42626"/>
    <w:rsid w:val="00B42B94"/>
    <w:rsid w:val="00B446F9"/>
    <w:rsid w:val="00B44C22"/>
    <w:rsid w:val="00B45345"/>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583D"/>
    <w:rsid w:val="00B660F7"/>
    <w:rsid w:val="00B66FC2"/>
    <w:rsid w:val="00B67E75"/>
    <w:rsid w:val="00B70BA0"/>
    <w:rsid w:val="00B71946"/>
    <w:rsid w:val="00B71E2A"/>
    <w:rsid w:val="00B72875"/>
    <w:rsid w:val="00B7367F"/>
    <w:rsid w:val="00B74095"/>
    <w:rsid w:val="00B74B41"/>
    <w:rsid w:val="00B74C0F"/>
    <w:rsid w:val="00B755D8"/>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67CC"/>
    <w:rsid w:val="00BD008B"/>
    <w:rsid w:val="00BD0C39"/>
    <w:rsid w:val="00BD0F8E"/>
    <w:rsid w:val="00BD3656"/>
    <w:rsid w:val="00BD41D1"/>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6D1"/>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1C4"/>
    <w:rsid w:val="00C979CB"/>
    <w:rsid w:val="00CA0C2F"/>
    <w:rsid w:val="00CA1380"/>
    <w:rsid w:val="00CA1A90"/>
    <w:rsid w:val="00CA3997"/>
    <w:rsid w:val="00CA3EA8"/>
    <w:rsid w:val="00CA3ED1"/>
    <w:rsid w:val="00CA54D9"/>
    <w:rsid w:val="00CA5874"/>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061"/>
    <w:rsid w:val="00CC4100"/>
    <w:rsid w:val="00CC55D1"/>
    <w:rsid w:val="00CC5E28"/>
    <w:rsid w:val="00CC6B2B"/>
    <w:rsid w:val="00CC7B21"/>
    <w:rsid w:val="00CC7DDF"/>
    <w:rsid w:val="00CD0A13"/>
    <w:rsid w:val="00CD0E63"/>
    <w:rsid w:val="00CD11AD"/>
    <w:rsid w:val="00CD27E5"/>
    <w:rsid w:val="00CD315E"/>
    <w:rsid w:val="00CD41F4"/>
    <w:rsid w:val="00CD47FB"/>
    <w:rsid w:val="00CD4A8B"/>
    <w:rsid w:val="00CD5043"/>
    <w:rsid w:val="00CD54E1"/>
    <w:rsid w:val="00CD579F"/>
    <w:rsid w:val="00CD76C2"/>
    <w:rsid w:val="00CD7DBF"/>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4F6"/>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833"/>
    <w:rsid w:val="00D5796F"/>
    <w:rsid w:val="00D57BF2"/>
    <w:rsid w:val="00D60F28"/>
    <w:rsid w:val="00D612DA"/>
    <w:rsid w:val="00D627EA"/>
    <w:rsid w:val="00D62D3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A32"/>
    <w:rsid w:val="00D93D35"/>
    <w:rsid w:val="00D94096"/>
    <w:rsid w:val="00D94DEC"/>
    <w:rsid w:val="00D94E0E"/>
    <w:rsid w:val="00D96FBA"/>
    <w:rsid w:val="00D97DD2"/>
    <w:rsid w:val="00D97EE1"/>
    <w:rsid w:val="00DA1A36"/>
    <w:rsid w:val="00DA1CE9"/>
    <w:rsid w:val="00DA2D37"/>
    <w:rsid w:val="00DA30D0"/>
    <w:rsid w:val="00DA4482"/>
    <w:rsid w:val="00DA768C"/>
    <w:rsid w:val="00DA7D93"/>
    <w:rsid w:val="00DB01C3"/>
    <w:rsid w:val="00DB03F7"/>
    <w:rsid w:val="00DB0D4B"/>
    <w:rsid w:val="00DB116A"/>
    <w:rsid w:val="00DB372C"/>
    <w:rsid w:val="00DB3DB3"/>
    <w:rsid w:val="00DB494B"/>
    <w:rsid w:val="00DB5218"/>
    <w:rsid w:val="00DB5D55"/>
    <w:rsid w:val="00DB5EEC"/>
    <w:rsid w:val="00DB5EFC"/>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CF8"/>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420"/>
    <w:rsid w:val="00E134D3"/>
    <w:rsid w:val="00E136FD"/>
    <w:rsid w:val="00E1583C"/>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1E5A"/>
    <w:rsid w:val="00E434E4"/>
    <w:rsid w:val="00E43741"/>
    <w:rsid w:val="00E45BED"/>
    <w:rsid w:val="00E46037"/>
    <w:rsid w:val="00E463F9"/>
    <w:rsid w:val="00E46748"/>
    <w:rsid w:val="00E47F27"/>
    <w:rsid w:val="00E51039"/>
    <w:rsid w:val="00E53C13"/>
    <w:rsid w:val="00E5457F"/>
    <w:rsid w:val="00E55A69"/>
    <w:rsid w:val="00E55E97"/>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32DB"/>
    <w:rsid w:val="00E73E6C"/>
    <w:rsid w:val="00E74B34"/>
    <w:rsid w:val="00E74F4D"/>
    <w:rsid w:val="00E762F8"/>
    <w:rsid w:val="00E76692"/>
    <w:rsid w:val="00E81C62"/>
    <w:rsid w:val="00E83EC0"/>
    <w:rsid w:val="00E84781"/>
    <w:rsid w:val="00E84B02"/>
    <w:rsid w:val="00E85A6E"/>
    <w:rsid w:val="00E901FE"/>
    <w:rsid w:val="00E9188F"/>
    <w:rsid w:val="00E91AB9"/>
    <w:rsid w:val="00E92EE0"/>
    <w:rsid w:val="00E936DC"/>
    <w:rsid w:val="00EA0BAE"/>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3FDE"/>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45A7"/>
    <w:rsid w:val="00F445BB"/>
    <w:rsid w:val="00F450FC"/>
    <w:rsid w:val="00F4641A"/>
    <w:rsid w:val="00F530CD"/>
    <w:rsid w:val="00F53197"/>
    <w:rsid w:val="00F53528"/>
    <w:rsid w:val="00F53F4F"/>
    <w:rsid w:val="00F542B2"/>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C34"/>
    <w:rsid w:val="00F93D60"/>
    <w:rsid w:val="00F93D91"/>
    <w:rsid w:val="00F93FDA"/>
    <w:rsid w:val="00F95267"/>
    <w:rsid w:val="00F953F7"/>
    <w:rsid w:val="00F96C69"/>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 w:type="character" w:styleId="af3">
    <w:name w:val="Emphasis"/>
    <w:basedOn w:val="a0"/>
    <w:uiPriority w:val="20"/>
    <w:qFormat/>
    <w:rsid w:val="008C6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0710">
      <w:bodyDiv w:val="1"/>
      <w:marLeft w:val="0"/>
      <w:marRight w:val="0"/>
      <w:marTop w:val="0"/>
      <w:marBottom w:val="0"/>
      <w:divBdr>
        <w:top w:val="none" w:sz="0" w:space="0" w:color="auto"/>
        <w:left w:val="none" w:sz="0" w:space="0" w:color="auto"/>
        <w:bottom w:val="none" w:sz="0" w:space="0" w:color="auto"/>
        <w:right w:val="none" w:sz="0" w:space="0" w:color="auto"/>
      </w:divBdr>
    </w:div>
    <w:div w:id="378628959">
      <w:bodyDiv w:val="1"/>
      <w:marLeft w:val="0"/>
      <w:marRight w:val="0"/>
      <w:marTop w:val="0"/>
      <w:marBottom w:val="0"/>
      <w:divBdr>
        <w:top w:val="none" w:sz="0" w:space="0" w:color="auto"/>
        <w:left w:val="none" w:sz="0" w:space="0" w:color="auto"/>
        <w:bottom w:val="none" w:sz="0" w:space="0" w:color="auto"/>
        <w:right w:val="none" w:sz="0" w:space="0" w:color="auto"/>
      </w:divBdr>
    </w:div>
    <w:div w:id="18278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750E64-0444-4DB5-9E3C-39D3E376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2046</Words>
  <Characters>10230</Characters>
  <Application>Microsoft Office Word</Application>
  <DocSecurity>0</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יהודה פאש</dc:creator>
  <cp:lastModifiedBy>רוסול דכוור</cp:lastModifiedBy>
  <cp:revision>4</cp:revision>
  <cp:lastPrinted>2025-02-24T11:13:00Z</cp:lastPrinted>
  <dcterms:created xsi:type="dcterms:W3CDTF">2026-01-05T14:07:00Z</dcterms:created>
  <dcterms:modified xsi:type="dcterms:W3CDTF">2026-01-05T15:05:00Z</dcterms:modified>
</cp:coreProperties>
</file>