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D78" w:rsidRPr="003B4DD7" w:rsidRDefault="002235F5" w:rsidP="004752DA">
      <w:pPr>
        <w:bidi w:val="0"/>
        <w:jc w:val="center"/>
        <w:rPr>
          <w:rFonts w:asciiTheme="majorBidi" w:hAnsiTheme="majorBidi" w:cstheme="majorBidi"/>
          <w:rtl/>
        </w:rPr>
      </w:pPr>
      <w:r w:rsidRPr="003B4DD7">
        <w:rPr>
          <w:rFonts w:asciiTheme="majorBidi" w:hAnsiTheme="majorBidi" w:cstheme="majorBidi"/>
          <w:noProof/>
        </w:rPr>
        <w:drawing>
          <wp:inline distT="0" distB="0" distL="0" distR="0">
            <wp:extent cx="975360" cy="975360"/>
            <wp:effectExtent l="0" t="0" r="0" b="0"/>
            <wp:docPr id="1" name="Picture 1" descr="\\portals\DavWWWRoot\sites\boi\about\Mitug\DocList\Logo Bank of Israel 2 color\Logo Bank of Israel 2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rtals\DavWWWRoot\sites\boi\about\Mitug\DocList\Logo Bank of Israel 2 color\Logo Bank of Israel 2 color.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60" cy="975360"/>
                    </a:xfrm>
                    <a:prstGeom prst="rect">
                      <a:avLst/>
                    </a:prstGeom>
                    <a:noFill/>
                    <a:ln>
                      <a:noFill/>
                    </a:ln>
                  </pic:spPr>
                </pic:pic>
              </a:graphicData>
            </a:graphic>
          </wp:inline>
        </w:drawing>
      </w:r>
    </w:p>
    <w:p w:rsidR="00892A46" w:rsidRPr="003B4DD7" w:rsidRDefault="00892A46" w:rsidP="004752DA">
      <w:pPr>
        <w:pStyle w:val="regpar"/>
        <w:spacing w:line="300" w:lineRule="atLeast"/>
        <w:ind w:firstLine="0"/>
        <w:jc w:val="center"/>
        <w:rPr>
          <w:rFonts w:asciiTheme="majorBidi" w:hAnsiTheme="majorBidi" w:cstheme="majorBidi"/>
          <w:b/>
          <w:bCs/>
        </w:rPr>
      </w:pPr>
      <w:r w:rsidRPr="003B4DD7">
        <w:rPr>
          <w:rFonts w:asciiTheme="majorBidi" w:hAnsiTheme="majorBidi" w:cstheme="majorBidi"/>
          <w:b/>
          <w:bCs/>
        </w:rPr>
        <w:t>BANK OF ISRAEL</w:t>
      </w:r>
    </w:p>
    <w:p w:rsidR="00892A46" w:rsidRPr="003B4DD7" w:rsidRDefault="00892A46" w:rsidP="004752DA">
      <w:pPr>
        <w:pStyle w:val="regpar"/>
        <w:spacing w:line="300" w:lineRule="atLeast"/>
        <w:ind w:firstLine="0"/>
        <w:jc w:val="center"/>
        <w:rPr>
          <w:rFonts w:asciiTheme="majorBidi" w:hAnsiTheme="majorBidi" w:cstheme="majorBidi"/>
        </w:rPr>
      </w:pPr>
      <w:r w:rsidRPr="003B4DD7">
        <w:rPr>
          <w:rFonts w:asciiTheme="majorBidi" w:hAnsiTheme="majorBidi" w:cstheme="majorBidi"/>
        </w:rPr>
        <w:t>Office of the Spokesperson and Economic Information</w:t>
      </w:r>
    </w:p>
    <w:p w:rsidR="00B533D5" w:rsidRPr="00191D6A" w:rsidRDefault="007926C7" w:rsidP="00A03874">
      <w:pPr>
        <w:bidi w:val="0"/>
        <w:jc w:val="both"/>
        <w:rPr>
          <w:rFonts w:asciiTheme="minorHAnsi" w:hAnsiTheme="minorHAnsi" w:cstheme="minorHAnsi"/>
        </w:rPr>
      </w:pPr>
      <w:r w:rsidRPr="003B4DD7">
        <w:rPr>
          <w:rFonts w:asciiTheme="majorBidi" w:hAnsiTheme="majorBidi" w:cstheme="majorBidi"/>
        </w:rPr>
        <w:br/>
      </w:r>
    </w:p>
    <w:p w:rsidR="00191D6A" w:rsidRPr="00191D6A" w:rsidRDefault="00191D6A" w:rsidP="00191D6A">
      <w:pPr>
        <w:bidi w:val="0"/>
        <w:jc w:val="both"/>
        <w:rPr>
          <w:rFonts w:asciiTheme="minorHAnsi" w:hAnsiTheme="minorHAnsi" w:cstheme="minorHAnsi"/>
        </w:rPr>
      </w:pPr>
      <w:r w:rsidRPr="00191D6A">
        <w:rPr>
          <w:rFonts w:asciiTheme="minorHAnsi" w:hAnsiTheme="minorHAnsi" w:cstheme="minorHAnsi"/>
        </w:rPr>
        <w:t>June 30, 2026</w:t>
      </w:r>
    </w:p>
    <w:p w:rsidR="00191D6A" w:rsidRDefault="00191D6A" w:rsidP="00191D6A">
      <w:pPr>
        <w:bidi w:val="0"/>
        <w:jc w:val="both"/>
        <w:rPr>
          <w:rFonts w:asciiTheme="minorHAnsi" w:hAnsiTheme="minorHAnsi" w:cstheme="minorHAnsi"/>
        </w:rPr>
      </w:pPr>
    </w:p>
    <w:p w:rsidR="00A6208D" w:rsidRPr="00191D6A" w:rsidRDefault="00A6208D" w:rsidP="00191D6A">
      <w:pPr>
        <w:bidi w:val="0"/>
        <w:jc w:val="both"/>
        <w:rPr>
          <w:rFonts w:asciiTheme="minorHAnsi" w:hAnsiTheme="minorHAnsi" w:cstheme="minorHAnsi"/>
        </w:rPr>
      </w:pPr>
      <w:r w:rsidRPr="00191D6A">
        <w:rPr>
          <w:rFonts w:asciiTheme="minorHAnsi" w:hAnsiTheme="minorHAnsi" w:cstheme="minorHAnsi"/>
        </w:rPr>
        <w:t>Press release</w:t>
      </w:r>
    </w:p>
    <w:p w:rsidR="00496A4E" w:rsidRPr="00191D6A" w:rsidRDefault="00496A4E" w:rsidP="00496A4E">
      <w:pPr>
        <w:bidi w:val="0"/>
        <w:jc w:val="both"/>
        <w:rPr>
          <w:rFonts w:asciiTheme="minorHAnsi" w:hAnsiTheme="minorHAnsi" w:cstheme="minorHAnsi"/>
        </w:rPr>
      </w:pPr>
    </w:p>
    <w:p w:rsidR="00040B3C" w:rsidRPr="00191D6A" w:rsidRDefault="00040B3C" w:rsidP="00191D6A">
      <w:pPr>
        <w:bidi w:val="0"/>
        <w:jc w:val="center"/>
        <w:rPr>
          <w:rFonts w:asciiTheme="minorHAnsi" w:hAnsiTheme="minorHAnsi" w:cstheme="minorHAnsi"/>
          <w:b/>
          <w:bCs/>
          <w:sz w:val="28"/>
          <w:szCs w:val="28"/>
        </w:rPr>
      </w:pPr>
      <w:r w:rsidRPr="00191D6A">
        <w:rPr>
          <w:rFonts w:asciiTheme="minorHAnsi" w:hAnsiTheme="minorHAnsi" w:cstheme="minorHAnsi"/>
          <w:b/>
          <w:bCs/>
          <w:sz w:val="28"/>
          <w:szCs w:val="28"/>
        </w:rPr>
        <w:t>A significant step toward promoting the entry of new players into the banking system: the Banking Supervision Department publishes a new Proper Conduct of Banking Business Directive</w:t>
      </w:r>
      <w:r w:rsidR="00EC424D" w:rsidRPr="00191D6A">
        <w:rPr>
          <w:rFonts w:asciiTheme="minorHAnsi" w:hAnsiTheme="minorHAnsi" w:cstheme="minorHAnsi"/>
          <w:b/>
          <w:bCs/>
          <w:sz w:val="28"/>
          <w:szCs w:val="28"/>
        </w:rPr>
        <w:t>, which deals with adjustments for small and new banks.</w:t>
      </w:r>
    </w:p>
    <w:p w:rsidR="00191D6A" w:rsidRPr="00191D6A" w:rsidRDefault="00191D6A" w:rsidP="00191D6A">
      <w:pPr>
        <w:bidi w:val="0"/>
        <w:jc w:val="both"/>
        <w:rPr>
          <w:rFonts w:asciiTheme="minorHAnsi" w:hAnsiTheme="minorHAnsi" w:cstheme="minorHAnsi"/>
          <w:b/>
          <w:bCs/>
        </w:rPr>
      </w:pPr>
    </w:p>
    <w:p w:rsidR="00496A4E" w:rsidRPr="00191D6A" w:rsidRDefault="00496A4E" w:rsidP="00496A4E">
      <w:pPr>
        <w:bidi w:val="0"/>
        <w:jc w:val="both"/>
        <w:rPr>
          <w:rFonts w:asciiTheme="minorHAnsi" w:hAnsiTheme="minorHAnsi" w:cstheme="minorHAnsi"/>
        </w:rPr>
      </w:pPr>
      <w:r w:rsidRPr="00191D6A">
        <w:rPr>
          <w:rFonts w:asciiTheme="minorHAnsi" w:hAnsiTheme="minorHAnsi" w:cstheme="minorHAnsi"/>
        </w:rPr>
        <w:t xml:space="preserve">The Banking Supervision Department today published a new Proper Conduct of Banking Business Directive, No. 490, on “Supervisory Framework for Small and New Banks.” The directive tailors regulatory and supervisory requirements to the scope of a banking corporation’s activities and its systemic importance, while maintaining the stability of the banking system, fairness toward customers, and the </w:t>
      </w:r>
      <w:bookmarkStart w:id="0" w:name="_GoBack"/>
      <w:bookmarkEnd w:id="0"/>
      <w:r w:rsidRPr="00191D6A">
        <w:rPr>
          <w:rFonts w:asciiTheme="minorHAnsi" w:hAnsiTheme="minorHAnsi" w:cstheme="minorHAnsi"/>
        </w:rPr>
        <w:t>providing of adequate service.</w:t>
      </w:r>
    </w:p>
    <w:p w:rsidR="00040B3C" w:rsidRPr="00191D6A" w:rsidRDefault="00CB7987" w:rsidP="00594A29">
      <w:pPr>
        <w:bidi w:val="0"/>
        <w:spacing w:before="100" w:beforeAutospacing="1" w:after="100" w:afterAutospacing="1"/>
        <w:jc w:val="both"/>
        <w:rPr>
          <w:rFonts w:asciiTheme="minorHAnsi" w:hAnsiTheme="minorHAnsi" w:cstheme="minorHAnsi"/>
        </w:rPr>
      </w:pPr>
      <w:r w:rsidRPr="00191D6A">
        <w:rPr>
          <w:rFonts w:asciiTheme="minorHAnsi" w:hAnsiTheme="minorHAnsi" w:cstheme="minorHAnsi"/>
        </w:rPr>
        <w:t>T</w:t>
      </w:r>
      <w:r w:rsidR="00040B3C" w:rsidRPr="00191D6A">
        <w:rPr>
          <w:rFonts w:asciiTheme="minorHAnsi" w:hAnsiTheme="minorHAnsi" w:cstheme="minorHAnsi"/>
        </w:rPr>
        <w:t xml:space="preserve">he Banking Supervision Department today published a new Proper Conduct of Banking Business Directive, No. 490, </w:t>
      </w:r>
      <w:r w:rsidR="00291847" w:rsidRPr="00191D6A">
        <w:rPr>
          <w:rFonts w:asciiTheme="minorHAnsi" w:hAnsiTheme="minorHAnsi" w:cstheme="minorHAnsi"/>
        </w:rPr>
        <w:t xml:space="preserve">on </w:t>
      </w:r>
      <w:r w:rsidR="00040B3C" w:rsidRPr="00191D6A">
        <w:rPr>
          <w:rFonts w:asciiTheme="minorHAnsi" w:hAnsiTheme="minorHAnsi" w:cstheme="minorHAnsi"/>
        </w:rPr>
        <w:t xml:space="preserve">“Supervisory Framework for Small and New Banks.” The directive tailors regulatory and supervisory requirements to the </w:t>
      </w:r>
      <w:r w:rsidR="00291847" w:rsidRPr="00191D6A">
        <w:rPr>
          <w:rFonts w:asciiTheme="minorHAnsi" w:hAnsiTheme="minorHAnsi" w:cstheme="minorHAnsi"/>
        </w:rPr>
        <w:t xml:space="preserve">scope </w:t>
      </w:r>
      <w:r w:rsidR="00040B3C" w:rsidRPr="00191D6A">
        <w:rPr>
          <w:rFonts w:asciiTheme="minorHAnsi" w:hAnsiTheme="minorHAnsi" w:cstheme="minorHAnsi"/>
        </w:rPr>
        <w:t>of a banking corporation’s activities and its systemic importance, while maintaining the stability of the banking system, fairness toward customers, and the provi</w:t>
      </w:r>
      <w:r w:rsidR="00291847" w:rsidRPr="00191D6A">
        <w:rPr>
          <w:rFonts w:asciiTheme="minorHAnsi" w:hAnsiTheme="minorHAnsi" w:cstheme="minorHAnsi"/>
        </w:rPr>
        <w:t xml:space="preserve">ding of </w:t>
      </w:r>
      <w:r w:rsidR="00040B3C" w:rsidRPr="00191D6A">
        <w:rPr>
          <w:rFonts w:asciiTheme="minorHAnsi" w:hAnsiTheme="minorHAnsi" w:cstheme="minorHAnsi"/>
        </w:rPr>
        <w:t xml:space="preserve">adequate service. The directive was formulated following </w:t>
      </w:r>
      <w:r w:rsidR="00594A29" w:rsidRPr="00191D6A">
        <w:rPr>
          <w:rFonts w:asciiTheme="minorHAnsi" w:hAnsiTheme="minorHAnsi" w:cstheme="minorHAnsi"/>
        </w:rPr>
        <w:t>a</w:t>
      </w:r>
      <w:r w:rsidR="00040B3C" w:rsidRPr="00191D6A">
        <w:rPr>
          <w:rFonts w:asciiTheme="minorHAnsi" w:hAnsiTheme="minorHAnsi" w:cstheme="minorHAnsi"/>
        </w:rPr>
        <w:t xml:space="preserve"> legislative process aimed at </w:t>
      </w:r>
      <w:r w:rsidR="00291847" w:rsidRPr="00191D6A">
        <w:rPr>
          <w:rFonts w:asciiTheme="minorHAnsi" w:hAnsiTheme="minorHAnsi" w:cstheme="minorHAnsi"/>
        </w:rPr>
        <w:t xml:space="preserve">enhancing </w:t>
      </w:r>
      <w:r w:rsidR="00040B3C" w:rsidRPr="00191D6A">
        <w:rPr>
          <w:rFonts w:asciiTheme="minorHAnsi" w:hAnsiTheme="minorHAnsi" w:cstheme="minorHAnsi"/>
        </w:rPr>
        <w:t xml:space="preserve">competition in the </w:t>
      </w:r>
      <w:proofErr w:type="gramStart"/>
      <w:r w:rsidR="00040B3C" w:rsidRPr="00191D6A">
        <w:rPr>
          <w:rFonts w:asciiTheme="minorHAnsi" w:hAnsiTheme="minorHAnsi" w:cstheme="minorHAnsi"/>
        </w:rPr>
        <w:t>retail banking</w:t>
      </w:r>
      <w:proofErr w:type="gramEnd"/>
      <w:r w:rsidR="00040B3C" w:rsidRPr="00191D6A">
        <w:rPr>
          <w:rFonts w:asciiTheme="minorHAnsi" w:hAnsiTheme="minorHAnsi" w:cstheme="minorHAnsi"/>
        </w:rPr>
        <w:t xml:space="preserve"> sector, carried out in </w:t>
      </w:r>
      <w:r w:rsidR="00291847" w:rsidRPr="00191D6A">
        <w:rPr>
          <w:rFonts w:asciiTheme="minorHAnsi" w:hAnsiTheme="minorHAnsi" w:cstheme="minorHAnsi"/>
        </w:rPr>
        <w:t xml:space="preserve">collaboration </w:t>
      </w:r>
      <w:r w:rsidR="00040B3C" w:rsidRPr="00191D6A">
        <w:rPr>
          <w:rFonts w:asciiTheme="minorHAnsi" w:hAnsiTheme="minorHAnsi" w:cstheme="minorHAnsi"/>
        </w:rPr>
        <w:t>with the Ministry of Finance, and constitutes a significant step in the Bank of Israel’s efforts to remov</w:t>
      </w:r>
      <w:r w:rsidR="00291847" w:rsidRPr="00191D6A">
        <w:rPr>
          <w:rFonts w:asciiTheme="minorHAnsi" w:hAnsiTheme="minorHAnsi" w:cstheme="minorHAnsi"/>
        </w:rPr>
        <w:t xml:space="preserve">ing </w:t>
      </w:r>
      <w:r w:rsidR="00040B3C" w:rsidRPr="00191D6A">
        <w:rPr>
          <w:rFonts w:asciiTheme="minorHAnsi" w:hAnsiTheme="minorHAnsi" w:cstheme="minorHAnsi"/>
        </w:rPr>
        <w:t>barriers to entry and encourag</w:t>
      </w:r>
      <w:r w:rsidR="00291847" w:rsidRPr="00191D6A">
        <w:rPr>
          <w:rFonts w:asciiTheme="minorHAnsi" w:hAnsiTheme="minorHAnsi" w:cstheme="minorHAnsi"/>
        </w:rPr>
        <w:t xml:space="preserve">ing </w:t>
      </w:r>
      <w:r w:rsidR="00040B3C" w:rsidRPr="00191D6A">
        <w:rPr>
          <w:rFonts w:asciiTheme="minorHAnsi" w:hAnsiTheme="minorHAnsi" w:cstheme="minorHAnsi"/>
        </w:rPr>
        <w:t>the entry of new players into the banking system.</w:t>
      </w:r>
    </w:p>
    <w:p w:rsidR="00040B3C" w:rsidRPr="00191D6A" w:rsidRDefault="00040B3C" w:rsidP="005900D3">
      <w:pPr>
        <w:bidi w:val="0"/>
        <w:spacing w:before="100" w:beforeAutospacing="1" w:after="100" w:afterAutospacing="1"/>
        <w:jc w:val="both"/>
        <w:rPr>
          <w:rFonts w:asciiTheme="minorHAnsi" w:hAnsiTheme="minorHAnsi" w:cstheme="minorHAnsi"/>
        </w:rPr>
      </w:pPr>
      <w:r w:rsidRPr="00191D6A">
        <w:rPr>
          <w:rFonts w:asciiTheme="minorHAnsi" w:hAnsiTheme="minorHAnsi" w:cstheme="minorHAnsi"/>
          <w:b/>
          <w:bCs/>
        </w:rPr>
        <w:t>Dan</w:t>
      </w:r>
      <w:r w:rsidR="005900D3" w:rsidRPr="00191D6A">
        <w:rPr>
          <w:rFonts w:asciiTheme="minorHAnsi" w:hAnsiTheme="minorHAnsi" w:cstheme="minorHAnsi"/>
          <w:b/>
          <w:bCs/>
        </w:rPr>
        <w:t xml:space="preserve">iel </w:t>
      </w:r>
      <w:r w:rsidR="00616155" w:rsidRPr="00191D6A">
        <w:rPr>
          <w:rFonts w:asciiTheme="minorHAnsi" w:hAnsiTheme="minorHAnsi" w:cstheme="minorHAnsi"/>
          <w:b/>
          <w:bCs/>
        </w:rPr>
        <w:t>H</w:t>
      </w:r>
      <w:r w:rsidRPr="00191D6A">
        <w:rPr>
          <w:rFonts w:asciiTheme="minorHAnsi" w:hAnsiTheme="minorHAnsi" w:cstheme="minorHAnsi"/>
          <w:b/>
          <w:bCs/>
        </w:rPr>
        <w:t>a</w:t>
      </w:r>
      <w:r w:rsidR="00616155" w:rsidRPr="00191D6A">
        <w:rPr>
          <w:rFonts w:asciiTheme="minorHAnsi" w:hAnsiTheme="minorHAnsi" w:cstheme="minorHAnsi"/>
          <w:b/>
          <w:bCs/>
        </w:rPr>
        <w:t>h</w:t>
      </w:r>
      <w:r w:rsidRPr="00191D6A">
        <w:rPr>
          <w:rFonts w:asciiTheme="minorHAnsi" w:hAnsiTheme="minorHAnsi" w:cstheme="minorHAnsi"/>
          <w:b/>
          <w:bCs/>
        </w:rPr>
        <w:t>iashvili, Supervisor of Banks at the Bank of Israel</w:t>
      </w:r>
      <w:r w:rsidRPr="00191D6A">
        <w:rPr>
          <w:rFonts w:asciiTheme="minorHAnsi" w:hAnsiTheme="minorHAnsi" w:cstheme="minorHAnsi"/>
        </w:rPr>
        <w:t>, said: “The publication of the directive is significant news for the Israeli public and is expected to support the entry of new banks into the system, which will offer innovative products and services and contribute to increased competition in the banking system. The Banking Supervision Department will continue to promote a balanced regulatory environment that encourages competition and innovation in the banking system, alongside protecting depositors’ funds and safeguarding the stability of the banking system.”</w:t>
      </w:r>
    </w:p>
    <w:p w:rsidR="00040B3C" w:rsidRPr="00191D6A" w:rsidRDefault="00040B3C" w:rsidP="00616155">
      <w:pPr>
        <w:bidi w:val="0"/>
        <w:spacing w:before="100" w:beforeAutospacing="1" w:after="100" w:afterAutospacing="1"/>
        <w:jc w:val="both"/>
        <w:rPr>
          <w:rFonts w:asciiTheme="minorHAnsi" w:hAnsiTheme="minorHAnsi" w:cstheme="minorHAnsi"/>
        </w:rPr>
      </w:pPr>
      <w:r w:rsidRPr="00191D6A">
        <w:rPr>
          <w:rFonts w:asciiTheme="minorHAnsi" w:hAnsiTheme="minorHAnsi" w:cstheme="minorHAnsi"/>
        </w:rPr>
        <w:t>The directive adopts a graduated supervisory approach in line with the Basel Committee’s principle of proportionality. It replaces Proper Conduct of Banking Business Directive No. 480, published in 2020, which addressed adjustments for a new banking corporation and a banking corporation in formation; expands the scope of the adjustments granted to date; and applies a broader and more comprehensive framework that will also apply to existing banks according to their characteristics.</w:t>
      </w:r>
    </w:p>
    <w:p w:rsidR="00040B3C" w:rsidRPr="00191D6A" w:rsidRDefault="00040B3C" w:rsidP="00616155">
      <w:pPr>
        <w:bidi w:val="0"/>
        <w:spacing w:before="100" w:beforeAutospacing="1" w:after="100" w:afterAutospacing="1"/>
        <w:jc w:val="both"/>
        <w:rPr>
          <w:rFonts w:asciiTheme="minorHAnsi" w:hAnsiTheme="minorHAnsi" w:cstheme="minorHAnsi"/>
          <w:b/>
          <w:bCs/>
          <w:rtl/>
        </w:rPr>
      </w:pPr>
      <w:r w:rsidRPr="00191D6A">
        <w:rPr>
          <w:rFonts w:asciiTheme="minorHAnsi" w:hAnsiTheme="minorHAnsi" w:cstheme="minorHAnsi"/>
          <w:b/>
          <w:bCs/>
        </w:rPr>
        <w:t>The permanent supervisory tiers established under the directive:</w:t>
      </w:r>
    </w:p>
    <w:p w:rsidR="000D4B9C" w:rsidRPr="00191D6A" w:rsidRDefault="000D4B9C" w:rsidP="000D4B9C">
      <w:pPr>
        <w:bidi w:val="0"/>
        <w:spacing w:before="100" w:beforeAutospacing="1" w:after="100" w:afterAutospacing="1"/>
        <w:rPr>
          <w:rFonts w:asciiTheme="minorHAnsi" w:hAnsiTheme="minorHAnsi" w:cstheme="minorHAnsi"/>
        </w:rPr>
      </w:pPr>
    </w:p>
    <w:p w:rsidR="004752DA" w:rsidRPr="00191D6A" w:rsidRDefault="00040B3C" w:rsidP="00040B3C">
      <w:pPr>
        <w:bidi w:val="0"/>
        <w:spacing w:before="100" w:beforeAutospacing="1" w:after="100" w:afterAutospacing="1"/>
        <w:jc w:val="both"/>
        <w:rPr>
          <w:rFonts w:asciiTheme="minorHAnsi" w:hAnsiTheme="minorHAnsi" w:cstheme="minorHAnsi"/>
        </w:rPr>
      </w:pPr>
      <w:r w:rsidRPr="00191D6A">
        <w:rPr>
          <w:rFonts w:asciiTheme="minorHAnsi" w:hAnsiTheme="minorHAnsi" w:cstheme="minorHAnsi"/>
        </w:rPr>
        <w:t> </w:t>
      </w:r>
    </w:p>
    <w:p w:rsidR="004752DA" w:rsidRPr="00191D6A" w:rsidRDefault="004752DA" w:rsidP="004752DA">
      <w:pPr>
        <w:bidi w:val="0"/>
        <w:spacing w:before="100" w:beforeAutospacing="1" w:after="100" w:afterAutospacing="1"/>
        <w:jc w:val="both"/>
        <w:rPr>
          <w:rFonts w:asciiTheme="minorHAnsi" w:hAnsiTheme="minorHAnsi" w:cstheme="minorHAnsi"/>
        </w:rPr>
      </w:pPr>
    </w:p>
    <w:p w:rsidR="000D4B9C" w:rsidRPr="00191D6A" w:rsidRDefault="000D4B9C" w:rsidP="000D4B9C">
      <w:pPr>
        <w:pStyle w:val="NormalWeb"/>
        <w:rPr>
          <w:rStyle w:val="af1"/>
          <w:rFonts w:asciiTheme="minorHAnsi" w:hAnsiTheme="minorHAnsi" w:cstheme="minorHAnsi"/>
        </w:rPr>
      </w:pPr>
    </w:p>
    <w:p w:rsidR="000D4B9C" w:rsidRPr="00191D6A" w:rsidRDefault="000D4B9C" w:rsidP="000D4B9C">
      <w:pPr>
        <w:pStyle w:val="NormalWeb"/>
        <w:rPr>
          <w:rStyle w:val="af1"/>
          <w:rFonts w:asciiTheme="minorHAnsi" w:hAnsiTheme="minorHAnsi" w:cstheme="minorHAnsi"/>
        </w:rPr>
      </w:pPr>
    </w:p>
    <w:tbl>
      <w:tblPr>
        <w:tblStyle w:val="a5"/>
        <w:tblW w:w="0" w:type="auto"/>
        <w:tblLook w:val="04A0" w:firstRow="1" w:lastRow="0" w:firstColumn="1" w:lastColumn="0" w:noHBand="0" w:noVBand="1"/>
      </w:tblPr>
      <w:tblGrid>
        <w:gridCol w:w="2769"/>
        <w:gridCol w:w="2763"/>
        <w:gridCol w:w="2770"/>
      </w:tblGrid>
      <w:tr w:rsidR="000D4B9C" w:rsidRPr="00191D6A" w:rsidTr="000D4B9C">
        <w:tc>
          <w:tcPr>
            <w:tcW w:w="284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Tier</w:t>
            </w:r>
          </w:p>
        </w:tc>
        <w:tc>
          <w:tcPr>
            <w:tcW w:w="2843"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Asset threshold</w:t>
            </w:r>
          </w:p>
        </w:tc>
        <w:tc>
          <w:tcPr>
            <w:tcW w:w="2843"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Transition to the next permanent tier</w:t>
            </w:r>
          </w:p>
        </w:tc>
      </w:tr>
      <w:tr w:rsidR="000D4B9C" w:rsidRPr="00191D6A" w:rsidTr="000D4B9C">
        <w:tc>
          <w:tcPr>
            <w:tcW w:w="284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Permanent Tier 1</w:t>
            </w:r>
          </w:p>
        </w:tc>
        <w:tc>
          <w:tcPr>
            <w:tcW w:w="2843" w:type="dxa"/>
          </w:tcPr>
          <w:p w:rsidR="000D4B9C" w:rsidRPr="00191D6A" w:rsidRDefault="000D4B9C" w:rsidP="0007427E">
            <w:pPr>
              <w:pStyle w:val="NormalWeb"/>
              <w:jc w:val="both"/>
              <w:rPr>
                <w:rStyle w:val="af1"/>
                <w:rFonts w:asciiTheme="minorHAnsi" w:hAnsiTheme="minorHAnsi" w:cstheme="minorHAnsi"/>
              </w:rPr>
            </w:pPr>
            <w:r w:rsidRPr="00191D6A">
              <w:rPr>
                <w:rFonts w:asciiTheme="minorHAnsi" w:hAnsiTheme="minorHAnsi" w:cstheme="minorHAnsi"/>
              </w:rPr>
              <w:t>The bank’s total assets are up to NIS 15 billion</w:t>
            </w:r>
          </w:p>
        </w:tc>
        <w:tc>
          <w:tcPr>
            <w:tcW w:w="2843" w:type="dxa"/>
          </w:tcPr>
          <w:p w:rsidR="000D4B9C" w:rsidRPr="00191D6A" w:rsidRDefault="000D4B9C" w:rsidP="0007427E">
            <w:pPr>
              <w:pStyle w:val="NormalWeb"/>
              <w:jc w:val="both"/>
              <w:rPr>
                <w:rStyle w:val="af1"/>
                <w:rFonts w:asciiTheme="minorHAnsi" w:hAnsiTheme="minorHAnsi" w:cstheme="minorHAnsi"/>
              </w:rPr>
            </w:pPr>
            <w:r w:rsidRPr="00191D6A">
              <w:rPr>
                <w:rFonts w:asciiTheme="minorHAnsi" w:hAnsiTheme="minorHAnsi" w:cstheme="minorHAnsi"/>
              </w:rPr>
              <w:t>When the bank’s total assets reach NIS 15 billion, the Supervisor will consider granting the bank a transition period of up to two years before moving to Permanent Tier 2.</w:t>
            </w:r>
          </w:p>
        </w:tc>
      </w:tr>
      <w:tr w:rsidR="000D4B9C" w:rsidRPr="00191D6A" w:rsidTr="000D4B9C">
        <w:tc>
          <w:tcPr>
            <w:tcW w:w="284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Permanent Tier 2</w:t>
            </w:r>
          </w:p>
        </w:tc>
        <w:tc>
          <w:tcPr>
            <w:tcW w:w="2843" w:type="dxa"/>
          </w:tcPr>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The bank’s total assets exceed NIS 15 billion and are below NIS 50 billion.</w:t>
            </w:r>
          </w:p>
        </w:tc>
        <w:tc>
          <w:tcPr>
            <w:tcW w:w="2843" w:type="dxa"/>
          </w:tcPr>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When the bank’s total assets reach NIS 50 billion, the Supervisor will consider granting the bank a transition period of up to two years before moving to Permanent Tier 3.</w:t>
            </w:r>
          </w:p>
        </w:tc>
      </w:tr>
      <w:tr w:rsidR="000D4B9C" w:rsidRPr="00191D6A" w:rsidTr="000D4B9C">
        <w:tc>
          <w:tcPr>
            <w:tcW w:w="284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Permanent Tier 3</w:t>
            </w:r>
          </w:p>
        </w:tc>
        <w:tc>
          <w:tcPr>
            <w:tcW w:w="2843" w:type="dxa"/>
          </w:tcPr>
          <w:p w:rsidR="000D4B9C" w:rsidRPr="00191D6A" w:rsidRDefault="000D4B9C" w:rsidP="000D4B9C">
            <w:pPr>
              <w:pStyle w:val="NormalWeb"/>
              <w:rPr>
                <w:rFonts w:asciiTheme="minorHAnsi" w:hAnsiTheme="minorHAnsi" w:cstheme="minorHAnsi"/>
              </w:rPr>
            </w:pPr>
            <w:r w:rsidRPr="00191D6A">
              <w:rPr>
                <w:rFonts w:asciiTheme="minorHAnsi" w:hAnsiTheme="minorHAnsi" w:cstheme="minorHAnsi"/>
              </w:rPr>
              <w:t>The bank’s total assets exceed NIS 50 billion.</w:t>
            </w:r>
          </w:p>
        </w:tc>
        <w:tc>
          <w:tcPr>
            <w:tcW w:w="2843" w:type="dxa"/>
          </w:tcPr>
          <w:p w:rsidR="000D4B9C" w:rsidRPr="00191D6A" w:rsidRDefault="000D4B9C" w:rsidP="000D4B9C">
            <w:pPr>
              <w:pStyle w:val="NormalWeb"/>
              <w:rPr>
                <w:rFonts w:asciiTheme="minorHAnsi" w:hAnsiTheme="minorHAnsi" w:cstheme="minorHAnsi"/>
              </w:rPr>
            </w:pPr>
          </w:p>
        </w:tc>
      </w:tr>
    </w:tbl>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In addition, the directive includes a preparatory phase for a newly licensed bank, to enable the gradual implementation of the regulatory requirements applicable to it, as detailed in the table below:</w:t>
      </w:r>
    </w:p>
    <w:tbl>
      <w:tblPr>
        <w:tblStyle w:val="a5"/>
        <w:tblW w:w="0" w:type="auto"/>
        <w:tblLook w:val="04A0" w:firstRow="1" w:lastRow="0" w:firstColumn="1" w:lastColumn="0" w:noHBand="0" w:noVBand="1"/>
      </w:tblPr>
      <w:tblGrid>
        <w:gridCol w:w="2080"/>
        <w:gridCol w:w="2076"/>
        <w:gridCol w:w="2079"/>
        <w:gridCol w:w="2067"/>
      </w:tblGrid>
      <w:tr w:rsidR="000D4B9C" w:rsidRPr="00191D6A" w:rsidTr="000D4B9C">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Phase</w:t>
            </w:r>
          </w:p>
        </w:tc>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Applicable to</w:t>
            </w:r>
          </w:p>
        </w:tc>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Operational limitations</w:t>
            </w:r>
          </w:p>
        </w:tc>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Time limit</w:t>
            </w:r>
          </w:p>
        </w:tc>
      </w:tr>
      <w:tr w:rsidR="000D4B9C" w:rsidRPr="00191D6A" w:rsidTr="000D4B9C">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t>Preparatory phase for Permanent Tier 1</w:t>
            </w:r>
          </w:p>
        </w:tc>
        <w:tc>
          <w:tcPr>
            <w:tcW w:w="2132" w:type="dxa"/>
          </w:tcPr>
          <w:p w:rsidR="000D4B9C" w:rsidRPr="00191D6A" w:rsidRDefault="000D4B9C" w:rsidP="0007427E">
            <w:pPr>
              <w:pStyle w:val="NormalWeb"/>
              <w:jc w:val="both"/>
              <w:rPr>
                <w:rStyle w:val="af1"/>
                <w:rFonts w:asciiTheme="minorHAnsi" w:hAnsiTheme="minorHAnsi" w:cstheme="minorHAnsi"/>
              </w:rPr>
            </w:pPr>
            <w:r w:rsidRPr="00191D6A">
              <w:rPr>
                <w:rFonts w:asciiTheme="minorHAnsi" w:hAnsiTheme="minorHAnsi" w:cstheme="minorHAnsi"/>
              </w:rPr>
              <w:t xml:space="preserve">A corporation </w:t>
            </w:r>
            <w:proofErr w:type="gramStart"/>
            <w:r w:rsidRPr="00191D6A">
              <w:rPr>
                <w:rFonts w:asciiTheme="minorHAnsi" w:hAnsiTheme="minorHAnsi" w:cstheme="minorHAnsi"/>
              </w:rPr>
              <w:t>that has received a banking license and is</w:t>
            </w:r>
            <w:proofErr w:type="gramEnd"/>
            <w:r w:rsidRPr="00191D6A">
              <w:rPr>
                <w:rFonts w:asciiTheme="minorHAnsi" w:hAnsiTheme="minorHAnsi" w:cstheme="minorHAnsi"/>
              </w:rPr>
              <w:t xml:space="preserve"> expected to enter Permanent Tier 1.</w:t>
            </w:r>
          </w:p>
        </w:tc>
        <w:tc>
          <w:tcPr>
            <w:tcW w:w="2132" w:type="dxa"/>
          </w:tcPr>
          <w:p w:rsidR="000D4B9C" w:rsidRPr="00191D6A" w:rsidRDefault="000D4B9C" w:rsidP="0007427E">
            <w:pPr>
              <w:pStyle w:val="NormalWeb"/>
              <w:jc w:val="both"/>
              <w:rPr>
                <w:rStyle w:val="af1"/>
                <w:rFonts w:asciiTheme="minorHAnsi" w:hAnsiTheme="minorHAnsi" w:cstheme="minorHAnsi"/>
              </w:rPr>
            </w:pPr>
            <w:r w:rsidRPr="00191D6A">
              <w:rPr>
                <w:rFonts w:asciiTheme="minorHAnsi" w:hAnsiTheme="minorHAnsi" w:cstheme="minorHAnsi"/>
              </w:rPr>
              <w:t>The bank’s total assets are up to NIS 15 billion, and its total deposits are up to NIS 2 billion.</w:t>
            </w:r>
          </w:p>
        </w:tc>
        <w:tc>
          <w:tcPr>
            <w:tcW w:w="2132" w:type="dxa"/>
          </w:tcPr>
          <w:p w:rsidR="000D4B9C" w:rsidRPr="00191D6A" w:rsidRDefault="000D4B9C" w:rsidP="0007427E">
            <w:pPr>
              <w:pStyle w:val="NormalWeb"/>
              <w:jc w:val="both"/>
              <w:rPr>
                <w:rStyle w:val="af1"/>
                <w:rFonts w:asciiTheme="minorHAnsi" w:hAnsiTheme="minorHAnsi" w:cstheme="minorHAnsi"/>
              </w:rPr>
            </w:pPr>
            <w:r w:rsidRPr="00191D6A">
              <w:rPr>
                <w:rFonts w:asciiTheme="minorHAnsi" w:hAnsiTheme="minorHAnsi" w:cstheme="minorHAnsi"/>
              </w:rPr>
              <w:t xml:space="preserve">The phase will last up to three years. The Supervisor will consider extending the phase by up to an additional two years, </w:t>
            </w:r>
            <w:proofErr w:type="gramStart"/>
            <w:r w:rsidRPr="00191D6A">
              <w:rPr>
                <w:rFonts w:asciiTheme="minorHAnsi" w:hAnsiTheme="minorHAnsi" w:cstheme="minorHAnsi"/>
              </w:rPr>
              <w:t>provided that</w:t>
            </w:r>
            <w:proofErr w:type="gramEnd"/>
            <w:r w:rsidRPr="00191D6A">
              <w:rPr>
                <w:rFonts w:asciiTheme="minorHAnsi" w:hAnsiTheme="minorHAnsi" w:cstheme="minorHAnsi"/>
              </w:rPr>
              <w:t xml:space="preserve"> total deposits do not exceed NIS 5 billion.</w:t>
            </w:r>
          </w:p>
        </w:tc>
      </w:tr>
      <w:tr w:rsidR="000D4B9C" w:rsidRPr="00191D6A" w:rsidTr="00616155">
        <w:trPr>
          <w:trHeight w:val="2216"/>
        </w:trPr>
        <w:tc>
          <w:tcPr>
            <w:tcW w:w="2132" w:type="dxa"/>
          </w:tcPr>
          <w:p w:rsidR="000D4B9C" w:rsidRPr="00191D6A" w:rsidRDefault="000D4B9C" w:rsidP="000D4B9C">
            <w:pPr>
              <w:pStyle w:val="NormalWeb"/>
              <w:rPr>
                <w:rStyle w:val="af1"/>
                <w:rFonts w:asciiTheme="minorHAnsi" w:hAnsiTheme="minorHAnsi" w:cstheme="minorHAnsi"/>
              </w:rPr>
            </w:pPr>
            <w:r w:rsidRPr="00191D6A">
              <w:rPr>
                <w:rStyle w:val="af1"/>
                <w:rFonts w:asciiTheme="minorHAnsi" w:hAnsiTheme="minorHAnsi" w:cstheme="minorHAnsi"/>
              </w:rPr>
              <w:lastRenderedPageBreak/>
              <w:t>Preparatory phase for Permanent Tier 2</w:t>
            </w:r>
          </w:p>
        </w:tc>
        <w:tc>
          <w:tcPr>
            <w:tcW w:w="2132" w:type="dxa"/>
          </w:tcPr>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 xml:space="preserve">A corporation </w:t>
            </w:r>
            <w:proofErr w:type="gramStart"/>
            <w:r w:rsidRPr="00191D6A">
              <w:rPr>
                <w:rFonts w:asciiTheme="minorHAnsi" w:hAnsiTheme="minorHAnsi" w:cstheme="minorHAnsi"/>
              </w:rPr>
              <w:t>that has received a banking license and is</w:t>
            </w:r>
            <w:proofErr w:type="gramEnd"/>
            <w:r w:rsidRPr="00191D6A">
              <w:rPr>
                <w:rFonts w:asciiTheme="minorHAnsi" w:hAnsiTheme="minorHAnsi" w:cstheme="minorHAnsi"/>
              </w:rPr>
              <w:t xml:space="preserve"> expected to enter Permanent Tier 2.</w:t>
            </w:r>
          </w:p>
        </w:tc>
        <w:tc>
          <w:tcPr>
            <w:tcW w:w="2132" w:type="dxa"/>
          </w:tcPr>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The bank’s total assets exceed NIS 15 billion and are below NIS 50 billion.</w:t>
            </w:r>
          </w:p>
        </w:tc>
        <w:tc>
          <w:tcPr>
            <w:tcW w:w="2132" w:type="dxa"/>
          </w:tcPr>
          <w:p w:rsidR="000D4B9C" w:rsidRPr="00191D6A" w:rsidRDefault="000D4B9C" w:rsidP="0007427E">
            <w:pPr>
              <w:pStyle w:val="NormalWeb"/>
              <w:jc w:val="both"/>
              <w:rPr>
                <w:rFonts w:asciiTheme="minorHAnsi" w:hAnsiTheme="minorHAnsi" w:cstheme="minorHAnsi"/>
              </w:rPr>
            </w:pPr>
            <w:r w:rsidRPr="00191D6A">
              <w:rPr>
                <w:rFonts w:asciiTheme="minorHAnsi" w:hAnsiTheme="minorHAnsi" w:cstheme="minorHAnsi"/>
              </w:rPr>
              <w:t>The phase will last up to three years. The Supervisor will consider extending the phase by up to an additional two years.</w:t>
            </w:r>
          </w:p>
        </w:tc>
      </w:tr>
    </w:tbl>
    <w:p w:rsidR="000D4B9C" w:rsidRPr="00191D6A" w:rsidRDefault="000D4B9C" w:rsidP="00616155">
      <w:pPr>
        <w:pStyle w:val="NormalWeb"/>
        <w:jc w:val="both"/>
        <w:rPr>
          <w:rFonts w:asciiTheme="minorHAnsi" w:hAnsiTheme="minorHAnsi" w:cstheme="minorHAnsi"/>
        </w:rPr>
      </w:pPr>
      <w:proofErr w:type="gramStart"/>
      <w:r w:rsidRPr="00191D6A">
        <w:rPr>
          <w:rFonts w:asciiTheme="minorHAnsi" w:hAnsiTheme="minorHAnsi" w:cstheme="minorHAnsi"/>
        </w:rPr>
        <w:t>The directive establishes significant adjustments and regulatory relief for small and new banks across a range of areas, including in particular: capital and leverage requirements; liquidity requirements and their calculation methodology; limits on sectoral concentration and borrower size; the size and composition of the board of directors; the ability to consolidate functions within the organizational structure and rely on outsourcing; adjustments to risk management tools; and the ability to implement flexible business models suited to small banks and digital banks.</w:t>
      </w:r>
      <w:proofErr w:type="gramEnd"/>
    </w:p>
    <w:p w:rsidR="000D4B9C" w:rsidRPr="00191D6A" w:rsidRDefault="000D4B9C" w:rsidP="00311730">
      <w:pPr>
        <w:pStyle w:val="NormalWeb"/>
        <w:jc w:val="both"/>
        <w:rPr>
          <w:rFonts w:asciiTheme="minorHAnsi" w:hAnsiTheme="minorHAnsi" w:cstheme="minorHAnsi"/>
        </w:rPr>
      </w:pPr>
      <w:r w:rsidRPr="00191D6A">
        <w:rPr>
          <w:rFonts w:asciiTheme="minorHAnsi" w:hAnsiTheme="minorHAnsi" w:cstheme="minorHAnsi"/>
        </w:rPr>
        <w:t xml:space="preserve">The publication of the directive is part of a broader series of measures advanced by the Bank of Israel in recent years to strengthen customer bargaining power, increase transparency, and remove switching barriers in the banking system. These measures include bank account portability (“Switch in a Click”), the promotion of open banking, support for the establishment of new banks, the creation of a credit data registry, and the publication of comparative interest-rate information on the </w:t>
      </w:r>
      <w:r w:rsidR="00311730" w:rsidRPr="00191D6A">
        <w:rPr>
          <w:rFonts w:asciiTheme="minorHAnsi" w:hAnsiTheme="minorHAnsi" w:cstheme="minorHAnsi"/>
        </w:rPr>
        <w:t>“Equalizer</w:t>
      </w:r>
      <w:r w:rsidRPr="00191D6A">
        <w:rPr>
          <w:rFonts w:asciiTheme="minorHAnsi" w:hAnsiTheme="minorHAnsi" w:cstheme="minorHAnsi"/>
        </w:rPr>
        <w:t>” website.</w:t>
      </w:r>
    </w:p>
    <w:p w:rsidR="00A03874" w:rsidRPr="00191D6A" w:rsidRDefault="00A03874" w:rsidP="00A03874">
      <w:pPr>
        <w:bidi w:val="0"/>
        <w:jc w:val="both"/>
        <w:rPr>
          <w:rFonts w:asciiTheme="minorHAnsi" w:hAnsiTheme="minorHAnsi" w:cstheme="minorHAnsi"/>
        </w:rPr>
      </w:pPr>
    </w:p>
    <w:sectPr w:rsidR="00A03874" w:rsidRPr="00191D6A" w:rsidSect="00D114C9">
      <w:headerReference w:type="even" r:id="rId9"/>
      <w:headerReference w:type="default" r:id="rId10"/>
      <w:footerReference w:type="even" r:id="rId11"/>
      <w:footerReference w:type="default" r:id="rId12"/>
      <w:headerReference w:type="first" r:id="rId13"/>
      <w:footerReference w:type="first" r:id="rId14"/>
      <w:pgSz w:w="11906" w:h="16838"/>
      <w:pgMar w:top="510" w:right="1797" w:bottom="624" w:left="1797" w:header="397"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3EF4" w:rsidRDefault="00933EF4" w:rsidP="00E64B36">
      <w:r>
        <w:separator/>
      </w:r>
    </w:p>
  </w:endnote>
  <w:endnote w:type="continuationSeparator" w:id="0">
    <w:p w:rsidR="00933EF4" w:rsidRDefault="00933EF4" w:rsidP="00E6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022" w:rsidRPr="00986270" w:rsidRDefault="00986270" w:rsidP="00EB0782">
    <w:pPr>
      <w:bidi w:val="0"/>
      <w:ind w:right="-52"/>
      <w:rPr>
        <w:b/>
        <w:bCs/>
        <w:sz w:val="26"/>
        <w:szCs w:val="26"/>
        <w:u w:val="single"/>
        <w:rtl/>
        <w:cs/>
      </w:rPr>
    </w:pPr>
    <w:r w:rsidRPr="00986270">
      <w:rPr>
        <w:sz w:val="18"/>
        <w:szCs w:val="18"/>
      </w:rPr>
      <w:t>Bank of Israel</w:t>
    </w:r>
    <w:r>
      <w:rPr>
        <w:sz w:val="18"/>
        <w:szCs w:val="18"/>
      </w:rPr>
      <w:tab/>
    </w:r>
    <w:r w:rsidR="00596FB4" w:rsidRPr="00CD0A35">
      <w:rPr>
        <w:sz w:val="18"/>
        <w:szCs w:val="18"/>
      </w:rPr>
      <w:tab/>
    </w:r>
    <w:r w:rsidR="00B96022" w:rsidRPr="00CD0A35">
      <w:rPr>
        <w:sz w:val="18"/>
        <w:szCs w:val="18"/>
      </w:rPr>
      <w:t>Page</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PAGE</w:instrText>
    </w:r>
    <w:r w:rsidR="00B96022" w:rsidRPr="00CD0A35">
      <w:rPr>
        <w:b/>
        <w:bCs/>
        <w:sz w:val="18"/>
        <w:szCs w:val="18"/>
      </w:rPr>
      <w:fldChar w:fldCharType="separate"/>
    </w:r>
    <w:r w:rsidR="00191D6A">
      <w:rPr>
        <w:b/>
        <w:bCs/>
        <w:noProof/>
        <w:sz w:val="18"/>
        <w:szCs w:val="18"/>
      </w:rPr>
      <w:t>2</w:t>
    </w:r>
    <w:r w:rsidR="00B96022" w:rsidRPr="00CD0A35">
      <w:rPr>
        <w:b/>
        <w:bCs/>
        <w:sz w:val="18"/>
        <w:szCs w:val="18"/>
      </w:rPr>
      <w:fldChar w:fldCharType="end"/>
    </w:r>
    <w:r w:rsidR="00B96022" w:rsidRPr="00CD0A35">
      <w:rPr>
        <w:sz w:val="18"/>
        <w:szCs w:val="18"/>
      </w:rPr>
      <w:t xml:space="preserve"> Of</w:t>
    </w:r>
    <w:r w:rsidR="00B96022" w:rsidRPr="00CD0A35">
      <w:rPr>
        <w:sz w:val="18"/>
        <w:szCs w:val="18"/>
        <w:rtl/>
        <w:cs/>
        <w:lang w:val="he-IL"/>
      </w:rPr>
      <w:t xml:space="preserve"> </w:t>
    </w:r>
    <w:r w:rsidR="00B96022" w:rsidRPr="00CD0A35">
      <w:rPr>
        <w:b/>
        <w:bCs/>
        <w:sz w:val="18"/>
        <w:szCs w:val="18"/>
      </w:rPr>
      <w:fldChar w:fldCharType="begin"/>
    </w:r>
    <w:r w:rsidR="00B96022" w:rsidRPr="00CD0A35">
      <w:rPr>
        <w:b/>
        <w:bCs/>
        <w:sz w:val="18"/>
        <w:szCs w:val="18"/>
        <w:rtl/>
        <w:cs/>
      </w:rPr>
      <w:instrText>NUMPAGES</w:instrText>
    </w:r>
    <w:r w:rsidR="00B96022" w:rsidRPr="00CD0A35">
      <w:rPr>
        <w:b/>
        <w:bCs/>
        <w:sz w:val="18"/>
        <w:szCs w:val="18"/>
      </w:rPr>
      <w:fldChar w:fldCharType="separate"/>
    </w:r>
    <w:r w:rsidR="00191D6A">
      <w:rPr>
        <w:b/>
        <w:bCs/>
        <w:noProof/>
        <w:sz w:val="18"/>
        <w:szCs w:val="18"/>
      </w:rPr>
      <w:t>3</w:t>
    </w:r>
    <w:r w:rsidR="00B96022" w:rsidRPr="00CD0A35">
      <w:rPr>
        <w:b/>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3EF4" w:rsidRDefault="00933EF4" w:rsidP="00E64B36">
      <w:r>
        <w:separator/>
      </w:r>
    </w:p>
  </w:footnote>
  <w:footnote w:type="continuationSeparator" w:id="0">
    <w:p w:rsidR="00933EF4" w:rsidRDefault="00933EF4" w:rsidP="00E64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5D" w:rsidRDefault="0046455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A1A26"/>
    <w:multiLevelType w:val="hybridMultilevel"/>
    <w:tmpl w:val="A40E206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D6ED9"/>
    <w:multiLevelType w:val="hybridMultilevel"/>
    <w:tmpl w:val="9B7419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9EE03CF"/>
    <w:multiLevelType w:val="hybridMultilevel"/>
    <w:tmpl w:val="710C5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FCF55FD"/>
    <w:multiLevelType w:val="hybridMultilevel"/>
    <w:tmpl w:val="1CF65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399796A"/>
    <w:multiLevelType w:val="hybridMultilevel"/>
    <w:tmpl w:val="E89AE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66319A"/>
    <w:multiLevelType w:val="hybridMultilevel"/>
    <w:tmpl w:val="5914AA0A"/>
    <w:lvl w:ilvl="0" w:tplc="F7A0358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7FE95DB1"/>
    <w:multiLevelType w:val="hybridMultilevel"/>
    <w:tmpl w:val="1AB63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3"/>
  </w:num>
  <w:num w:numId="5">
    <w:abstractNumId w:val="2"/>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a5"/>
  <w:characterSpacingControl w:val="doNotCompress"/>
  <w:hdrShapeDefaults>
    <o:shapedefaults v:ext="edit" spidmax="322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2D0"/>
    <w:rsid w:val="00000A06"/>
    <w:rsid w:val="00003373"/>
    <w:rsid w:val="00007FFE"/>
    <w:rsid w:val="0001385E"/>
    <w:rsid w:val="0001413F"/>
    <w:rsid w:val="00022DA8"/>
    <w:rsid w:val="00033569"/>
    <w:rsid w:val="00040B3C"/>
    <w:rsid w:val="00051247"/>
    <w:rsid w:val="000526A0"/>
    <w:rsid w:val="0005726E"/>
    <w:rsid w:val="00065D9C"/>
    <w:rsid w:val="0007427E"/>
    <w:rsid w:val="000A520E"/>
    <w:rsid w:val="000A7388"/>
    <w:rsid w:val="000C710C"/>
    <w:rsid w:val="000D0ECA"/>
    <w:rsid w:val="000D4B9C"/>
    <w:rsid w:val="000D4E65"/>
    <w:rsid w:val="000F48F6"/>
    <w:rsid w:val="000F4BF2"/>
    <w:rsid w:val="001001A2"/>
    <w:rsid w:val="00101B55"/>
    <w:rsid w:val="00130245"/>
    <w:rsid w:val="001428C4"/>
    <w:rsid w:val="00143F3A"/>
    <w:rsid w:val="00151D84"/>
    <w:rsid w:val="00160B25"/>
    <w:rsid w:val="00162F5E"/>
    <w:rsid w:val="00165CB6"/>
    <w:rsid w:val="00175CDA"/>
    <w:rsid w:val="001815E1"/>
    <w:rsid w:val="00182CF0"/>
    <w:rsid w:val="00191D6A"/>
    <w:rsid w:val="001963C6"/>
    <w:rsid w:val="001A4816"/>
    <w:rsid w:val="001B4E73"/>
    <w:rsid w:val="001C1BC1"/>
    <w:rsid w:val="001C388F"/>
    <w:rsid w:val="001C71E8"/>
    <w:rsid w:val="001D381C"/>
    <w:rsid w:val="001F57DE"/>
    <w:rsid w:val="00202E77"/>
    <w:rsid w:val="002117DC"/>
    <w:rsid w:val="0021327F"/>
    <w:rsid w:val="002235F5"/>
    <w:rsid w:val="002271A2"/>
    <w:rsid w:val="00237CE5"/>
    <w:rsid w:val="00247387"/>
    <w:rsid w:val="00252C62"/>
    <w:rsid w:val="00273AE1"/>
    <w:rsid w:val="00281C70"/>
    <w:rsid w:val="00283FB7"/>
    <w:rsid w:val="00291847"/>
    <w:rsid w:val="0029640A"/>
    <w:rsid w:val="00297100"/>
    <w:rsid w:val="002A0D2A"/>
    <w:rsid w:val="002B48CC"/>
    <w:rsid w:val="002C6A25"/>
    <w:rsid w:val="002F4149"/>
    <w:rsid w:val="002F7EEF"/>
    <w:rsid w:val="0030279B"/>
    <w:rsid w:val="00311730"/>
    <w:rsid w:val="0031224E"/>
    <w:rsid w:val="003129D6"/>
    <w:rsid w:val="003136EE"/>
    <w:rsid w:val="00321832"/>
    <w:rsid w:val="00322C28"/>
    <w:rsid w:val="003276ED"/>
    <w:rsid w:val="003365E0"/>
    <w:rsid w:val="00344E60"/>
    <w:rsid w:val="00360B5C"/>
    <w:rsid w:val="00364AF8"/>
    <w:rsid w:val="00364C08"/>
    <w:rsid w:val="00371527"/>
    <w:rsid w:val="003727EE"/>
    <w:rsid w:val="003772AF"/>
    <w:rsid w:val="00385CB3"/>
    <w:rsid w:val="00387840"/>
    <w:rsid w:val="0039059D"/>
    <w:rsid w:val="00390CA5"/>
    <w:rsid w:val="003A1AC9"/>
    <w:rsid w:val="003A335C"/>
    <w:rsid w:val="003A3813"/>
    <w:rsid w:val="003B4DD7"/>
    <w:rsid w:val="003B715F"/>
    <w:rsid w:val="003B7DC3"/>
    <w:rsid w:val="003C7815"/>
    <w:rsid w:val="003D6F31"/>
    <w:rsid w:val="003D7860"/>
    <w:rsid w:val="003D7BF1"/>
    <w:rsid w:val="003E3F4C"/>
    <w:rsid w:val="003F745D"/>
    <w:rsid w:val="00401395"/>
    <w:rsid w:val="004033B8"/>
    <w:rsid w:val="00403D99"/>
    <w:rsid w:val="00411BA4"/>
    <w:rsid w:val="00412846"/>
    <w:rsid w:val="00413339"/>
    <w:rsid w:val="004147FC"/>
    <w:rsid w:val="0042309E"/>
    <w:rsid w:val="00430365"/>
    <w:rsid w:val="004309C6"/>
    <w:rsid w:val="00443044"/>
    <w:rsid w:val="00445B15"/>
    <w:rsid w:val="00447E5A"/>
    <w:rsid w:val="0046455D"/>
    <w:rsid w:val="0046672E"/>
    <w:rsid w:val="00474107"/>
    <w:rsid w:val="004752DA"/>
    <w:rsid w:val="00482E08"/>
    <w:rsid w:val="00492391"/>
    <w:rsid w:val="00496A4E"/>
    <w:rsid w:val="004A20A5"/>
    <w:rsid w:val="004D02F4"/>
    <w:rsid w:val="004D32A7"/>
    <w:rsid w:val="004D5D6F"/>
    <w:rsid w:val="004D65E2"/>
    <w:rsid w:val="004E25DD"/>
    <w:rsid w:val="004E4AEC"/>
    <w:rsid w:val="004F4341"/>
    <w:rsid w:val="0050183E"/>
    <w:rsid w:val="00513B3C"/>
    <w:rsid w:val="005165DB"/>
    <w:rsid w:val="005221FC"/>
    <w:rsid w:val="005406F8"/>
    <w:rsid w:val="00540B03"/>
    <w:rsid w:val="005462D0"/>
    <w:rsid w:val="0055455A"/>
    <w:rsid w:val="00555C8A"/>
    <w:rsid w:val="005576E1"/>
    <w:rsid w:val="00566FAC"/>
    <w:rsid w:val="00567733"/>
    <w:rsid w:val="005713A8"/>
    <w:rsid w:val="00583DAD"/>
    <w:rsid w:val="005900D3"/>
    <w:rsid w:val="0059277F"/>
    <w:rsid w:val="00592A99"/>
    <w:rsid w:val="00594A29"/>
    <w:rsid w:val="00596FB4"/>
    <w:rsid w:val="00597EED"/>
    <w:rsid w:val="005A2991"/>
    <w:rsid w:val="005D0AF8"/>
    <w:rsid w:val="005F3A83"/>
    <w:rsid w:val="005F3E47"/>
    <w:rsid w:val="0060215A"/>
    <w:rsid w:val="00616155"/>
    <w:rsid w:val="0061692C"/>
    <w:rsid w:val="006216F9"/>
    <w:rsid w:val="00621BB5"/>
    <w:rsid w:val="0062658F"/>
    <w:rsid w:val="00640EEA"/>
    <w:rsid w:val="0064482B"/>
    <w:rsid w:val="00652D53"/>
    <w:rsid w:val="00662FB1"/>
    <w:rsid w:val="0067516F"/>
    <w:rsid w:val="006832D0"/>
    <w:rsid w:val="006A36CC"/>
    <w:rsid w:val="006A66C5"/>
    <w:rsid w:val="006B029C"/>
    <w:rsid w:val="006B4683"/>
    <w:rsid w:val="006B5BA9"/>
    <w:rsid w:val="006B679C"/>
    <w:rsid w:val="006C714C"/>
    <w:rsid w:val="006D3582"/>
    <w:rsid w:val="006D71A0"/>
    <w:rsid w:val="006D7651"/>
    <w:rsid w:val="006E1B6A"/>
    <w:rsid w:val="0070010B"/>
    <w:rsid w:val="0070029F"/>
    <w:rsid w:val="00701734"/>
    <w:rsid w:val="00706009"/>
    <w:rsid w:val="00721560"/>
    <w:rsid w:val="00726036"/>
    <w:rsid w:val="0074341E"/>
    <w:rsid w:val="00751F08"/>
    <w:rsid w:val="00760371"/>
    <w:rsid w:val="007666A8"/>
    <w:rsid w:val="00776535"/>
    <w:rsid w:val="007806C5"/>
    <w:rsid w:val="00786563"/>
    <w:rsid w:val="00787142"/>
    <w:rsid w:val="007926C7"/>
    <w:rsid w:val="00793399"/>
    <w:rsid w:val="007A10BA"/>
    <w:rsid w:val="007A2030"/>
    <w:rsid w:val="007A589B"/>
    <w:rsid w:val="007A64CC"/>
    <w:rsid w:val="007A6A24"/>
    <w:rsid w:val="007B2769"/>
    <w:rsid w:val="007C6400"/>
    <w:rsid w:val="007D57EE"/>
    <w:rsid w:val="007E0C1F"/>
    <w:rsid w:val="007E1CB3"/>
    <w:rsid w:val="007F7993"/>
    <w:rsid w:val="0081026B"/>
    <w:rsid w:val="00830099"/>
    <w:rsid w:val="008403F1"/>
    <w:rsid w:val="00842057"/>
    <w:rsid w:val="00842BAF"/>
    <w:rsid w:val="0086005B"/>
    <w:rsid w:val="00864C55"/>
    <w:rsid w:val="0086637C"/>
    <w:rsid w:val="00884167"/>
    <w:rsid w:val="008914B1"/>
    <w:rsid w:val="00892A46"/>
    <w:rsid w:val="008A7212"/>
    <w:rsid w:val="008B2431"/>
    <w:rsid w:val="008B257A"/>
    <w:rsid w:val="008C082F"/>
    <w:rsid w:val="008C366C"/>
    <w:rsid w:val="008D390B"/>
    <w:rsid w:val="008D6FB6"/>
    <w:rsid w:val="008E38F1"/>
    <w:rsid w:val="008E4D8E"/>
    <w:rsid w:val="008F17A3"/>
    <w:rsid w:val="008F1FCF"/>
    <w:rsid w:val="00900453"/>
    <w:rsid w:val="00904100"/>
    <w:rsid w:val="0090462E"/>
    <w:rsid w:val="00905463"/>
    <w:rsid w:val="0091307F"/>
    <w:rsid w:val="00933EF4"/>
    <w:rsid w:val="0093574D"/>
    <w:rsid w:val="00947CC7"/>
    <w:rsid w:val="00961BD6"/>
    <w:rsid w:val="0097278E"/>
    <w:rsid w:val="009744A0"/>
    <w:rsid w:val="00976781"/>
    <w:rsid w:val="00986270"/>
    <w:rsid w:val="009B166B"/>
    <w:rsid w:val="009B66C8"/>
    <w:rsid w:val="009C21B3"/>
    <w:rsid w:val="009C2C42"/>
    <w:rsid w:val="009C43A2"/>
    <w:rsid w:val="009E3D4E"/>
    <w:rsid w:val="009E6A28"/>
    <w:rsid w:val="009F010F"/>
    <w:rsid w:val="009F3FB7"/>
    <w:rsid w:val="00A03874"/>
    <w:rsid w:val="00A117D2"/>
    <w:rsid w:val="00A17420"/>
    <w:rsid w:val="00A239A7"/>
    <w:rsid w:val="00A3549C"/>
    <w:rsid w:val="00A374AC"/>
    <w:rsid w:val="00A37869"/>
    <w:rsid w:val="00A44A88"/>
    <w:rsid w:val="00A6208D"/>
    <w:rsid w:val="00A72122"/>
    <w:rsid w:val="00A74752"/>
    <w:rsid w:val="00A749E1"/>
    <w:rsid w:val="00A81B6C"/>
    <w:rsid w:val="00A94775"/>
    <w:rsid w:val="00A962CF"/>
    <w:rsid w:val="00AB75B4"/>
    <w:rsid w:val="00AC74EC"/>
    <w:rsid w:val="00AD7CC8"/>
    <w:rsid w:val="00AE6E25"/>
    <w:rsid w:val="00AF6B3A"/>
    <w:rsid w:val="00B054AD"/>
    <w:rsid w:val="00B108AE"/>
    <w:rsid w:val="00B13C9D"/>
    <w:rsid w:val="00B2426C"/>
    <w:rsid w:val="00B40E49"/>
    <w:rsid w:val="00B533D5"/>
    <w:rsid w:val="00B54F09"/>
    <w:rsid w:val="00B71972"/>
    <w:rsid w:val="00B84789"/>
    <w:rsid w:val="00B85769"/>
    <w:rsid w:val="00B87F00"/>
    <w:rsid w:val="00B90C1D"/>
    <w:rsid w:val="00B9176B"/>
    <w:rsid w:val="00B96022"/>
    <w:rsid w:val="00BA31D6"/>
    <w:rsid w:val="00BC113A"/>
    <w:rsid w:val="00BC71FF"/>
    <w:rsid w:val="00BD0FFD"/>
    <w:rsid w:val="00BE27B4"/>
    <w:rsid w:val="00BE4CAF"/>
    <w:rsid w:val="00BE52BF"/>
    <w:rsid w:val="00C00BB8"/>
    <w:rsid w:val="00C02233"/>
    <w:rsid w:val="00C05BED"/>
    <w:rsid w:val="00C06B06"/>
    <w:rsid w:val="00C106C2"/>
    <w:rsid w:val="00C15121"/>
    <w:rsid w:val="00C171FF"/>
    <w:rsid w:val="00C21009"/>
    <w:rsid w:val="00C21363"/>
    <w:rsid w:val="00C2294B"/>
    <w:rsid w:val="00C27619"/>
    <w:rsid w:val="00C37129"/>
    <w:rsid w:val="00C47A56"/>
    <w:rsid w:val="00C52224"/>
    <w:rsid w:val="00C52FC2"/>
    <w:rsid w:val="00C5755A"/>
    <w:rsid w:val="00C67CE0"/>
    <w:rsid w:val="00C73CCA"/>
    <w:rsid w:val="00C74F11"/>
    <w:rsid w:val="00C7643D"/>
    <w:rsid w:val="00C76E10"/>
    <w:rsid w:val="00CB5D78"/>
    <w:rsid w:val="00CB7987"/>
    <w:rsid w:val="00CC58F8"/>
    <w:rsid w:val="00CD0A35"/>
    <w:rsid w:val="00CD5F91"/>
    <w:rsid w:val="00CD6927"/>
    <w:rsid w:val="00CE0A3E"/>
    <w:rsid w:val="00CE0B40"/>
    <w:rsid w:val="00D040A2"/>
    <w:rsid w:val="00D114C9"/>
    <w:rsid w:val="00D13C47"/>
    <w:rsid w:val="00D21685"/>
    <w:rsid w:val="00D318A3"/>
    <w:rsid w:val="00D326DC"/>
    <w:rsid w:val="00D353EC"/>
    <w:rsid w:val="00D354E8"/>
    <w:rsid w:val="00D44122"/>
    <w:rsid w:val="00D554DA"/>
    <w:rsid w:val="00D60BFC"/>
    <w:rsid w:val="00D60FF3"/>
    <w:rsid w:val="00D655F5"/>
    <w:rsid w:val="00D67C46"/>
    <w:rsid w:val="00D70591"/>
    <w:rsid w:val="00D75CFB"/>
    <w:rsid w:val="00D77847"/>
    <w:rsid w:val="00D907A2"/>
    <w:rsid w:val="00DA6116"/>
    <w:rsid w:val="00DD195D"/>
    <w:rsid w:val="00DD4976"/>
    <w:rsid w:val="00DE01A0"/>
    <w:rsid w:val="00DE0699"/>
    <w:rsid w:val="00DF4CC2"/>
    <w:rsid w:val="00DF6966"/>
    <w:rsid w:val="00E04222"/>
    <w:rsid w:val="00E0503C"/>
    <w:rsid w:val="00E1281F"/>
    <w:rsid w:val="00E16FFB"/>
    <w:rsid w:val="00E2493A"/>
    <w:rsid w:val="00E369B9"/>
    <w:rsid w:val="00E4365F"/>
    <w:rsid w:val="00E50F50"/>
    <w:rsid w:val="00E51E99"/>
    <w:rsid w:val="00E64B36"/>
    <w:rsid w:val="00E660F1"/>
    <w:rsid w:val="00E7204F"/>
    <w:rsid w:val="00E74DBF"/>
    <w:rsid w:val="00E8008F"/>
    <w:rsid w:val="00E8413B"/>
    <w:rsid w:val="00E85DB1"/>
    <w:rsid w:val="00E95D34"/>
    <w:rsid w:val="00EB0782"/>
    <w:rsid w:val="00EB0DEC"/>
    <w:rsid w:val="00EB44F5"/>
    <w:rsid w:val="00EB669A"/>
    <w:rsid w:val="00EC126C"/>
    <w:rsid w:val="00EC13FB"/>
    <w:rsid w:val="00EC2CB8"/>
    <w:rsid w:val="00EC424D"/>
    <w:rsid w:val="00EC48D4"/>
    <w:rsid w:val="00ED5226"/>
    <w:rsid w:val="00EE2AA0"/>
    <w:rsid w:val="00EE3596"/>
    <w:rsid w:val="00EF1554"/>
    <w:rsid w:val="00EF1AC2"/>
    <w:rsid w:val="00F033FC"/>
    <w:rsid w:val="00F15E93"/>
    <w:rsid w:val="00F45181"/>
    <w:rsid w:val="00F45972"/>
    <w:rsid w:val="00F53236"/>
    <w:rsid w:val="00F56086"/>
    <w:rsid w:val="00F56917"/>
    <w:rsid w:val="00F576F6"/>
    <w:rsid w:val="00F806F6"/>
    <w:rsid w:val="00FA13BA"/>
    <w:rsid w:val="00FA4548"/>
    <w:rsid w:val="00FC2A67"/>
    <w:rsid w:val="00FF5D0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2561"/>
    <o:shapelayout v:ext="edit">
      <o:idmap v:ext="edit" data="1"/>
    </o:shapelayout>
  </w:shapeDefaults>
  <w:decimalSymbol w:val="."/>
  <w:listSeparator w:val=","/>
  <w14:docId w14:val="047DF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72AF"/>
    <w:pPr>
      <w:bidi/>
    </w:pPr>
    <w:rPr>
      <w:sz w:val="24"/>
      <w:szCs w:val="24"/>
    </w:rPr>
  </w:style>
  <w:style w:type="paragraph" w:styleId="1">
    <w:name w:val="heading 1"/>
    <w:basedOn w:val="a"/>
    <w:next w:val="a"/>
    <w:qFormat/>
    <w:rsid w:val="0081026B"/>
    <w:pPr>
      <w:keepNext/>
      <w:spacing w:before="240" w:after="60"/>
      <w:outlineLvl w:val="0"/>
    </w:pPr>
    <w:rPr>
      <w:b/>
      <w:bCs/>
      <w:kern w:val="32"/>
      <w:sz w:val="32"/>
      <w:szCs w:val="32"/>
    </w:rPr>
  </w:style>
  <w:style w:type="paragraph" w:styleId="2">
    <w:name w:val="heading 2"/>
    <w:basedOn w:val="a"/>
    <w:next w:val="a"/>
    <w:qFormat/>
    <w:rsid w:val="0081026B"/>
    <w:pPr>
      <w:keepNext/>
      <w:spacing w:before="240" w:after="60"/>
      <w:outlineLvl w:val="1"/>
    </w:pPr>
    <w:rPr>
      <w:b/>
      <w:bCs/>
      <w:i/>
      <w:iCs/>
      <w:sz w:val="28"/>
      <w:szCs w:val="28"/>
    </w:rPr>
  </w:style>
  <w:style w:type="paragraph" w:styleId="3">
    <w:name w:val="heading 3"/>
    <w:basedOn w:val="a"/>
    <w:next w:val="a"/>
    <w:qFormat/>
    <w:rsid w:val="0081026B"/>
    <w:pPr>
      <w:keepNext/>
      <w:spacing w:before="240" w:after="60"/>
      <w:outlineLvl w:val="2"/>
    </w:pPr>
    <w:rPr>
      <w:b/>
      <w:bCs/>
      <w:sz w:val="26"/>
      <w:szCs w:val="26"/>
    </w:rPr>
  </w:style>
  <w:style w:type="paragraph" w:styleId="4">
    <w:name w:val="heading 4"/>
    <w:basedOn w:val="a"/>
    <w:next w:val="a"/>
    <w:qFormat/>
    <w:rsid w:val="0081026B"/>
    <w:pPr>
      <w:keepNext/>
      <w:spacing w:before="240" w:after="60"/>
      <w:outlineLvl w:val="3"/>
    </w:pPr>
    <w:rPr>
      <w:b/>
      <w:bCs/>
      <w:sz w:val="28"/>
      <w:szCs w:val="28"/>
    </w:rPr>
  </w:style>
  <w:style w:type="paragraph" w:styleId="5">
    <w:name w:val="heading 5"/>
    <w:basedOn w:val="a"/>
    <w:next w:val="a"/>
    <w:qFormat/>
    <w:rsid w:val="0081026B"/>
    <w:pPr>
      <w:spacing w:before="240" w:after="60"/>
      <w:outlineLvl w:val="4"/>
    </w:pPr>
    <w:rPr>
      <w:b/>
      <w:bCs/>
      <w:i/>
      <w:iCs/>
      <w:sz w:val="26"/>
      <w:szCs w:val="26"/>
    </w:rPr>
  </w:style>
  <w:style w:type="paragraph" w:styleId="6">
    <w:name w:val="heading 6"/>
    <w:basedOn w:val="a"/>
    <w:next w:val="a"/>
    <w:qFormat/>
    <w:rsid w:val="0081026B"/>
    <w:pPr>
      <w:spacing w:before="240" w:after="60"/>
      <w:outlineLvl w:val="5"/>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462D0"/>
    <w:pPr>
      <w:tabs>
        <w:tab w:val="center" w:pos="4153"/>
        <w:tab w:val="right" w:pos="8306"/>
      </w:tabs>
    </w:pPr>
  </w:style>
  <w:style w:type="paragraph" w:customStyle="1" w:styleId="regpar">
    <w:name w:val="regpar"/>
    <w:basedOn w:val="a"/>
    <w:rsid w:val="005462D0"/>
    <w:pPr>
      <w:bidi w:val="0"/>
      <w:spacing w:line="300" w:lineRule="exact"/>
      <w:ind w:firstLine="240"/>
      <w:jc w:val="both"/>
    </w:pPr>
    <w:rPr>
      <w:rFonts w:ascii="Times" w:hAnsi="Times" w:cs="Times"/>
    </w:rPr>
  </w:style>
  <w:style w:type="table" w:styleId="a5">
    <w:name w:val="Table Theme"/>
    <w:basedOn w:val="a1"/>
    <w:rsid w:val="0081026B"/>
    <w:pPr>
      <w:bidi/>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Hyperlink">
    <w:name w:val="Hyperlink"/>
    <w:rsid w:val="0081026B"/>
    <w:rPr>
      <w:color w:val="0000FF"/>
      <w:u w:val="single"/>
    </w:rPr>
  </w:style>
  <w:style w:type="character" w:styleId="FollowedHyperlink">
    <w:name w:val="FollowedHyperlink"/>
    <w:rsid w:val="0081026B"/>
    <w:rPr>
      <w:color w:val="606420"/>
      <w:u w:val="single"/>
    </w:rPr>
  </w:style>
  <w:style w:type="paragraph" w:styleId="a6">
    <w:name w:val="footer"/>
    <w:basedOn w:val="a"/>
    <w:link w:val="a7"/>
    <w:uiPriority w:val="99"/>
    <w:rsid w:val="00E64B36"/>
    <w:pPr>
      <w:tabs>
        <w:tab w:val="center" w:pos="4153"/>
        <w:tab w:val="right" w:pos="8306"/>
      </w:tabs>
    </w:pPr>
  </w:style>
  <w:style w:type="character" w:customStyle="1" w:styleId="a7">
    <w:name w:val="כותרת תחתונה תו"/>
    <w:link w:val="a6"/>
    <w:uiPriority w:val="99"/>
    <w:rsid w:val="00E64B36"/>
    <w:rPr>
      <w:sz w:val="24"/>
      <w:szCs w:val="24"/>
    </w:rPr>
  </w:style>
  <w:style w:type="character" w:customStyle="1" w:styleId="a4">
    <w:name w:val="כותרת עליונה תו"/>
    <w:link w:val="a3"/>
    <w:uiPriority w:val="99"/>
    <w:rsid w:val="00E64B36"/>
    <w:rPr>
      <w:sz w:val="24"/>
      <w:szCs w:val="24"/>
    </w:rPr>
  </w:style>
  <w:style w:type="paragraph" w:styleId="a8">
    <w:name w:val="Balloon Text"/>
    <w:basedOn w:val="a"/>
    <w:link w:val="a9"/>
    <w:rsid w:val="00E64B36"/>
    <w:rPr>
      <w:rFonts w:ascii="Tahoma" w:hAnsi="Tahoma" w:cs="Tahoma"/>
      <w:sz w:val="16"/>
      <w:szCs w:val="16"/>
    </w:rPr>
  </w:style>
  <w:style w:type="character" w:customStyle="1" w:styleId="a9">
    <w:name w:val="טקסט בלונים תו"/>
    <w:link w:val="a8"/>
    <w:rsid w:val="00E64B36"/>
    <w:rPr>
      <w:rFonts w:ascii="Tahoma" w:hAnsi="Tahoma" w:cs="Tahoma"/>
      <w:sz w:val="16"/>
      <w:szCs w:val="16"/>
    </w:rPr>
  </w:style>
  <w:style w:type="paragraph" w:styleId="aa">
    <w:name w:val="List Paragraph"/>
    <w:basedOn w:val="a"/>
    <w:uiPriority w:val="34"/>
    <w:qFormat/>
    <w:rsid w:val="00961BD6"/>
    <w:pPr>
      <w:bidi w:val="0"/>
      <w:ind w:left="720"/>
      <w:contextualSpacing/>
    </w:pPr>
    <w:rPr>
      <w:rFonts w:eastAsia="Calibri" w:cs="Arial"/>
      <w:szCs w:val="22"/>
    </w:rPr>
  </w:style>
  <w:style w:type="paragraph" w:styleId="ab">
    <w:name w:val="footnote text"/>
    <w:basedOn w:val="a"/>
    <w:link w:val="ac"/>
    <w:unhideWhenUsed/>
    <w:rsid w:val="00596FB4"/>
    <w:pPr>
      <w:bidi w:val="0"/>
      <w:spacing w:line="300" w:lineRule="exact"/>
      <w:jc w:val="both"/>
    </w:pPr>
    <w:rPr>
      <w:rFonts w:ascii="Times" w:hAnsi="Times" w:cs="Times"/>
      <w:sz w:val="20"/>
      <w:szCs w:val="20"/>
    </w:rPr>
  </w:style>
  <w:style w:type="character" w:customStyle="1" w:styleId="ac">
    <w:name w:val="טקסט הערת שוליים תו"/>
    <w:link w:val="ab"/>
    <w:rsid w:val="00596FB4"/>
    <w:rPr>
      <w:rFonts w:ascii="Times" w:hAnsi="Times" w:cs="Times"/>
    </w:rPr>
  </w:style>
  <w:style w:type="character" w:styleId="ad">
    <w:name w:val="footnote reference"/>
    <w:unhideWhenUsed/>
    <w:rsid w:val="00596FB4"/>
    <w:rPr>
      <w:vertAlign w:val="superscript"/>
    </w:rPr>
  </w:style>
  <w:style w:type="paragraph" w:customStyle="1" w:styleId="PS">
    <w:name w:val="PS"/>
    <w:basedOn w:val="a"/>
    <w:rsid w:val="00A3549C"/>
    <w:pPr>
      <w:bidi w:val="0"/>
      <w:ind w:firstLine="432"/>
    </w:pPr>
    <w:rPr>
      <w:szCs w:val="20"/>
      <w:lang w:bidi="ar-SA"/>
    </w:rPr>
  </w:style>
  <w:style w:type="table" w:styleId="ae">
    <w:name w:val="Table Grid"/>
    <w:basedOn w:val="a1"/>
    <w:uiPriority w:val="59"/>
    <w:rsid w:val="009C43A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גוף טקסט תו"/>
    <w:basedOn w:val="a0"/>
    <w:link w:val="af0"/>
    <w:rsid w:val="009C43A2"/>
    <w:rPr>
      <w:sz w:val="22"/>
      <w:szCs w:val="22"/>
    </w:rPr>
  </w:style>
  <w:style w:type="paragraph" w:styleId="af0">
    <w:name w:val="Body Text"/>
    <w:basedOn w:val="a"/>
    <w:link w:val="af"/>
    <w:qFormat/>
    <w:rsid w:val="009C43A2"/>
    <w:pPr>
      <w:widowControl w:val="0"/>
      <w:bidi w:val="0"/>
      <w:spacing w:after="160" w:line="276" w:lineRule="auto"/>
    </w:pPr>
    <w:rPr>
      <w:sz w:val="22"/>
      <w:szCs w:val="22"/>
    </w:rPr>
  </w:style>
  <w:style w:type="character" w:customStyle="1" w:styleId="BodyTextChar1">
    <w:name w:val="Body Text Char1"/>
    <w:basedOn w:val="a0"/>
    <w:semiHidden/>
    <w:rsid w:val="009C43A2"/>
    <w:rPr>
      <w:sz w:val="24"/>
      <w:szCs w:val="24"/>
    </w:rPr>
  </w:style>
  <w:style w:type="paragraph" w:styleId="NormalWeb">
    <w:name w:val="Normal (Web)"/>
    <w:basedOn w:val="a"/>
    <w:uiPriority w:val="99"/>
    <w:semiHidden/>
    <w:unhideWhenUsed/>
    <w:rsid w:val="00040B3C"/>
    <w:pPr>
      <w:bidi w:val="0"/>
      <w:spacing w:before="100" w:beforeAutospacing="1" w:after="100" w:afterAutospacing="1"/>
    </w:pPr>
  </w:style>
  <w:style w:type="character" w:styleId="af1">
    <w:name w:val="Strong"/>
    <w:basedOn w:val="a0"/>
    <w:uiPriority w:val="22"/>
    <w:qFormat/>
    <w:rsid w:val="000D4B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203310">
      <w:bodyDiv w:val="1"/>
      <w:marLeft w:val="0"/>
      <w:marRight w:val="0"/>
      <w:marTop w:val="0"/>
      <w:marBottom w:val="0"/>
      <w:divBdr>
        <w:top w:val="none" w:sz="0" w:space="0" w:color="auto"/>
        <w:left w:val="none" w:sz="0" w:space="0" w:color="auto"/>
        <w:bottom w:val="none" w:sz="0" w:space="0" w:color="auto"/>
        <w:right w:val="none" w:sz="0" w:space="0" w:color="auto"/>
      </w:divBdr>
    </w:div>
    <w:div w:id="1595552142">
      <w:bodyDiv w:val="1"/>
      <w:marLeft w:val="0"/>
      <w:marRight w:val="0"/>
      <w:marTop w:val="0"/>
      <w:marBottom w:val="0"/>
      <w:divBdr>
        <w:top w:val="none" w:sz="0" w:space="0" w:color="auto"/>
        <w:left w:val="none" w:sz="0" w:space="0" w:color="auto"/>
        <w:bottom w:val="none" w:sz="0" w:space="0" w:color="auto"/>
        <w:right w:val="none" w:sz="0" w:space="0" w:color="auto"/>
      </w:divBdr>
    </w:div>
    <w:div w:id="1744638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B97D4-4A9E-41C2-B0B4-E462C0BA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825</Words>
  <Characters>4566</Characters>
  <Application>Microsoft Office Word</Application>
  <DocSecurity>4</DocSecurity>
  <Lines>38</Lines>
  <Paragraphs>10</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LinksUpToDate>false</LinksUpToDate>
  <CharactersWithSpaces>5381</CharactersWithSpaces>
  <SharedDoc>false</SharedDoc>
  <HLinks>
    <vt:vector size="6" baseType="variant">
      <vt:variant>
        <vt:i4>4980745</vt:i4>
      </vt:variant>
      <vt:variant>
        <vt:i4>0</vt:i4>
      </vt:variant>
      <vt:variant>
        <vt:i4>0</vt:i4>
      </vt:variant>
      <vt:variant>
        <vt:i4>5</vt:i4>
      </vt:variant>
      <vt:variant>
        <vt:lpwstr>http://www.boi.org.il/en/Research/Pages/ind.aspx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2026-07-01T10:31:00Z</dcterms:created>
  <dcterms:modified xsi:type="dcterms:W3CDTF">2026-07-01T10:31:00Z</dcterms:modified>
</cp:coreProperties>
</file>