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43"/>
        <w:gridCol w:w="2596"/>
        <w:gridCol w:w="3591"/>
      </w:tblGrid>
      <w:tr w:rsidR="00FA6A50" w:rsidRPr="00511F41" w14:paraId="57E9E52A" w14:textId="77777777" w:rsidTr="007C205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89A11" w14:textId="40C638A0" w:rsidR="00FA6A50" w:rsidRPr="00BC217C" w:rsidRDefault="00FA6A50" w:rsidP="00970189">
            <w:pPr>
              <w:spacing w:line="480" w:lineRule="auto"/>
              <w:ind w:left="97"/>
              <w:jc w:val="both"/>
              <w:rPr>
                <w:rFonts w:cs="David"/>
                <w:b/>
                <w:bCs/>
                <w:sz w:val="24"/>
                <w:szCs w:val="24"/>
              </w:rPr>
            </w:pPr>
            <w:r w:rsidRPr="00BC217C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BC217C">
              <w:rPr>
                <w:rFonts w:cs="David" w:hint="cs"/>
                <w:b/>
                <w:bCs/>
                <w:sz w:val="28"/>
                <w:szCs w:val="28"/>
                <w:rtl/>
              </w:rPr>
              <w:t>ק</w:t>
            </w:r>
            <w:r w:rsidR="0097018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C217C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BC217C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789B37CB" w14:textId="5C2AEBE3" w:rsidR="00FA6A50" w:rsidRPr="00BC217C" w:rsidRDefault="00FA6A50" w:rsidP="00970189">
            <w:pPr>
              <w:spacing w:line="480" w:lineRule="auto"/>
              <w:ind w:left="97" w:right="-101"/>
              <w:jc w:val="both"/>
              <w:rPr>
                <w:sz w:val="24"/>
                <w:szCs w:val="24"/>
              </w:rPr>
            </w:pPr>
            <w:r w:rsidRPr="00BC217C">
              <w:rPr>
                <w:rFonts w:cs="David"/>
                <w:sz w:val="24"/>
                <w:szCs w:val="24"/>
                <w:rtl/>
              </w:rPr>
              <w:t>דו</w:t>
            </w:r>
            <w:r w:rsidRPr="00BC217C">
              <w:rPr>
                <w:rFonts w:cs="David" w:hint="cs"/>
                <w:sz w:val="24"/>
                <w:szCs w:val="24"/>
                <w:rtl/>
              </w:rPr>
              <w:t>בר</w:t>
            </w:r>
            <w:r w:rsidRPr="00BC217C">
              <w:rPr>
                <w:rFonts w:cs="David"/>
                <w:sz w:val="24"/>
                <w:szCs w:val="24"/>
                <w:rtl/>
              </w:rPr>
              <w:t>ות</w:t>
            </w:r>
            <w:r w:rsidR="0097018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C217C">
              <w:rPr>
                <w:rFonts w:cs="David" w:hint="cs"/>
                <w:sz w:val="24"/>
                <w:szCs w:val="24"/>
                <w:rtl/>
              </w:rPr>
              <w:t>והסברה</w:t>
            </w:r>
            <w:r w:rsidR="0097018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C217C">
              <w:rPr>
                <w:rFonts w:cs="David" w:hint="cs"/>
                <w:sz w:val="24"/>
                <w:szCs w:val="24"/>
                <w:rtl/>
              </w:rPr>
              <w:t>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B85ABB" w14:textId="77777777" w:rsidR="00FA6A50" w:rsidRPr="00BC217C" w:rsidRDefault="00FA6A50" w:rsidP="00970189">
            <w:pPr>
              <w:jc w:val="both"/>
              <w:rPr>
                <w:sz w:val="24"/>
                <w:szCs w:val="24"/>
              </w:rPr>
            </w:pPr>
            <w:r w:rsidRPr="00BC217C">
              <w:rPr>
                <w:noProof/>
                <w:sz w:val="24"/>
                <w:szCs w:val="24"/>
              </w:rPr>
              <w:drawing>
                <wp:inline distT="0" distB="0" distL="0" distR="0" wp14:anchorId="5044E5BC" wp14:editId="7E2E419F">
                  <wp:extent cx="945515" cy="945515"/>
                  <wp:effectExtent l="0" t="0" r="6985" b="6985"/>
                  <wp:docPr id="2" name="תמונה 2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DBF08" w14:textId="506A8AB6" w:rsidR="00FA6A50" w:rsidRPr="007E2DB7" w:rsidRDefault="00FA6A50" w:rsidP="004414F2">
            <w:pPr>
              <w:spacing w:line="480" w:lineRule="auto"/>
              <w:jc w:val="both"/>
              <w:rPr>
                <w:rFonts w:cs="David"/>
                <w:sz w:val="24"/>
                <w:szCs w:val="24"/>
              </w:rPr>
            </w:pPr>
            <w:r w:rsidRPr="00511F41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Pr="007E2DB7">
              <w:rPr>
                <w:rFonts w:cs="David" w:hint="cs"/>
                <w:sz w:val="24"/>
                <w:szCs w:val="24"/>
                <w:rtl/>
              </w:rPr>
              <w:t>ירושלים,</w:t>
            </w:r>
            <w:r w:rsidR="00970189" w:rsidRPr="007E2DB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EC4122" w:rsidRPr="007E2DB7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4414F2" w:rsidRPr="007E2DB7">
              <w:rPr>
                <w:rFonts w:cs="David" w:hint="cs"/>
                <w:sz w:val="24"/>
                <w:szCs w:val="24"/>
                <w:rtl/>
              </w:rPr>
              <w:t>י"ד</w:t>
            </w:r>
            <w:r w:rsidR="00970189" w:rsidRPr="007E2DB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414F2" w:rsidRPr="007E2DB7">
              <w:rPr>
                <w:rFonts w:cs="David" w:hint="cs"/>
                <w:sz w:val="24"/>
                <w:szCs w:val="24"/>
                <w:rtl/>
              </w:rPr>
              <w:t>בשבט</w:t>
            </w:r>
            <w:r w:rsidR="00EC4122" w:rsidRPr="007E2DB7">
              <w:rPr>
                <w:rFonts w:cs="David"/>
                <w:sz w:val="24"/>
                <w:szCs w:val="24"/>
                <w:rtl/>
              </w:rPr>
              <w:t>,</w:t>
            </w:r>
            <w:r w:rsidR="00970189" w:rsidRPr="007E2DB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970189" w:rsidRPr="007E2DB7">
              <w:rPr>
                <w:rFonts w:cs="David" w:hint="cs"/>
                <w:sz w:val="24"/>
                <w:szCs w:val="24"/>
                <w:rtl/>
              </w:rPr>
              <w:t>ה</w:t>
            </w:r>
            <w:r w:rsidR="00EC4122" w:rsidRPr="007E2DB7">
              <w:rPr>
                <w:rFonts w:cs="David"/>
                <w:sz w:val="24"/>
                <w:szCs w:val="24"/>
                <w:rtl/>
              </w:rPr>
              <w:t>תש</w:t>
            </w:r>
            <w:r w:rsidR="009602B7" w:rsidRPr="007E2DB7">
              <w:rPr>
                <w:rFonts w:cs="David" w:hint="cs"/>
                <w:sz w:val="24"/>
                <w:szCs w:val="24"/>
                <w:rtl/>
              </w:rPr>
              <w:t>פ"ד</w:t>
            </w:r>
          </w:p>
          <w:p w14:paraId="3F165C90" w14:textId="1BBEADD8" w:rsidR="00FA6A50" w:rsidRPr="00511F41" w:rsidRDefault="00EC4122" w:rsidP="004414F2">
            <w:pPr>
              <w:spacing w:line="480" w:lineRule="auto"/>
              <w:jc w:val="both"/>
              <w:rPr>
                <w:rFonts w:cs="David"/>
                <w:sz w:val="24"/>
                <w:szCs w:val="24"/>
                <w:highlight w:val="yellow"/>
              </w:rPr>
            </w:pPr>
            <w:r w:rsidRPr="007E2DB7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4414F2" w:rsidRPr="007E2DB7">
              <w:rPr>
                <w:rFonts w:cs="David" w:hint="cs"/>
                <w:sz w:val="24"/>
                <w:szCs w:val="24"/>
                <w:rtl/>
              </w:rPr>
              <w:t>24</w:t>
            </w:r>
            <w:r w:rsidR="004414F2" w:rsidRPr="007E2DB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414F2" w:rsidRPr="007E2DB7">
              <w:rPr>
                <w:rFonts w:cs="David" w:hint="cs"/>
                <w:sz w:val="24"/>
                <w:szCs w:val="24"/>
                <w:rtl/>
              </w:rPr>
              <w:t>בינואר</w:t>
            </w:r>
            <w:r w:rsidR="004414F2" w:rsidRPr="007E2DB7">
              <w:rPr>
                <w:rFonts w:cs="David"/>
                <w:sz w:val="24"/>
                <w:szCs w:val="24"/>
                <w:rtl/>
              </w:rPr>
              <w:t xml:space="preserve"> 202</w:t>
            </w:r>
            <w:r w:rsidR="004414F2" w:rsidRPr="007E2DB7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14:paraId="430968D4" w14:textId="77777777" w:rsidR="00FA6A50" w:rsidRPr="003C0D95" w:rsidRDefault="00FA6A50" w:rsidP="00970189">
      <w:pPr>
        <w:ind w:left="113"/>
        <w:jc w:val="both"/>
        <w:rPr>
          <w:rtl/>
        </w:rPr>
      </w:pPr>
    </w:p>
    <w:p w14:paraId="5B076E6C" w14:textId="4DE1629A" w:rsidR="00FA6A50" w:rsidRPr="00AB687A" w:rsidRDefault="00FA6A50" w:rsidP="00970189">
      <w:pPr>
        <w:spacing w:line="360" w:lineRule="auto"/>
        <w:jc w:val="both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 w:rsidRPr="00AB687A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הודעה</w:t>
      </w:r>
      <w:r w:rsidR="00970189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 </w:t>
      </w:r>
      <w:r w:rsidRPr="00AB687A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>לעיתונות:</w:t>
      </w:r>
      <w:r w:rsidR="00970189">
        <w:rPr>
          <w:rFonts w:asciiTheme="minorBidi" w:hAnsiTheme="minorBidi" w:cs="David" w:hint="cs"/>
          <w:color w:val="000000" w:themeColor="text1"/>
          <w:sz w:val="24"/>
          <w:szCs w:val="24"/>
          <w:rtl/>
        </w:rPr>
        <w:t xml:space="preserve"> </w:t>
      </w:r>
    </w:p>
    <w:p w14:paraId="4BC0C4C8" w14:textId="0AE95524" w:rsidR="0080221C" w:rsidRDefault="00970189" w:rsidP="0037467D">
      <w:pPr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 w:rsidRPr="00970189">
        <w:rPr>
          <w:rFonts w:cs="David"/>
          <w:b/>
          <w:bCs/>
          <w:sz w:val="28"/>
          <w:szCs w:val="28"/>
          <w:rtl/>
        </w:rPr>
        <w:t>התמסורת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 w:rsidRPr="00970189">
        <w:rPr>
          <w:rFonts w:cs="David"/>
          <w:b/>
          <w:bCs/>
          <w:sz w:val="28"/>
          <w:szCs w:val="28"/>
          <w:rtl/>
        </w:rPr>
        <w:t>משער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 w:rsidRPr="00970189">
        <w:rPr>
          <w:rFonts w:cs="David"/>
          <w:b/>
          <w:bCs/>
          <w:sz w:val="28"/>
          <w:szCs w:val="28"/>
          <w:rtl/>
        </w:rPr>
        <w:t>החליפין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 w:rsidRPr="00970189">
        <w:rPr>
          <w:rFonts w:cs="David"/>
          <w:b/>
          <w:bCs/>
          <w:sz w:val="28"/>
          <w:szCs w:val="28"/>
          <w:rtl/>
        </w:rPr>
        <w:t>למחירים</w:t>
      </w:r>
      <w:r w:rsidR="009F7C9A">
        <w:rPr>
          <w:rFonts w:cs="David" w:hint="cs"/>
          <w:b/>
          <w:bCs/>
          <w:sz w:val="28"/>
          <w:szCs w:val="28"/>
          <w:rtl/>
        </w:rPr>
        <w:t>: מתוך לקט ניתוחי מחקר ומדיניות שיתפרסם בקרוב</w:t>
      </w:r>
    </w:p>
    <w:bookmarkEnd w:id="0"/>
    <w:p w14:paraId="2DFBE541" w14:textId="77777777" w:rsidR="00423050" w:rsidRPr="00FA6A50" w:rsidRDefault="00423050" w:rsidP="00423050">
      <w:pPr>
        <w:spacing w:after="0"/>
        <w:jc w:val="center"/>
        <w:rPr>
          <w:rFonts w:cs="David"/>
          <w:b/>
          <w:bCs/>
          <w:sz w:val="28"/>
          <w:szCs w:val="28"/>
          <w:rtl/>
        </w:rPr>
      </w:pPr>
    </w:p>
    <w:p w14:paraId="5868C58D" w14:textId="14C47C0D" w:rsidR="00970189" w:rsidRPr="00782713" w:rsidRDefault="00970189" w:rsidP="00754D58">
      <w:pPr>
        <w:pStyle w:val="a3"/>
        <w:numPr>
          <w:ilvl w:val="0"/>
          <w:numId w:val="7"/>
        </w:numPr>
        <w:spacing w:after="0" w:line="360" w:lineRule="auto"/>
        <w:ind w:left="368" w:hanging="321"/>
        <w:jc w:val="both"/>
        <w:rPr>
          <w:rFonts w:ascii="David" w:hAnsi="David" w:cs="David"/>
          <w:sz w:val="24"/>
          <w:szCs w:val="24"/>
        </w:rPr>
      </w:pPr>
      <w:r w:rsidRPr="00782713">
        <w:rPr>
          <w:rFonts w:ascii="David" w:hAnsi="David" w:cs="David" w:hint="cs"/>
          <w:sz w:val="24"/>
          <w:szCs w:val="24"/>
          <w:rtl/>
        </w:rPr>
        <w:t>החל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מהמחצית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השנייה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של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שנת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2022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מסתמן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כי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התמסורת</w:t>
      </w:r>
      <w:r>
        <w:rPr>
          <w:rFonts w:ascii="David" w:hAnsi="David" w:cs="David" w:hint="cs"/>
          <w:sz w:val="24"/>
          <w:szCs w:val="24"/>
          <w:rtl/>
        </w:rPr>
        <w:t xml:space="preserve"> משער החליפין </w:t>
      </w:r>
      <w:r w:rsidRPr="00782713">
        <w:rPr>
          <w:rFonts w:ascii="David" w:hAnsi="David" w:cs="David" w:hint="cs"/>
          <w:sz w:val="24"/>
          <w:szCs w:val="24"/>
          <w:rtl/>
        </w:rPr>
        <w:t>של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השקל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מול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הדולר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לאינפלציה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הכללית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82713">
        <w:rPr>
          <w:rFonts w:ascii="David" w:hAnsi="David" w:cs="David" w:hint="cs"/>
          <w:sz w:val="24"/>
          <w:szCs w:val="24"/>
          <w:rtl/>
        </w:rPr>
        <w:t>בישראל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741CE">
        <w:rPr>
          <w:rFonts w:ascii="David" w:hAnsi="David" w:cs="David" w:hint="cs"/>
          <w:sz w:val="24"/>
          <w:szCs w:val="24"/>
          <w:rtl/>
        </w:rPr>
        <w:t>התחזק</w:t>
      </w:r>
      <w:r w:rsidRPr="000E4188">
        <w:rPr>
          <w:rFonts w:ascii="David" w:hAnsi="David" w:cs="David" w:hint="cs"/>
          <w:sz w:val="24"/>
          <w:szCs w:val="24"/>
          <w:rtl/>
        </w:rPr>
        <w:t>ה.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לאחר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שהתמסורת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הממוצעת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במדגמים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המסתיימים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בין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יוני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2017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לבין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יוני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2022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עמדה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E4188">
        <w:rPr>
          <w:rFonts w:ascii="David" w:hAnsi="David" w:cs="David" w:hint="cs"/>
          <w:sz w:val="24"/>
          <w:szCs w:val="24"/>
          <w:rtl/>
        </w:rPr>
        <w:t>על</w:t>
      </w:r>
      <w:r w:rsidR="0037467D">
        <w:rPr>
          <w:rFonts w:ascii="David" w:hAnsi="David" w:cs="David" w:hint="cs"/>
          <w:sz w:val="24"/>
          <w:szCs w:val="24"/>
          <w:rtl/>
        </w:rPr>
        <w:t xml:space="preserve"> מעט פחות מ-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7467D">
        <w:rPr>
          <w:rFonts w:ascii="David" w:hAnsi="David" w:cs="David" w:hint="cs"/>
          <w:sz w:val="24"/>
          <w:szCs w:val="24"/>
          <w:rtl/>
        </w:rPr>
        <w:t xml:space="preserve">20 </w:t>
      </w:r>
      <w:r w:rsidRPr="000E4188">
        <w:rPr>
          <w:rFonts w:ascii="David" w:hAnsi="David" w:cs="David" w:hint="cs"/>
          <w:sz w:val="24"/>
          <w:szCs w:val="24"/>
          <w:rtl/>
        </w:rPr>
        <w:t>אחוזים,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81E0E">
        <w:rPr>
          <w:rFonts w:ascii="David" w:hAnsi="David" w:cs="David" w:hint="cs"/>
          <w:sz w:val="24"/>
          <w:szCs w:val="24"/>
          <w:rtl/>
        </w:rPr>
        <w:t xml:space="preserve">החל ממדגמים המסתיימים בסוף שנת 2022 ועד יוני 2023 </w:t>
      </w:r>
      <w:r w:rsidRPr="000E4188">
        <w:rPr>
          <w:rFonts w:ascii="David" w:hAnsi="David" w:cs="David" w:hint="cs"/>
          <w:sz w:val="24"/>
          <w:szCs w:val="24"/>
          <w:rtl/>
        </w:rPr>
        <w:t>היא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54D58">
        <w:rPr>
          <w:rFonts w:ascii="David" w:hAnsi="David" w:cs="David" w:hint="cs"/>
          <w:sz w:val="24"/>
          <w:szCs w:val="24"/>
          <w:rtl/>
        </w:rPr>
        <w:t xml:space="preserve">מעט מעל </w:t>
      </w:r>
      <w:r w:rsidR="0037467D">
        <w:rPr>
          <w:rFonts w:ascii="David" w:hAnsi="David" w:cs="David" w:hint="cs"/>
          <w:sz w:val="24"/>
          <w:szCs w:val="24"/>
          <w:rtl/>
        </w:rPr>
        <w:t xml:space="preserve">25 </w:t>
      </w:r>
      <w:r w:rsidR="00F81E0E">
        <w:rPr>
          <w:rFonts w:ascii="David" w:hAnsi="David" w:cs="David" w:hint="cs"/>
          <w:sz w:val="24"/>
          <w:szCs w:val="24"/>
          <w:rtl/>
        </w:rPr>
        <w:t>אחוזים.</w:t>
      </w:r>
    </w:p>
    <w:p w14:paraId="408B116A" w14:textId="652B1F14" w:rsidR="00970189" w:rsidRDefault="00970189" w:rsidP="00F476EC">
      <w:pPr>
        <w:pStyle w:val="a3"/>
        <w:numPr>
          <w:ilvl w:val="0"/>
          <w:numId w:val="7"/>
        </w:numPr>
        <w:spacing w:after="0" w:line="360" w:lineRule="auto"/>
        <w:ind w:left="368" w:hanging="321"/>
        <w:jc w:val="both"/>
        <w:rPr>
          <w:rFonts w:ascii="David" w:hAnsi="David" w:cs="David"/>
          <w:sz w:val="24"/>
          <w:szCs w:val="24"/>
        </w:rPr>
      </w:pPr>
      <w:r w:rsidRPr="00AB1621">
        <w:rPr>
          <w:rFonts w:ascii="David" w:hAnsi="David" w:cs="David" w:hint="cs"/>
          <w:sz w:val="24"/>
          <w:szCs w:val="24"/>
          <w:rtl/>
        </w:rPr>
        <w:t>נמצא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AB1621">
        <w:rPr>
          <w:rFonts w:ascii="David" w:hAnsi="David" w:cs="David" w:hint="cs"/>
          <w:sz w:val="24"/>
          <w:szCs w:val="24"/>
          <w:rtl/>
        </w:rPr>
        <w:t>שה</w:t>
      </w:r>
      <w:r w:rsidRPr="00AB1621">
        <w:rPr>
          <w:rFonts w:ascii="David" w:hAnsi="David" w:cs="David" w:hint="eastAsia"/>
          <w:i/>
          <w:sz w:val="24"/>
          <w:szCs w:val="24"/>
          <w:rtl/>
        </w:rPr>
        <w:t>תמסורת</w:t>
      </w:r>
      <w:r w:rsidR="00F81E0E">
        <w:rPr>
          <w:rFonts w:ascii="David" w:hAnsi="David" w:cs="David" w:hint="cs"/>
          <w:i/>
          <w:sz w:val="24"/>
          <w:szCs w:val="24"/>
          <w:rtl/>
        </w:rPr>
        <w:t xml:space="preserve"> בישראל</w:t>
      </w:r>
      <w:r>
        <w:rPr>
          <w:rFonts w:ascii="David" w:hAnsi="David" w:cs="David"/>
          <w:i/>
          <w:sz w:val="24"/>
          <w:szCs w:val="24"/>
          <w:rtl/>
        </w:rPr>
        <w:t xml:space="preserve"> </w:t>
      </w:r>
      <w:r w:rsidRPr="00AB1621">
        <w:rPr>
          <w:rFonts w:ascii="David" w:hAnsi="David" w:cs="David" w:hint="eastAsia"/>
          <w:i/>
          <w:sz w:val="24"/>
          <w:szCs w:val="24"/>
          <w:rtl/>
        </w:rPr>
        <w:t>מתחזקת</w:t>
      </w:r>
      <w:r>
        <w:rPr>
          <w:rFonts w:ascii="David" w:hAnsi="David" w:cs="David"/>
          <w:i/>
          <w:sz w:val="24"/>
          <w:szCs w:val="24"/>
          <w:rtl/>
        </w:rPr>
        <w:t xml:space="preserve"> </w:t>
      </w:r>
      <w:r w:rsidRPr="00AB1621">
        <w:rPr>
          <w:rFonts w:ascii="David" w:hAnsi="David" w:cs="David" w:hint="eastAsia"/>
          <w:i/>
          <w:sz w:val="24"/>
          <w:szCs w:val="24"/>
          <w:rtl/>
        </w:rPr>
        <w:t>משמעותית</w:t>
      </w:r>
      <w:r>
        <w:rPr>
          <w:rFonts w:ascii="David" w:hAnsi="David" w:cs="David"/>
          <w:i/>
          <w:sz w:val="24"/>
          <w:szCs w:val="24"/>
          <w:rtl/>
        </w:rPr>
        <w:t xml:space="preserve"> </w:t>
      </w:r>
      <w:r w:rsidRPr="00AB1621">
        <w:rPr>
          <w:rFonts w:ascii="David" w:hAnsi="David" w:cs="David" w:hint="eastAsia"/>
          <w:i/>
          <w:sz w:val="24"/>
          <w:szCs w:val="24"/>
          <w:rtl/>
        </w:rPr>
        <w:t>כשה</w:t>
      </w:r>
      <w:r w:rsidRPr="00AB1621">
        <w:rPr>
          <w:rFonts w:ascii="David" w:hAnsi="David" w:cs="David" w:hint="cs"/>
          <w:i/>
          <w:sz w:val="24"/>
          <w:szCs w:val="24"/>
          <w:rtl/>
        </w:rPr>
        <w:t>אינפלציה</w:t>
      </w:r>
      <w:r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Pr="00AB1621">
        <w:rPr>
          <w:rFonts w:ascii="David" w:hAnsi="David" w:cs="David" w:hint="cs"/>
          <w:i/>
          <w:sz w:val="24"/>
          <w:szCs w:val="24"/>
          <w:rtl/>
        </w:rPr>
        <w:t>ח</w:t>
      </w:r>
      <w:r>
        <w:rPr>
          <w:rFonts w:ascii="David" w:hAnsi="David" w:cs="David" w:hint="cs"/>
          <w:i/>
          <w:sz w:val="24"/>
          <w:szCs w:val="24"/>
          <w:rtl/>
        </w:rPr>
        <w:t xml:space="preserve">ורגת </w:t>
      </w:r>
      <w:r w:rsidRPr="001958E4">
        <w:rPr>
          <w:rFonts w:ascii="David" w:hAnsi="David" w:cs="David" w:hint="cs"/>
          <w:i/>
          <w:sz w:val="24"/>
          <w:szCs w:val="24"/>
          <w:rtl/>
        </w:rPr>
        <w:t>מהגבול</w:t>
      </w:r>
      <w:r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Pr="001958E4">
        <w:rPr>
          <w:rFonts w:ascii="David" w:hAnsi="David" w:cs="David" w:hint="cs"/>
          <w:i/>
          <w:sz w:val="24"/>
          <w:szCs w:val="24"/>
          <w:rtl/>
        </w:rPr>
        <w:t>העליון</w:t>
      </w:r>
      <w:r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Pr="001958E4">
        <w:rPr>
          <w:rFonts w:ascii="David" w:hAnsi="David" w:cs="David" w:hint="cs"/>
          <w:i/>
          <w:sz w:val="24"/>
          <w:szCs w:val="24"/>
          <w:rtl/>
        </w:rPr>
        <w:t>של</w:t>
      </w:r>
      <w:r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Pr="001958E4">
        <w:rPr>
          <w:rFonts w:ascii="David" w:hAnsi="David" w:cs="David" w:hint="cs"/>
          <w:i/>
          <w:sz w:val="24"/>
          <w:szCs w:val="24"/>
          <w:rtl/>
        </w:rPr>
        <w:t>יעד</w:t>
      </w:r>
      <w:r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Pr="001958E4">
        <w:rPr>
          <w:rFonts w:ascii="David" w:hAnsi="David" w:cs="David" w:hint="cs"/>
          <w:i/>
          <w:sz w:val="24"/>
          <w:szCs w:val="24"/>
          <w:rtl/>
        </w:rPr>
        <w:t>האינפלציה</w:t>
      </w:r>
      <w:r>
        <w:rPr>
          <w:rFonts w:ascii="David" w:hAnsi="David" w:cs="David" w:hint="cs"/>
          <w:i/>
          <w:sz w:val="24"/>
          <w:szCs w:val="24"/>
          <w:rtl/>
        </w:rPr>
        <w:t xml:space="preserve"> (3 אחוזים).</w:t>
      </w:r>
      <w:r w:rsidR="00F81E0E">
        <w:rPr>
          <w:rFonts w:ascii="David" w:hAnsi="David" w:cs="David" w:hint="cs"/>
          <w:sz w:val="24"/>
          <w:szCs w:val="24"/>
          <w:rtl/>
        </w:rPr>
        <w:t xml:space="preserve"> ממצא זה </w:t>
      </w:r>
      <w:r w:rsidR="00F81E0E" w:rsidRPr="00F95C28">
        <w:rPr>
          <w:rFonts w:ascii="David" w:hAnsi="David" w:cs="David" w:hint="cs"/>
          <w:sz w:val="24"/>
          <w:szCs w:val="24"/>
          <w:rtl/>
        </w:rPr>
        <w:t>עולה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F95C28">
        <w:rPr>
          <w:rFonts w:ascii="David" w:hAnsi="David" w:cs="David" w:hint="cs"/>
          <w:sz w:val="24"/>
          <w:szCs w:val="24"/>
          <w:rtl/>
        </w:rPr>
        <w:t>בקנה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F95C28">
        <w:rPr>
          <w:rFonts w:ascii="David" w:hAnsi="David" w:cs="David" w:hint="cs"/>
          <w:sz w:val="24"/>
          <w:szCs w:val="24"/>
          <w:rtl/>
        </w:rPr>
        <w:t>אחד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F95C28">
        <w:rPr>
          <w:rFonts w:ascii="David" w:hAnsi="David" w:cs="David" w:hint="cs"/>
          <w:sz w:val="24"/>
          <w:szCs w:val="24"/>
          <w:rtl/>
        </w:rPr>
        <w:t>עם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הקשר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החיובי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שנמצא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בספרות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בין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רמת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האינפלציה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לבין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מידת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התמסורת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משער</w:t>
      </w:r>
      <w:r w:rsidR="00F81E0E">
        <w:rPr>
          <w:rFonts w:ascii="David" w:hAnsi="David" w:cs="David" w:hint="cs"/>
          <w:sz w:val="24"/>
          <w:szCs w:val="24"/>
          <w:rtl/>
        </w:rPr>
        <w:t xml:space="preserve"> </w:t>
      </w:r>
      <w:r w:rsidR="00F81E0E" w:rsidRPr="00E57706">
        <w:rPr>
          <w:rFonts w:ascii="David" w:hAnsi="David" w:cs="David" w:hint="cs"/>
          <w:sz w:val="24"/>
          <w:szCs w:val="24"/>
          <w:rtl/>
        </w:rPr>
        <w:t>החליפין</w:t>
      </w:r>
      <w:r w:rsidR="00F81E0E">
        <w:rPr>
          <w:rFonts w:ascii="David" w:hAnsi="David" w:cs="David" w:hint="cs"/>
          <w:sz w:val="24"/>
          <w:szCs w:val="24"/>
          <w:rtl/>
        </w:rPr>
        <w:t>.</w:t>
      </w:r>
    </w:p>
    <w:p w14:paraId="373382EA" w14:textId="3D00E377" w:rsidR="00627F0F" w:rsidRPr="00273E23" w:rsidRDefault="00627F0F" w:rsidP="0057521B">
      <w:pPr>
        <w:pStyle w:val="a3"/>
        <w:numPr>
          <w:ilvl w:val="0"/>
          <w:numId w:val="7"/>
        </w:numPr>
        <w:spacing w:after="0" w:line="360" w:lineRule="auto"/>
        <w:ind w:left="368" w:hanging="321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על סמך האמידה המעודכנת של </w:t>
      </w:r>
      <w:r w:rsidR="00F476EC">
        <w:rPr>
          <w:rFonts w:ascii="David" w:hAnsi="David" w:cs="David" w:hint="cs"/>
          <w:sz w:val="24"/>
          <w:szCs w:val="24"/>
          <w:rtl/>
        </w:rPr>
        <w:t>התמסורת</w:t>
      </w:r>
      <w:r>
        <w:rPr>
          <w:rFonts w:ascii="David" w:hAnsi="David" w:cs="David" w:hint="cs"/>
          <w:sz w:val="24"/>
          <w:szCs w:val="24"/>
          <w:rtl/>
        </w:rPr>
        <w:t xml:space="preserve">, ניתן להעריך שהיחלשותו של השקל תרמה </w:t>
      </w:r>
      <w:r w:rsidR="001B185F">
        <w:rPr>
          <w:rFonts w:ascii="David" w:hAnsi="David" w:cs="David" w:hint="cs"/>
          <w:sz w:val="24"/>
          <w:szCs w:val="24"/>
          <w:rtl/>
        </w:rPr>
        <w:t>לעלייה של כנקודת אחוז באינפלציה</w:t>
      </w:r>
      <w:r w:rsidR="001B185F" w:rsidRPr="008B2790">
        <w:rPr>
          <w:rFonts w:ascii="David" w:hAnsi="David" w:cs="David" w:hint="eastAsia"/>
          <w:sz w:val="24"/>
          <w:szCs w:val="24"/>
          <w:rtl/>
        </w:rPr>
        <w:t xml:space="preserve"> </w:t>
      </w:r>
      <w:r w:rsidR="00754D58" w:rsidRPr="008B2790">
        <w:rPr>
          <w:rFonts w:ascii="David" w:hAnsi="David" w:cs="David" w:hint="eastAsia"/>
          <w:sz w:val="24"/>
          <w:szCs w:val="24"/>
          <w:rtl/>
        </w:rPr>
        <w:t>ב</w:t>
      </w:r>
      <w:r w:rsidR="00754D58">
        <w:rPr>
          <w:rFonts w:ascii="David" w:hAnsi="David" w:cs="David" w:hint="cs"/>
          <w:sz w:val="24"/>
          <w:szCs w:val="24"/>
          <w:rtl/>
        </w:rPr>
        <w:t xml:space="preserve">מחצית הראשונה של </w:t>
      </w:r>
      <w:r w:rsidR="00754D58" w:rsidRPr="008B2790">
        <w:rPr>
          <w:rFonts w:ascii="David" w:hAnsi="David" w:cs="David" w:hint="eastAsia"/>
          <w:sz w:val="24"/>
          <w:szCs w:val="24"/>
          <w:rtl/>
        </w:rPr>
        <w:t>שנת</w:t>
      </w:r>
      <w:r w:rsidR="00754D58">
        <w:rPr>
          <w:rFonts w:ascii="David" w:hAnsi="David" w:cs="David" w:hint="cs"/>
          <w:sz w:val="24"/>
          <w:szCs w:val="24"/>
          <w:rtl/>
        </w:rPr>
        <w:t xml:space="preserve"> </w:t>
      </w:r>
      <w:r w:rsidR="00754D58" w:rsidRPr="008B2790">
        <w:rPr>
          <w:rFonts w:ascii="David" w:hAnsi="David" w:cs="David"/>
          <w:sz w:val="24"/>
          <w:szCs w:val="24"/>
          <w:rtl/>
        </w:rPr>
        <w:t>202</w:t>
      </w:r>
      <w:r w:rsidR="00754D58"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6DE7FAA3" w14:textId="2CD8BABE" w:rsidR="00BF525C" w:rsidRPr="00970189" w:rsidRDefault="00BF525C" w:rsidP="00970189">
      <w:pPr>
        <w:tabs>
          <w:tab w:val="left" w:pos="368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EA4D3BF" w14:textId="3FFE311F" w:rsidR="00970189" w:rsidRDefault="00970189" w:rsidP="00A95B88">
      <w:pPr>
        <w:tabs>
          <w:tab w:val="left" w:pos="368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70189">
        <w:rPr>
          <w:rFonts w:ascii="David" w:hAnsi="David" w:cs="David"/>
          <w:sz w:val="24"/>
          <w:szCs w:val="24"/>
          <w:rtl/>
        </w:rPr>
        <w:t>במשק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קטן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ופתוח</w:t>
      </w:r>
      <w:r w:rsidR="00F81E0E">
        <w:rPr>
          <w:rFonts w:ascii="David" w:hAnsi="David" w:cs="David" w:hint="cs"/>
          <w:sz w:val="24"/>
          <w:szCs w:val="24"/>
          <w:rtl/>
        </w:rPr>
        <w:t xml:space="preserve"> כמו ישראל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יש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לשער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החליפין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תפקיד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חשוב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בקביעת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מחירי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המוצרים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הסחירים,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ולכן–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גם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בקביעת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שיעור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האינפלציה.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A95B88">
        <w:rPr>
          <w:rFonts w:ascii="David" w:hAnsi="David" w:cs="David" w:hint="cs"/>
          <w:sz w:val="24"/>
          <w:szCs w:val="24"/>
          <w:rtl/>
        </w:rPr>
        <w:t xml:space="preserve">שיעור </w:t>
      </w:r>
      <w:r w:rsidRPr="00970189">
        <w:rPr>
          <w:rFonts w:ascii="David" w:hAnsi="David" w:cs="David"/>
          <w:sz w:val="24"/>
          <w:szCs w:val="24"/>
          <w:rtl/>
        </w:rPr>
        <w:t>התמסורת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משער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החליפין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(</w:t>
      </w:r>
      <w:r w:rsidRPr="00970189">
        <w:rPr>
          <w:rFonts w:ascii="David" w:hAnsi="David" w:cs="David"/>
          <w:sz w:val="24"/>
          <w:szCs w:val="24"/>
        </w:rPr>
        <w:t>Exchange-Rate</w:t>
      </w:r>
      <w:r>
        <w:rPr>
          <w:rFonts w:ascii="David" w:hAnsi="David" w:cs="David"/>
          <w:sz w:val="24"/>
          <w:szCs w:val="24"/>
        </w:rPr>
        <w:t xml:space="preserve"> </w:t>
      </w:r>
      <w:r w:rsidRPr="00970189">
        <w:rPr>
          <w:rFonts w:ascii="David" w:hAnsi="David" w:cs="David"/>
          <w:sz w:val="24"/>
          <w:szCs w:val="24"/>
        </w:rPr>
        <w:t>Pass-Through</w:t>
      </w:r>
      <w:r w:rsidRPr="00970189">
        <w:rPr>
          <w:rFonts w:ascii="David" w:hAnsi="David" w:cs="David"/>
          <w:sz w:val="24"/>
          <w:szCs w:val="24"/>
          <w:rtl/>
        </w:rPr>
        <w:t>)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למחירים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(להלן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"התמסורת")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הוא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המידה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שבה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שינוי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(של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אחוז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אחד,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למשל)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בשער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החליפין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משפיע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על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המחירים</w:t>
      </w:r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התמסורת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משקפת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את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המתאם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שער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החליפין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למחירים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מ</w:t>
      </w:r>
      <w:r w:rsidR="00A95B88">
        <w:rPr>
          <w:rFonts w:ascii="David" w:hAnsi="David" w:cs="David" w:hint="cs"/>
          <w:sz w:val="24"/>
          <w:szCs w:val="24"/>
          <w:rtl/>
        </w:rPr>
        <w:t>י</w:t>
      </w:r>
      <w:r w:rsidRPr="00970189">
        <w:rPr>
          <w:rFonts w:ascii="David" w:hAnsi="David" w:cs="David"/>
          <w:sz w:val="24"/>
          <w:szCs w:val="24"/>
          <w:rtl/>
        </w:rPr>
        <w:t>תאם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התלוי,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השאר,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בהרכב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הזעזועים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הממוצע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במשק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במהלך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תקופת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המדגם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ואינה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משקפת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בהכרח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קשר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סיבתי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חד-משמעי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שניהם.</w:t>
      </w:r>
    </w:p>
    <w:p w14:paraId="1F09DD54" w14:textId="587C9E9B" w:rsidR="008E285F" w:rsidRDefault="008E285F" w:rsidP="008E3C0D">
      <w:pPr>
        <w:tabs>
          <w:tab w:val="left" w:pos="368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CB64980" w14:textId="0929E98A" w:rsidR="0010291A" w:rsidRDefault="00035434" w:rsidP="001B185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במאמר </w:t>
      </w:r>
      <w:r w:rsidRPr="00BE45CE">
        <w:rPr>
          <w:rFonts w:ascii="David" w:hAnsi="David" w:cs="David"/>
          <w:sz w:val="24"/>
          <w:szCs w:val="24"/>
          <w:rtl/>
        </w:rPr>
        <w:t xml:space="preserve">הכלול בלקט ניתוחי המדיניות וסוגיות מחקריות של בנק ישראל שיתפרסם בקרוב, </w:t>
      </w:r>
      <w:r>
        <w:rPr>
          <w:rFonts w:ascii="David" w:hAnsi="David" w:cs="David" w:hint="cs"/>
          <w:sz w:val="24"/>
          <w:szCs w:val="24"/>
          <w:rtl/>
        </w:rPr>
        <w:t>ערכו</w:t>
      </w:r>
      <w:r w:rsidR="00A95B88">
        <w:rPr>
          <w:rFonts w:ascii="David" w:hAnsi="David" w:cs="David" w:hint="cs"/>
          <w:sz w:val="24"/>
          <w:szCs w:val="24"/>
          <w:rtl/>
        </w:rPr>
        <w:t xml:space="preserve"> ארי קוטאי</w:t>
      </w:r>
      <w:r w:rsidR="0037467D">
        <w:rPr>
          <w:rFonts w:ascii="David" w:hAnsi="David" w:cs="David" w:hint="cs"/>
          <w:sz w:val="24"/>
          <w:szCs w:val="24"/>
          <w:rtl/>
        </w:rPr>
        <w:t xml:space="preserve"> מחטיבת המחקר</w:t>
      </w:r>
      <w:r w:rsidR="00A95B88">
        <w:rPr>
          <w:rFonts w:ascii="David" w:hAnsi="David" w:cs="David" w:hint="cs"/>
          <w:sz w:val="24"/>
          <w:szCs w:val="24"/>
          <w:rtl/>
        </w:rPr>
        <w:t>, יחד עם</w:t>
      </w:r>
      <w:r w:rsidR="0037467D">
        <w:rPr>
          <w:rFonts w:ascii="David" w:hAnsi="David" w:cs="David" w:hint="cs"/>
          <w:sz w:val="24"/>
          <w:szCs w:val="24"/>
          <w:rtl/>
        </w:rPr>
        <w:t xml:space="preserve"> אורי אנזל ועדן ענבים</w:t>
      </w:r>
      <w:r w:rsidR="00754D58">
        <w:rPr>
          <w:rFonts w:ascii="David" w:hAnsi="David" w:cs="David" w:hint="cs"/>
          <w:sz w:val="24"/>
          <w:szCs w:val="24"/>
          <w:rtl/>
        </w:rPr>
        <w:t>,</w:t>
      </w:r>
      <w:r w:rsidRPr="008E285F">
        <w:rPr>
          <w:rFonts w:ascii="David" w:hAnsi="David" w:cs="David"/>
          <w:sz w:val="24"/>
          <w:szCs w:val="24"/>
          <w:rtl/>
        </w:rPr>
        <w:t xml:space="preserve"> </w:t>
      </w:r>
      <w:r w:rsidR="008E285F" w:rsidRPr="008E285F">
        <w:rPr>
          <w:rFonts w:ascii="David" w:hAnsi="David" w:cs="David"/>
          <w:sz w:val="24"/>
          <w:szCs w:val="24"/>
          <w:rtl/>
        </w:rPr>
        <w:t>אמידה מעו</w:t>
      </w:r>
      <w:r w:rsidR="002C1345">
        <w:rPr>
          <w:rFonts w:ascii="David" w:hAnsi="David" w:cs="David"/>
          <w:sz w:val="24"/>
          <w:szCs w:val="24"/>
          <w:rtl/>
        </w:rPr>
        <w:t>דכנת של התמסורת קצרת הטווח משער</w:t>
      </w:r>
      <w:r w:rsidR="008E285F" w:rsidRPr="008E285F">
        <w:rPr>
          <w:rFonts w:ascii="David" w:hAnsi="David" w:cs="David"/>
          <w:sz w:val="24"/>
          <w:szCs w:val="24"/>
          <w:rtl/>
        </w:rPr>
        <w:t xml:space="preserve"> החליפין לאינפלציה בישראל. התמסורת נבחנה באמצעות רגרסיות לינ</w:t>
      </w:r>
      <w:r w:rsidR="00883C32">
        <w:rPr>
          <w:rFonts w:ascii="David" w:hAnsi="David" w:cs="David" w:hint="cs"/>
          <w:sz w:val="24"/>
          <w:szCs w:val="24"/>
          <w:rtl/>
        </w:rPr>
        <w:t>י</w:t>
      </w:r>
      <w:r w:rsidR="008E285F" w:rsidRPr="008E285F">
        <w:rPr>
          <w:rFonts w:ascii="David" w:hAnsi="David" w:cs="David"/>
          <w:sz w:val="24"/>
          <w:szCs w:val="24"/>
          <w:rtl/>
        </w:rPr>
        <w:t>אריות מתגלגלות בחלון זמן של ארבע שנים, וזאת על בסיס נתונים חודשיים משנת 2000</w:t>
      </w:r>
      <w:r w:rsidR="00AD495E">
        <w:rPr>
          <w:rFonts w:ascii="David" w:hAnsi="David" w:cs="David" w:hint="cs"/>
          <w:sz w:val="24"/>
          <w:szCs w:val="24"/>
          <w:rtl/>
        </w:rPr>
        <w:t xml:space="preserve"> עד למחצית השנייה של 2023</w:t>
      </w:r>
      <w:r w:rsidR="008E285F" w:rsidRPr="008E285F">
        <w:rPr>
          <w:rFonts w:ascii="David" w:hAnsi="David" w:cs="David"/>
          <w:sz w:val="24"/>
          <w:szCs w:val="24"/>
          <w:rtl/>
        </w:rPr>
        <w:t>.</w:t>
      </w:r>
    </w:p>
    <w:p w14:paraId="5A2DC761" w14:textId="5C4C4828" w:rsidR="008E285F" w:rsidRDefault="008E285F" w:rsidP="00D063A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ניתוח דינמי של </w:t>
      </w:r>
      <w:r w:rsidRPr="00754FC0">
        <w:rPr>
          <w:rFonts w:ascii="David" w:hAnsi="David" w:cs="David" w:hint="cs"/>
          <w:sz w:val="24"/>
          <w:szCs w:val="24"/>
          <w:rtl/>
        </w:rPr>
        <w:t>התמסורת מהשינוי בש</w:t>
      </w:r>
      <w:r>
        <w:rPr>
          <w:rFonts w:ascii="David" w:hAnsi="David" w:cs="David" w:hint="cs"/>
          <w:sz w:val="24"/>
          <w:szCs w:val="24"/>
          <w:rtl/>
        </w:rPr>
        <w:t>ער החליפין של</w:t>
      </w:r>
      <w:r w:rsidRPr="00754FC0">
        <w:rPr>
          <w:rFonts w:ascii="David" w:hAnsi="David" w:cs="David" w:hint="cs"/>
          <w:sz w:val="24"/>
          <w:szCs w:val="24"/>
          <w:rtl/>
        </w:rPr>
        <w:t xml:space="preserve"> הדולר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54FC0">
        <w:rPr>
          <w:rFonts w:ascii="David" w:hAnsi="David" w:cs="David" w:hint="cs"/>
          <w:sz w:val="24"/>
          <w:szCs w:val="24"/>
          <w:rtl/>
        </w:rPr>
        <w:t xml:space="preserve">למדד המחירים </w:t>
      </w:r>
      <w:r>
        <w:rPr>
          <w:rFonts w:ascii="David" w:hAnsi="David" w:cs="David" w:hint="cs"/>
          <w:sz w:val="24"/>
          <w:szCs w:val="24"/>
          <w:rtl/>
        </w:rPr>
        <w:t>הכללי</w:t>
      </w:r>
      <w:r w:rsidR="00883C32">
        <w:rPr>
          <w:rFonts w:ascii="David" w:hAnsi="David" w:cs="David" w:hint="cs"/>
          <w:sz w:val="24"/>
          <w:szCs w:val="24"/>
          <w:rtl/>
        </w:rPr>
        <w:t xml:space="preserve"> (ראו איור 1)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2652FA">
        <w:rPr>
          <w:rFonts w:ascii="David" w:hAnsi="David" w:cs="David" w:hint="cs"/>
          <w:sz w:val="24"/>
          <w:szCs w:val="24"/>
          <w:rtl/>
        </w:rPr>
        <w:t>מעלה כי מסוף המחצית הראשונה של שנת 2017 התמסורת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35434">
        <w:rPr>
          <w:rFonts w:ascii="David" w:hAnsi="David" w:cs="David" w:hint="cs"/>
          <w:sz w:val="24"/>
          <w:szCs w:val="24"/>
          <w:rtl/>
        </w:rPr>
        <w:t xml:space="preserve">היתה </w:t>
      </w:r>
      <w:r>
        <w:rPr>
          <w:rFonts w:ascii="David" w:hAnsi="David" w:cs="David" w:hint="cs"/>
          <w:sz w:val="24"/>
          <w:szCs w:val="24"/>
          <w:rtl/>
        </w:rPr>
        <w:t>חיובית ומשמעותית, ומובהקת סטטיסטית</w:t>
      </w:r>
      <w:r w:rsidR="00D063A3">
        <w:rPr>
          <w:rFonts w:ascii="David" w:hAnsi="David" w:cs="David" w:hint="cs"/>
          <w:sz w:val="24"/>
          <w:szCs w:val="24"/>
          <w:rtl/>
        </w:rPr>
        <w:t>,</w:t>
      </w:r>
      <w:r w:rsidR="006B3241">
        <w:rPr>
          <w:rFonts w:ascii="David" w:hAnsi="David" w:cs="David" w:hint="cs"/>
          <w:sz w:val="24"/>
          <w:szCs w:val="24"/>
          <w:rtl/>
        </w:rPr>
        <w:t xml:space="preserve"> לאחר ש</w:t>
      </w:r>
      <w:r w:rsidR="00D063A3">
        <w:rPr>
          <w:rFonts w:ascii="David" w:hAnsi="David" w:cs="David" w:hint="cs"/>
          <w:sz w:val="24"/>
          <w:szCs w:val="24"/>
          <w:rtl/>
        </w:rPr>
        <w:t xml:space="preserve">אומדן התמסורת </w:t>
      </w:r>
      <w:r w:rsidR="006B3241">
        <w:rPr>
          <w:rFonts w:ascii="David" w:hAnsi="David" w:cs="David" w:hint="cs"/>
          <w:sz w:val="24"/>
          <w:szCs w:val="24"/>
          <w:rtl/>
        </w:rPr>
        <w:t>עמד על רמה נמוכה</w:t>
      </w:r>
      <w:r w:rsidR="00D063A3">
        <w:rPr>
          <w:rFonts w:ascii="David" w:hAnsi="David" w:cs="David" w:hint="cs"/>
          <w:sz w:val="24"/>
          <w:szCs w:val="24"/>
          <w:rtl/>
        </w:rPr>
        <w:t xml:space="preserve"> מאז 2011</w:t>
      </w:r>
      <w:r w:rsidRPr="00754FC0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עבור מדגמים המסתיימים ב-2018 ו-2019 אומדן התמסורת היה גבוה יחסית</w:t>
      </w:r>
      <w:r w:rsidR="00883C32">
        <w:rPr>
          <w:rFonts w:ascii="David" w:hAnsi="David" w:cs="David" w:hint="cs"/>
          <w:sz w:val="24"/>
          <w:szCs w:val="24"/>
          <w:rtl/>
        </w:rPr>
        <w:t>, ועמד על</w:t>
      </w:r>
      <w:r w:rsidR="00D65D8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רמה של כ-20 אחוזים, אך במדגמים שמסתיימים החל מהמחצית השנייה של 2020 ועד ל</w:t>
      </w:r>
      <w:r w:rsidR="006B3241">
        <w:rPr>
          <w:rFonts w:ascii="David" w:hAnsi="David" w:cs="David" w:hint="cs"/>
          <w:sz w:val="24"/>
          <w:szCs w:val="24"/>
          <w:rtl/>
        </w:rPr>
        <w:t>סוף ה</w:t>
      </w:r>
      <w:r>
        <w:rPr>
          <w:rFonts w:ascii="David" w:hAnsi="David" w:cs="David" w:hint="cs"/>
          <w:sz w:val="24"/>
          <w:szCs w:val="24"/>
          <w:rtl/>
        </w:rPr>
        <w:t xml:space="preserve">מחצית </w:t>
      </w:r>
      <w:r w:rsidR="006B3241">
        <w:rPr>
          <w:rFonts w:ascii="David" w:hAnsi="David" w:cs="David" w:hint="cs"/>
          <w:sz w:val="24"/>
          <w:szCs w:val="24"/>
          <w:rtl/>
        </w:rPr>
        <w:t xml:space="preserve">הראשונה </w:t>
      </w:r>
      <w:r>
        <w:rPr>
          <w:rFonts w:ascii="David" w:hAnsi="David" w:cs="David" w:hint="cs"/>
          <w:sz w:val="24"/>
          <w:szCs w:val="24"/>
          <w:rtl/>
        </w:rPr>
        <w:t xml:space="preserve">של 2022 התמסורת נחלשה משמעותית. </w:t>
      </w:r>
      <w:r w:rsidRPr="001E0C87">
        <w:rPr>
          <w:rFonts w:ascii="David" w:hAnsi="David" w:cs="David" w:hint="cs"/>
          <w:sz w:val="24"/>
          <w:szCs w:val="24"/>
          <w:rtl/>
        </w:rPr>
        <w:t xml:space="preserve">במדגמים </w:t>
      </w:r>
      <w:r w:rsidRPr="006566EE">
        <w:rPr>
          <w:rFonts w:ascii="David" w:hAnsi="David" w:cs="David" w:hint="cs"/>
          <w:sz w:val="24"/>
          <w:szCs w:val="24"/>
          <w:rtl/>
        </w:rPr>
        <w:t>שמסתיימים בתחילת המחצית השנייה של</w:t>
      </w:r>
      <w:r w:rsidRPr="006566EE">
        <w:rPr>
          <w:rFonts w:ascii="David" w:hAnsi="David" w:cs="David"/>
          <w:sz w:val="24"/>
          <w:szCs w:val="24"/>
          <w:rtl/>
        </w:rPr>
        <w:t xml:space="preserve"> 2022 ומאוחר יותר </w:t>
      </w:r>
      <w:r w:rsidRPr="00F52155">
        <w:rPr>
          <w:rFonts w:ascii="David" w:hAnsi="David" w:cs="David" w:hint="cs"/>
          <w:sz w:val="24"/>
          <w:szCs w:val="24"/>
          <w:rtl/>
        </w:rPr>
        <w:lastRenderedPageBreak/>
        <w:t>התמסורת</w:t>
      </w:r>
      <w:r w:rsidRPr="00CC059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שבה והתחזקה, </w:t>
      </w:r>
      <w:r w:rsidRPr="006566EE">
        <w:rPr>
          <w:rFonts w:ascii="David" w:hAnsi="David" w:cs="David" w:hint="eastAsia"/>
          <w:sz w:val="24"/>
          <w:szCs w:val="24"/>
          <w:rtl/>
        </w:rPr>
        <w:t>בסוף</w:t>
      </w:r>
      <w:r w:rsidRPr="006566EE">
        <w:rPr>
          <w:rFonts w:ascii="David" w:hAnsi="David" w:cs="David"/>
          <w:sz w:val="24"/>
          <w:szCs w:val="24"/>
          <w:rtl/>
        </w:rPr>
        <w:t xml:space="preserve"> שנת 2022 </w:t>
      </w:r>
      <w:r>
        <w:rPr>
          <w:rFonts w:ascii="David" w:hAnsi="David" w:cs="David" w:hint="cs"/>
          <w:sz w:val="24"/>
          <w:szCs w:val="24"/>
          <w:rtl/>
        </w:rPr>
        <w:t>היא הגיעה ל</w:t>
      </w:r>
      <w:r w:rsidRPr="006566EE">
        <w:rPr>
          <w:rFonts w:ascii="David" w:hAnsi="David" w:cs="David" w:hint="eastAsia"/>
          <w:sz w:val="24"/>
          <w:szCs w:val="24"/>
          <w:rtl/>
        </w:rPr>
        <w:t>שיא</w:t>
      </w:r>
      <w:r w:rsidRPr="006566EE">
        <w:rPr>
          <w:rFonts w:ascii="David" w:hAnsi="David" w:cs="David"/>
          <w:sz w:val="24"/>
          <w:szCs w:val="24"/>
          <w:rtl/>
        </w:rPr>
        <w:t xml:space="preserve"> </w:t>
      </w:r>
      <w:r w:rsidRPr="006566EE">
        <w:rPr>
          <w:rFonts w:ascii="David" w:hAnsi="David" w:cs="David" w:hint="eastAsia"/>
          <w:sz w:val="24"/>
          <w:szCs w:val="24"/>
          <w:rtl/>
        </w:rPr>
        <w:t>של</w:t>
      </w:r>
      <w:r w:rsidRPr="006566EE">
        <w:rPr>
          <w:rFonts w:ascii="David" w:hAnsi="David" w:cs="David"/>
          <w:sz w:val="24"/>
          <w:szCs w:val="24"/>
          <w:rtl/>
        </w:rPr>
        <w:t xml:space="preserve"> </w:t>
      </w:r>
      <w:r w:rsidRPr="006566EE">
        <w:rPr>
          <w:rFonts w:ascii="David" w:hAnsi="David" w:cs="David" w:hint="eastAsia"/>
          <w:sz w:val="24"/>
          <w:szCs w:val="24"/>
          <w:rtl/>
        </w:rPr>
        <w:t>למעלה</w:t>
      </w:r>
      <w:r w:rsidRPr="006566EE">
        <w:rPr>
          <w:rFonts w:ascii="David" w:hAnsi="David" w:cs="David"/>
          <w:sz w:val="24"/>
          <w:szCs w:val="24"/>
          <w:rtl/>
        </w:rPr>
        <w:t xml:space="preserve"> </w:t>
      </w:r>
      <w:r w:rsidRPr="006566EE">
        <w:rPr>
          <w:rFonts w:ascii="David" w:hAnsi="David" w:cs="David" w:hint="eastAsia"/>
          <w:sz w:val="24"/>
          <w:szCs w:val="24"/>
          <w:rtl/>
        </w:rPr>
        <w:t>מעשור</w:t>
      </w:r>
      <w:r w:rsidRPr="006566EE">
        <w:rPr>
          <w:rFonts w:ascii="David" w:hAnsi="David" w:cs="David"/>
          <w:sz w:val="24"/>
          <w:szCs w:val="24"/>
          <w:rtl/>
        </w:rPr>
        <w:t xml:space="preserve"> </w:t>
      </w:r>
      <w:r w:rsidRPr="006566EE">
        <w:rPr>
          <w:rFonts w:ascii="David" w:hAnsi="David" w:cs="David" w:hint="eastAsia"/>
          <w:sz w:val="24"/>
          <w:szCs w:val="24"/>
          <w:rtl/>
        </w:rPr>
        <w:t>–</w:t>
      </w:r>
      <w:r w:rsidR="0037467D">
        <w:rPr>
          <w:rFonts w:ascii="David" w:hAnsi="David" w:cs="David" w:hint="cs"/>
          <w:sz w:val="24"/>
          <w:szCs w:val="24"/>
          <w:rtl/>
        </w:rPr>
        <w:t xml:space="preserve"> למעלה</w:t>
      </w:r>
      <w:r w:rsidRPr="006566EE">
        <w:rPr>
          <w:rFonts w:ascii="David" w:hAnsi="David" w:cs="David"/>
          <w:sz w:val="24"/>
          <w:szCs w:val="24"/>
          <w:rtl/>
        </w:rPr>
        <w:t xml:space="preserve"> </w:t>
      </w:r>
      <w:r w:rsidR="0037467D">
        <w:rPr>
          <w:rFonts w:ascii="David" w:hAnsi="David" w:cs="David" w:hint="cs"/>
          <w:sz w:val="24"/>
          <w:szCs w:val="24"/>
          <w:rtl/>
        </w:rPr>
        <w:t>מ-25</w:t>
      </w:r>
      <w:r w:rsidRPr="006566EE">
        <w:rPr>
          <w:rFonts w:ascii="David" w:hAnsi="David" w:cs="David"/>
          <w:sz w:val="24"/>
          <w:szCs w:val="24"/>
          <w:rtl/>
        </w:rPr>
        <w:t xml:space="preserve"> </w:t>
      </w:r>
      <w:r w:rsidRPr="006566EE">
        <w:rPr>
          <w:rFonts w:ascii="David" w:hAnsi="David" w:cs="David" w:hint="eastAsia"/>
          <w:sz w:val="24"/>
          <w:szCs w:val="24"/>
          <w:rtl/>
        </w:rPr>
        <w:t>אחוזים</w:t>
      </w:r>
      <w:r w:rsidRPr="006566EE">
        <w:rPr>
          <w:rFonts w:ascii="David" w:hAnsi="David" w:cs="David"/>
          <w:sz w:val="24"/>
          <w:szCs w:val="24"/>
          <w:rtl/>
        </w:rPr>
        <w:t xml:space="preserve"> – </w:t>
      </w:r>
      <w:r w:rsidRPr="006566EE">
        <w:rPr>
          <w:rFonts w:ascii="David" w:hAnsi="David" w:cs="David" w:hint="eastAsia"/>
          <w:sz w:val="24"/>
          <w:szCs w:val="24"/>
          <w:rtl/>
        </w:rPr>
        <w:t>ומאז</w:t>
      </w:r>
      <w:r w:rsidRPr="006566EE">
        <w:rPr>
          <w:rFonts w:ascii="David" w:hAnsi="David" w:cs="David"/>
          <w:sz w:val="24"/>
          <w:szCs w:val="24"/>
          <w:rtl/>
        </w:rPr>
        <w:t xml:space="preserve"> </w:t>
      </w:r>
      <w:r w:rsidRPr="006566EE">
        <w:rPr>
          <w:rFonts w:ascii="David" w:hAnsi="David" w:cs="David" w:hint="eastAsia"/>
          <w:sz w:val="24"/>
          <w:szCs w:val="24"/>
          <w:rtl/>
        </w:rPr>
        <w:t>נותרה</w:t>
      </w:r>
      <w:r w:rsidRPr="006566EE">
        <w:rPr>
          <w:rFonts w:ascii="David" w:hAnsi="David" w:cs="David"/>
          <w:sz w:val="24"/>
          <w:szCs w:val="24"/>
          <w:rtl/>
        </w:rPr>
        <w:t xml:space="preserve"> </w:t>
      </w:r>
      <w:r w:rsidRPr="006566EE">
        <w:rPr>
          <w:rFonts w:ascii="David" w:hAnsi="David" w:cs="David" w:hint="eastAsia"/>
          <w:sz w:val="24"/>
          <w:szCs w:val="24"/>
          <w:rtl/>
        </w:rPr>
        <w:t>דומה</w:t>
      </w:r>
      <w:r w:rsidR="002C1345">
        <w:rPr>
          <w:rFonts w:ascii="David" w:hAnsi="David" w:cs="David" w:hint="cs"/>
          <w:sz w:val="24"/>
          <w:szCs w:val="24"/>
          <w:rtl/>
        </w:rPr>
        <w:t>.</w:t>
      </w:r>
    </w:p>
    <w:p w14:paraId="68ADFD3D" w14:textId="17DC4A70" w:rsidR="002C1345" w:rsidRDefault="00BD3A4F" w:rsidP="00BD3A4F">
      <w:pPr>
        <w:spacing w:after="0" w:line="240" w:lineRule="auto"/>
        <w:jc w:val="center"/>
        <w:rPr>
          <w:rFonts w:ascii="David" w:hAnsi="David" w:cs="David"/>
          <w:b/>
          <w:bCs/>
          <w:i/>
          <w:sz w:val="24"/>
          <w:szCs w:val="24"/>
          <w:rtl/>
        </w:rPr>
      </w:pPr>
      <w:r w:rsidRPr="00BD3A4F">
        <w:rPr>
          <w:rFonts w:ascii="David" w:hAnsi="David" w:cs="David" w:hint="cs"/>
          <w:b/>
          <w:bCs/>
          <w:i/>
          <w:sz w:val="24"/>
          <w:szCs w:val="24"/>
          <w:rtl/>
        </w:rPr>
        <w:t>איור 1: התמסורת משער הדולר לאינפלציה</w:t>
      </w:r>
    </w:p>
    <w:p w14:paraId="7137A1FF" w14:textId="79207A7C" w:rsidR="00BD3A4F" w:rsidRDefault="003D1715" w:rsidP="00BD3A4F">
      <w:pPr>
        <w:spacing w:after="0" w:line="360" w:lineRule="auto"/>
        <w:jc w:val="center"/>
        <w:rPr>
          <w:rFonts w:ascii="David" w:hAnsi="David" w:cs="David"/>
          <w:i/>
          <w:sz w:val="24"/>
          <w:szCs w:val="24"/>
          <w:rtl/>
        </w:rPr>
      </w:pPr>
      <w:r w:rsidRPr="00BD3A4F">
        <w:rPr>
          <w:rFonts w:ascii="David" w:hAnsi="David" w:cs="David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64CB5C" wp14:editId="1119AE4E">
            <wp:simplePos x="0" y="0"/>
            <wp:positionH relativeFrom="column">
              <wp:posOffset>610870</wp:posOffset>
            </wp:positionH>
            <wp:positionV relativeFrom="paragraph">
              <wp:posOffset>187325</wp:posOffset>
            </wp:positionV>
            <wp:extent cx="4337050" cy="3166745"/>
            <wp:effectExtent l="0" t="0" r="6350" b="0"/>
            <wp:wrapTopAndBottom/>
            <wp:docPr id="37" name="תמונה 37" descr="במדגמים שמסתיימים בתחילת המחצית השנייה של 2022 ומאוחר יותר התמסורת משער החליפין שקל-דולר שבה והתחזקה, בסוף שנת 2022 היא הגיעה לשיא של למעלה מעשור – 28 אחוזים – ומאז נותרה דומה." title="איור 2: התמסורת משער הדולר לאינפלצ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" t="13005" r="1426" b="1485"/>
                    <a:stretch/>
                  </pic:blipFill>
                  <pic:spPr bwMode="auto">
                    <a:xfrm>
                      <a:off x="0" y="0"/>
                      <a:ext cx="433705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A4F">
        <w:rPr>
          <w:rFonts w:ascii="David" w:hAnsi="David" w:cs="David" w:hint="cs"/>
          <w:i/>
          <w:rtl/>
        </w:rPr>
        <w:t>תאריך הסיום של חלון מתגלגל של 48 חודשים, ינואר 2004 עד יוני 2023</w:t>
      </w:r>
    </w:p>
    <w:p w14:paraId="715AD3B1" w14:textId="77777777" w:rsidR="00BD3A4F" w:rsidRDefault="00BD3A4F" w:rsidP="00BD3A4F">
      <w:pPr>
        <w:spacing w:after="0" w:line="240" w:lineRule="auto"/>
        <w:jc w:val="both"/>
        <w:rPr>
          <w:rFonts w:ascii="David" w:hAnsi="David" w:cs="David"/>
          <w:i/>
          <w:sz w:val="24"/>
          <w:szCs w:val="24"/>
          <w:rtl/>
        </w:rPr>
      </w:pPr>
    </w:p>
    <w:p w14:paraId="0D63AB8A" w14:textId="33E1ACDD" w:rsidR="007D6A32" w:rsidRDefault="00C460B7" w:rsidP="00C86D3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70189">
        <w:rPr>
          <w:rFonts w:ascii="David" w:hAnsi="David" w:cs="David"/>
          <w:sz w:val="24"/>
          <w:szCs w:val="24"/>
          <w:rtl/>
        </w:rPr>
        <w:t>הספרות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הכלכלית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883C32">
        <w:rPr>
          <w:rFonts w:ascii="David" w:hAnsi="David" w:cs="David" w:hint="cs"/>
          <w:sz w:val="24"/>
          <w:szCs w:val="24"/>
          <w:rtl/>
        </w:rPr>
        <w:t>מ</w:t>
      </w:r>
      <w:r w:rsidR="00883C32" w:rsidRPr="00970189">
        <w:rPr>
          <w:rFonts w:ascii="David" w:hAnsi="David" w:cs="David"/>
          <w:sz w:val="24"/>
          <w:szCs w:val="24"/>
          <w:rtl/>
        </w:rPr>
        <w:t>צביעה</w:t>
      </w:r>
      <w:r w:rsidR="00883C32"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על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קשר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חיובי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שיעור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האינפלציה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לבין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שיעור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התמסורת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02469F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הנובע </w:t>
      </w:r>
      <w:r w:rsidRPr="00970189">
        <w:rPr>
          <w:rFonts w:ascii="David" w:hAnsi="David" w:cs="David"/>
          <w:sz w:val="24"/>
          <w:szCs w:val="24"/>
          <w:rtl/>
        </w:rPr>
        <w:t>מתפיסתם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של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הפרטים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במשק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שמידת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התמדתם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של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שינויים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בעלויות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נמוכה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יותר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בסביבת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אינפלציה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נמוכה,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ולכן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התמסורת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חלשה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יותר.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על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רקע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FF063D">
        <w:rPr>
          <w:rFonts w:ascii="David" w:hAnsi="David" w:cs="David" w:hint="cs"/>
          <w:sz w:val="24"/>
          <w:szCs w:val="24"/>
          <w:rtl/>
        </w:rPr>
        <w:t>העלייה ב</w:t>
      </w:r>
      <w:r w:rsidRPr="00970189">
        <w:rPr>
          <w:rFonts w:ascii="David" w:hAnsi="David" w:cs="David"/>
          <w:sz w:val="24"/>
          <w:szCs w:val="24"/>
          <w:rtl/>
        </w:rPr>
        <w:t>אינפלציה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בישראל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החוקרים בחנו האם גם בישראל רמת התמסורת </w:t>
      </w:r>
      <w:r w:rsidRPr="00970189">
        <w:rPr>
          <w:rFonts w:ascii="David" w:hAnsi="David" w:cs="David"/>
          <w:sz w:val="24"/>
          <w:szCs w:val="24"/>
          <w:rtl/>
        </w:rPr>
        <w:t>משער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החליפין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970189">
        <w:rPr>
          <w:rFonts w:ascii="David" w:hAnsi="David" w:cs="David"/>
          <w:sz w:val="24"/>
          <w:szCs w:val="24"/>
          <w:rtl/>
        </w:rPr>
        <w:t>למחירים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חזקה יותר כאשר האינפלציה עולה</w:t>
      </w:r>
      <w:r w:rsidRPr="00970189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83C32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אכן, </w:t>
      </w:r>
      <w:r w:rsidR="008E285F">
        <w:rPr>
          <w:rFonts w:ascii="David" w:hAnsi="David" w:cs="David" w:hint="cs"/>
          <w:i/>
          <w:sz w:val="24"/>
          <w:szCs w:val="24"/>
          <w:rtl/>
        </w:rPr>
        <w:t>בהתאם לממצאים בספרות הכלכלית</w:t>
      </w:r>
      <w:r>
        <w:rPr>
          <w:rFonts w:ascii="David" w:hAnsi="David" w:cs="David" w:hint="cs"/>
          <w:i/>
          <w:sz w:val="24"/>
          <w:szCs w:val="24"/>
          <w:rtl/>
        </w:rPr>
        <w:t>,</w:t>
      </w:r>
      <w:r w:rsidR="008E285F">
        <w:rPr>
          <w:rFonts w:ascii="David" w:hAnsi="David" w:cs="David" w:hint="cs"/>
          <w:i/>
          <w:sz w:val="24"/>
          <w:szCs w:val="24"/>
          <w:rtl/>
        </w:rPr>
        <w:t xml:space="preserve"> </w:t>
      </w:r>
      <w:r>
        <w:rPr>
          <w:rFonts w:ascii="David" w:hAnsi="David" w:cs="David" w:hint="cs"/>
          <w:i/>
          <w:sz w:val="24"/>
          <w:szCs w:val="24"/>
          <w:rtl/>
        </w:rPr>
        <w:t xml:space="preserve">נמצא </w:t>
      </w:r>
      <w:r w:rsidR="008E285F">
        <w:rPr>
          <w:rFonts w:ascii="David" w:hAnsi="David" w:cs="David" w:hint="cs"/>
          <w:i/>
          <w:sz w:val="24"/>
          <w:szCs w:val="24"/>
          <w:rtl/>
        </w:rPr>
        <w:t xml:space="preserve">כי התמסורת בישראל התחזקה במקביל לעלייה </w:t>
      </w:r>
      <w:r w:rsidR="001435CF">
        <w:rPr>
          <w:rFonts w:ascii="David" w:hAnsi="David" w:cs="David" w:hint="cs"/>
          <w:i/>
          <w:sz w:val="24"/>
          <w:szCs w:val="24"/>
          <w:rtl/>
        </w:rPr>
        <w:t>ה</w:t>
      </w:r>
      <w:r w:rsidR="00C86D38">
        <w:rPr>
          <w:rFonts w:ascii="David" w:hAnsi="David" w:cs="David" w:hint="cs"/>
          <w:i/>
          <w:sz w:val="24"/>
          <w:szCs w:val="24"/>
          <w:rtl/>
        </w:rPr>
        <w:t xml:space="preserve">משמעותית </w:t>
      </w:r>
      <w:r w:rsidR="00FF063D">
        <w:rPr>
          <w:rFonts w:ascii="David" w:hAnsi="David" w:cs="David" w:hint="cs"/>
          <w:i/>
          <w:sz w:val="24"/>
          <w:szCs w:val="24"/>
          <w:rtl/>
        </w:rPr>
        <w:t>ב</w:t>
      </w:r>
      <w:r w:rsidR="008E285F" w:rsidRPr="0082039C">
        <w:rPr>
          <w:rFonts w:ascii="David" w:hAnsi="David" w:cs="David" w:hint="cs"/>
          <w:i/>
          <w:sz w:val="24"/>
          <w:szCs w:val="24"/>
          <w:rtl/>
        </w:rPr>
        <w:t>אינפלציה</w:t>
      </w:r>
      <w:r w:rsidR="00883C32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C86D38">
        <w:rPr>
          <w:rFonts w:ascii="David" w:hAnsi="David" w:cs="David" w:hint="cs"/>
          <w:i/>
          <w:sz w:val="24"/>
          <w:szCs w:val="24"/>
          <w:rtl/>
        </w:rPr>
        <w:t>מאז שנת 2022</w:t>
      </w:r>
      <w:r w:rsidR="008E285F">
        <w:rPr>
          <w:rFonts w:ascii="David" w:hAnsi="David" w:cs="David" w:hint="cs"/>
          <w:i/>
          <w:sz w:val="24"/>
          <w:szCs w:val="24"/>
          <w:rtl/>
        </w:rPr>
        <w:t>.</w:t>
      </w:r>
      <w:r w:rsidR="008E285F" w:rsidRPr="00E05C25">
        <w:rPr>
          <w:rFonts w:ascii="David" w:hAnsi="David" w:cs="David"/>
          <w:i/>
          <w:sz w:val="24"/>
          <w:szCs w:val="24"/>
          <w:rtl/>
        </w:rPr>
        <w:t xml:space="preserve"> </w:t>
      </w:r>
      <w:r w:rsidR="008E285F">
        <w:rPr>
          <w:rFonts w:ascii="David" w:hAnsi="David" w:cs="David" w:hint="cs"/>
          <w:i/>
          <w:sz w:val="24"/>
          <w:szCs w:val="24"/>
          <w:rtl/>
        </w:rPr>
        <w:t>ה</w:t>
      </w:r>
      <w:r w:rsidR="00AD495E">
        <w:rPr>
          <w:rFonts w:ascii="David" w:hAnsi="David" w:cs="David" w:hint="cs"/>
          <w:i/>
          <w:sz w:val="24"/>
          <w:szCs w:val="24"/>
          <w:rtl/>
        </w:rPr>
        <w:t xml:space="preserve">חוקרים </w:t>
      </w:r>
      <w:r w:rsidR="008E285F">
        <w:rPr>
          <w:rFonts w:ascii="David" w:hAnsi="David" w:cs="David" w:hint="cs"/>
          <w:i/>
          <w:sz w:val="24"/>
          <w:szCs w:val="24"/>
          <w:rtl/>
        </w:rPr>
        <w:t>בדקו</w:t>
      </w:r>
      <w:r w:rsidR="00FF063D">
        <w:rPr>
          <w:rFonts w:ascii="David" w:hAnsi="David" w:cs="David" w:hint="cs"/>
          <w:i/>
          <w:sz w:val="24"/>
          <w:szCs w:val="24"/>
          <w:rtl/>
        </w:rPr>
        <w:t xml:space="preserve"> גם</w:t>
      </w:r>
      <w:r w:rsidR="008E285F">
        <w:rPr>
          <w:rFonts w:ascii="David" w:hAnsi="David" w:cs="David" w:hint="cs"/>
          <w:i/>
          <w:sz w:val="24"/>
          <w:szCs w:val="24"/>
          <w:rtl/>
        </w:rPr>
        <w:t xml:space="preserve"> ישירות, אם שיעור התמסורת תלוי בשיעור האינפלציה השנתית</w:t>
      </w:r>
      <w:r w:rsidR="00883C32">
        <w:rPr>
          <w:rFonts w:ascii="David" w:hAnsi="David" w:cs="David" w:hint="cs"/>
          <w:i/>
          <w:sz w:val="24"/>
          <w:szCs w:val="24"/>
          <w:rtl/>
        </w:rPr>
        <w:t xml:space="preserve"> (ראו איור 2)</w:t>
      </w:r>
      <w:r w:rsidR="008E285F">
        <w:rPr>
          <w:rFonts w:ascii="David" w:hAnsi="David" w:cs="David" w:hint="cs"/>
          <w:i/>
          <w:sz w:val="24"/>
          <w:szCs w:val="24"/>
          <w:rtl/>
        </w:rPr>
        <w:t xml:space="preserve">. </w:t>
      </w:r>
      <w:r w:rsidR="00AD495E">
        <w:rPr>
          <w:rFonts w:ascii="David" w:hAnsi="David" w:cs="David" w:hint="cs"/>
          <w:i/>
          <w:sz w:val="24"/>
          <w:szCs w:val="24"/>
          <w:rtl/>
        </w:rPr>
        <w:t xml:space="preserve">הם </w:t>
      </w:r>
      <w:r w:rsidR="008E285F">
        <w:rPr>
          <w:rFonts w:ascii="David" w:hAnsi="David" w:cs="David" w:hint="cs"/>
          <w:i/>
          <w:sz w:val="24"/>
          <w:szCs w:val="24"/>
          <w:rtl/>
        </w:rPr>
        <w:t>מ</w:t>
      </w:r>
      <w:r w:rsidR="00AD495E">
        <w:rPr>
          <w:rFonts w:ascii="David" w:hAnsi="David" w:cs="David" w:hint="cs"/>
          <w:i/>
          <w:sz w:val="24"/>
          <w:szCs w:val="24"/>
          <w:rtl/>
        </w:rPr>
        <w:t>ו</w:t>
      </w:r>
      <w:r w:rsidR="008E285F">
        <w:rPr>
          <w:rFonts w:ascii="David" w:hAnsi="David" w:cs="David" w:hint="cs"/>
          <w:i/>
          <w:sz w:val="24"/>
          <w:szCs w:val="24"/>
          <w:rtl/>
        </w:rPr>
        <w:t>צ</w:t>
      </w:r>
      <w:r w:rsidR="00AD495E">
        <w:rPr>
          <w:rFonts w:ascii="David" w:hAnsi="David" w:cs="David" w:hint="cs"/>
          <w:i/>
          <w:sz w:val="24"/>
          <w:szCs w:val="24"/>
          <w:rtl/>
        </w:rPr>
        <w:t>אי</w:t>
      </w:r>
      <w:r w:rsidR="008E285F">
        <w:rPr>
          <w:rFonts w:ascii="David" w:hAnsi="David" w:cs="David" w:hint="cs"/>
          <w:i/>
          <w:sz w:val="24"/>
          <w:szCs w:val="24"/>
          <w:rtl/>
        </w:rPr>
        <w:t xml:space="preserve">ם עדות להשפעה </w:t>
      </w:r>
      <w:r w:rsidR="00A95B88">
        <w:rPr>
          <w:rFonts w:ascii="David" w:hAnsi="David" w:cs="David" w:hint="cs"/>
          <w:i/>
          <w:sz w:val="24"/>
          <w:szCs w:val="24"/>
          <w:rtl/>
        </w:rPr>
        <w:t xml:space="preserve">שמשתנה עם </w:t>
      </w:r>
      <w:r w:rsidR="008E285F">
        <w:rPr>
          <w:rFonts w:ascii="David" w:hAnsi="David" w:cs="David" w:hint="cs"/>
          <w:i/>
          <w:sz w:val="24"/>
          <w:szCs w:val="24"/>
          <w:rtl/>
        </w:rPr>
        <w:t>חריגה מהגבול העליון של היעד</w:t>
      </w:r>
      <w:r w:rsidR="00883C32">
        <w:rPr>
          <w:rFonts w:ascii="David" w:hAnsi="David" w:cs="David" w:hint="cs"/>
          <w:i/>
          <w:sz w:val="24"/>
          <w:szCs w:val="24"/>
          <w:rtl/>
        </w:rPr>
        <w:t xml:space="preserve"> בישראל</w:t>
      </w:r>
      <w:r w:rsidR="008E285F">
        <w:rPr>
          <w:rFonts w:ascii="David" w:hAnsi="David" w:cs="David" w:hint="cs"/>
          <w:i/>
          <w:sz w:val="24"/>
          <w:szCs w:val="24"/>
          <w:rtl/>
        </w:rPr>
        <w:t xml:space="preserve">: כשהאינפלציה נמוכה מ-3 אחוזים, התמסורת נמוכה יותר (כ-8 אחוזים), והיא מתחזקת </w:t>
      </w:r>
      <w:r w:rsidR="008E285F" w:rsidRPr="000476FB">
        <w:rPr>
          <w:rFonts w:ascii="David" w:hAnsi="David" w:cs="David" w:hint="cs"/>
          <w:i/>
          <w:sz w:val="24"/>
          <w:szCs w:val="24"/>
          <w:rtl/>
        </w:rPr>
        <w:t>משמעותית (</w:t>
      </w:r>
      <w:r w:rsidR="008E285F">
        <w:rPr>
          <w:rFonts w:ascii="David" w:hAnsi="David" w:cs="David" w:hint="cs"/>
          <w:i/>
          <w:sz w:val="24"/>
          <w:szCs w:val="24"/>
          <w:rtl/>
        </w:rPr>
        <w:t>20 אחוזים)</w:t>
      </w:r>
      <w:r w:rsidR="008E285F" w:rsidRPr="000476FB">
        <w:rPr>
          <w:rFonts w:ascii="David" w:hAnsi="David" w:cs="David" w:hint="cs"/>
          <w:i/>
          <w:sz w:val="24"/>
          <w:szCs w:val="24"/>
          <w:rtl/>
        </w:rPr>
        <w:t xml:space="preserve"> כשה</w:t>
      </w:r>
      <w:r w:rsidR="008E285F">
        <w:rPr>
          <w:rFonts w:ascii="David" w:hAnsi="David" w:cs="David" w:hint="cs"/>
          <w:i/>
          <w:sz w:val="24"/>
          <w:szCs w:val="24"/>
          <w:rtl/>
        </w:rPr>
        <w:t xml:space="preserve">אינפלציה מעל 3 אחוזים. </w:t>
      </w:r>
    </w:p>
    <w:p w14:paraId="5270540D" w14:textId="48F3666B" w:rsidR="00FA0FCE" w:rsidRDefault="00D55775" w:rsidP="00FA0FCE">
      <w:pPr>
        <w:spacing w:after="0" w:line="240" w:lineRule="auto"/>
        <w:jc w:val="center"/>
        <w:rPr>
          <w:rFonts w:ascii="David" w:hAnsi="David" w:cs="David"/>
          <w:b/>
          <w:bCs/>
          <w:i/>
          <w:sz w:val="24"/>
          <w:szCs w:val="24"/>
          <w:rtl/>
        </w:rPr>
      </w:pPr>
      <w:r w:rsidRPr="00BD3A4F">
        <w:rPr>
          <w:rFonts w:ascii="David" w:hAnsi="David" w:cs="David" w:hint="cs"/>
          <w:b/>
          <w:bCs/>
          <w:i/>
          <w:sz w:val="24"/>
          <w:szCs w:val="24"/>
          <w:rtl/>
        </w:rPr>
        <w:t>איור</w:t>
      </w:r>
      <w:r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 2</w:t>
      </w:r>
      <w:r w:rsidRPr="00BD3A4F"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: התמסורת </w:t>
      </w:r>
      <w:r w:rsidR="00FA0FCE">
        <w:rPr>
          <w:rFonts w:ascii="David" w:hAnsi="David" w:cs="David" w:hint="cs"/>
          <w:b/>
          <w:bCs/>
          <w:i/>
          <w:sz w:val="24"/>
          <w:szCs w:val="24"/>
          <w:rtl/>
        </w:rPr>
        <w:t>כתלות ב</w:t>
      </w:r>
      <w:r>
        <w:rPr>
          <w:rFonts w:ascii="David" w:hAnsi="David" w:cs="David" w:hint="cs"/>
          <w:b/>
          <w:bCs/>
          <w:i/>
          <w:sz w:val="24"/>
          <w:szCs w:val="24"/>
          <w:rtl/>
        </w:rPr>
        <w:t>שיעור האינפלציה השנתית</w:t>
      </w:r>
      <w:r w:rsidR="00FA0FCE">
        <w:rPr>
          <w:rFonts w:ascii="David" w:hAnsi="David" w:cs="David" w:hint="cs"/>
          <w:b/>
          <w:bCs/>
          <w:i/>
          <w:sz w:val="24"/>
          <w:szCs w:val="24"/>
          <w:rtl/>
        </w:rPr>
        <w:t xml:space="preserve"> </w:t>
      </w:r>
    </w:p>
    <w:p w14:paraId="0CFD64F1" w14:textId="7284320C" w:rsidR="00D55775" w:rsidRPr="00FA0FCE" w:rsidRDefault="00FA0FCE" w:rsidP="00CC16F1">
      <w:pPr>
        <w:spacing w:after="0" w:line="240" w:lineRule="auto"/>
        <w:jc w:val="center"/>
        <w:rPr>
          <w:rFonts w:ascii="David" w:hAnsi="David" w:cs="David"/>
          <w:i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BCEEEE" wp14:editId="7D97D678">
            <wp:simplePos x="0" y="0"/>
            <wp:positionH relativeFrom="column">
              <wp:posOffset>886015</wp:posOffset>
            </wp:positionH>
            <wp:positionV relativeFrom="paragraph">
              <wp:posOffset>270906</wp:posOffset>
            </wp:positionV>
            <wp:extent cx="3423285" cy="2051685"/>
            <wp:effectExtent l="0" t="0" r="5715" b="5715"/>
            <wp:wrapTopAndBottom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FCE">
        <w:rPr>
          <w:rFonts w:ascii="David" w:hAnsi="David" w:cs="David" w:hint="cs"/>
          <w:i/>
          <w:sz w:val="24"/>
          <w:szCs w:val="24"/>
          <w:rtl/>
        </w:rPr>
        <w:t xml:space="preserve">מבוסס על תקופת המדגם </w:t>
      </w:r>
      <w:r w:rsidR="00CC16F1">
        <w:rPr>
          <w:rFonts w:ascii="David" w:hAnsi="David" w:cs="David" w:hint="cs"/>
          <w:i/>
          <w:sz w:val="24"/>
          <w:szCs w:val="24"/>
          <w:rtl/>
        </w:rPr>
        <w:t xml:space="preserve">ינואר </w:t>
      </w:r>
      <w:r w:rsidR="00CC16F1" w:rsidRPr="00FA0FCE">
        <w:rPr>
          <w:rFonts w:ascii="David" w:hAnsi="David" w:cs="David" w:hint="cs"/>
          <w:i/>
          <w:sz w:val="24"/>
          <w:szCs w:val="24"/>
          <w:rtl/>
        </w:rPr>
        <w:t>20</w:t>
      </w:r>
      <w:r w:rsidR="00CC16F1">
        <w:rPr>
          <w:rFonts w:ascii="David" w:hAnsi="David" w:cs="David" w:hint="cs"/>
          <w:i/>
          <w:sz w:val="24"/>
          <w:szCs w:val="24"/>
          <w:rtl/>
        </w:rPr>
        <w:t>10</w:t>
      </w:r>
      <w:r w:rsidR="00CC16F1" w:rsidRPr="00FA0FCE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CC16F1">
        <w:rPr>
          <w:rFonts w:ascii="David" w:hAnsi="David" w:cs="David" w:hint="cs"/>
          <w:i/>
          <w:sz w:val="24"/>
          <w:szCs w:val="24"/>
          <w:rtl/>
        </w:rPr>
        <w:t>ו</w:t>
      </w:r>
      <w:r w:rsidRPr="00FA0FCE">
        <w:rPr>
          <w:rFonts w:ascii="David" w:hAnsi="David" w:cs="David" w:hint="cs"/>
          <w:i/>
          <w:sz w:val="24"/>
          <w:szCs w:val="24"/>
          <w:rtl/>
        </w:rPr>
        <w:t>עד</w:t>
      </w:r>
      <w:r w:rsidR="00CC16F1">
        <w:rPr>
          <w:rFonts w:ascii="David" w:hAnsi="David" w:cs="David" w:hint="cs"/>
          <w:i/>
          <w:sz w:val="24"/>
          <w:szCs w:val="24"/>
          <w:rtl/>
        </w:rPr>
        <w:t xml:space="preserve"> יוני</w:t>
      </w:r>
      <w:r w:rsidRPr="00FA0FCE">
        <w:rPr>
          <w:rFonts w:ascii="David" w:hAnsi="David" w:cs="David" w:hint="cs"/>
          <w:i/>
          <w:sz w:val="24"/>
          <w:szCs w:val="24"/>
          <w:rtl/>
        </w:rPr>
        <w:t xml:space="preserve"> </w:t>
      </w:r>
      <w:r w:rsidR="00CC16F1" w:rsidRPr="00FA0FCE">
        <w:rPr>
          <w:rFonts w:ascii="David" w:hAnsi="David" w:cs="David" w:hint="cs"/>
          <w:i/>
          <w:sz w:val="24"/>
          <w:szCs w:val="24"/>
          <w:rtl/>
        </w:rPr>
        <w:t>202</w:t>
      </w:r>
      <w:r w:rsidR="00CC16F1">
        <w:rPr>
          <w:rFonts w:ascii="David" w:hAnsi="David" w:cs="David" w:hint="cs"/>
          <w:i/>
          <w:sz w:val="24"/>
          <w:szCs w:val="24"/>
          <w:rtl/>
        </w:rPr>
        <w:t>3</w:t>
      </w:r>
    </w:p>
    <w:p w14:paraId="509AA2F6" w14:textId="77777777" w:rsidR="00FA0FCE" w:rsidRDefault="00FA0FCE" w:rsidP="00FA0FCE">
      <w:pPr>
        <w:spacing w:after="0" w:line="240" w:lineRule="auto"/>
        <w:jc w:val="center"/>
        <w:rPr>
          <w:rFonts w:ascii="David" w:hAnsi="David" w:cs="David"/>
          <w:b/>
          <w:bCs/>
          <w:i/>
          <w:sz w:val="24"/>
          <w:szCs w:val="24"/>
          <w:rtl/>
        </w:rPr>
      </w:pPr>
    </w:p>
    <w:p w14:paraId="0D9ABA87" w14:textId="197FF174" w:rsidR="00D55775" w:rsidRDefault="00D55775" w:rsidP="00D5577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655B1A7" w14:textId="3AE14341" w:rsidR="00F476EC" w:rsidRDefault="004B0306" w:rsidP="00273E2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B0306">
        <w:rPr>
          <w:rFonts w:ascii="David" w:hAnsi="David" w:cs="David"/>
          <w:sz w:val="24"/>
          <w:szCs w:val="24"/>
          <w:rtl/>
        </w:rPr>
        <w:t xml:space="preserve">התמסורת למחירי </w:t>
      </w:r>
      <w:r w:rsidR="006843E5">
        <w:rPr>
          <w:rFonts w:ascii="David" w:hAnsi="David" w:cs="David" w:hint="cs"/>
          <w:sz w:val="24"/>
          <w:szCs w:val="24"/>
          <w:rtl/>
        </w:rPr>
        <w:t xml:space="preserve">המוצרים והשירותים </w:t>
      </w:r>
      <w:r w:rsidRPr="004B0306">
        <w:rPr>
          <w:rFonts w:ascii="David" w:hAnsi="David" w:cs="David"/>
          <w:sz w:val="24"/>
          <w:szCs w:val="24"/>
          <w:rtl/>
        </w:rPr>
        <w:t>הסחירים צפויה להיות חזק</w:t>
      </w:r>
      <w:r>
        <w:rPr>
          <w:rFonts w:ascii="David" w:hAnsi="David" w:cs="David"/>
          <w:sz w:val="24"/>
          <w:szCs w:val="24"/>
          <w:rtl/>
        </w:rPr>
        <w:t>ה יותר מאשר למחירי</w:t>
      </w:r>
      <w:r w:rsidR="00FF063D"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/>
          <w:sz w:val="24"/>
          <w:szCs w:val="24"/>
          <w:rtl/>
        </w:rPr>
        <w:t xml:space="preserve"> הבלתי סחירים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4B0306">
        <w:rPr>
          <w:rFonts w:ascii="David" w:hAnsi="David" w:cs="David"/>
          <w:sz w:val="24"/>
          <w:szCs w:val="24"/>
          <w:rtl/>
        </w:rPr>
        <w:t xml:space="preserve"> </w:t>
      </w:r>
      <w:r w:rsidR="00FF063D">
        <w:rPr>
          <w:rFonts w:ascii="David" w:hAnsi="David" w:cs="David" w:hint="cs"/>
          <w:sz w:val="24"/>
          <w:szCs w:val="24"/>
          <w:rtl/>
        </w:rPr>
        <w:t xml:space="preserve">ממצאי </w:t>
      </w:r>
      <w:r w:rsidR="00B75C38">
        <w:rPr>
          <w:rFonts w:ascii="David" w:hAnsi="David" w:cs="David" w:hint="cs"/>
          <w:sz w:val="24"/>
          <w:szCs w:val="24"/>
          <w:rtl/>
        </w:rPr>
        <w:t>המחקר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F063D">
        <w:rPr>
          <w:rFonts w:ascii="David" w:hAnsi="David" w:cs="David" w:hint="cs"/>
          <w:sz w:val="24"/>
          <w:szCs w:val="24"/>
          <w:rtl/>
        </w:rPr>
        <w:t>תומכים בהשערה זו.</w:t>
      </w:r>
      <w:r w:rsidR="00AD495E">
        <w:rPr>
          <w:rFonts w:ascii="David" w:hAnsi="David" w:cs="David" w:hint="cs"/>
          <w:sz w:val="24"/>
          <w:szCs w:val="24"/>
          <w:rtl/>
        </w:rPr>
        <w:t xml:space="preserve"> </w:t>
      </w:r>
      <w:r w:rsidR="0010291A" w:rsidRPr="0010291A">
        <w:rPr>
          <w:rFonts w:ascii="David" w:hAnsi="David" w:cs="David"/>
          <w:sz w:val="24"/>
          <w:szCs w:val="24"/>
          <w:rtl/>
        </w:rPr>
        <w:t xml:space="preserve">התמסורת משער הדולר </w:t>
      </w:r>
      <w:r w:rsidR="00586B81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/>
          <w:sz w:val="24"/>
          <w:szCs w:val="24"/>
          <w:rtl/>
        </w:rPr>
        <w:t>מחירי</w:t>
      </w:r>
      <w:r w:rsidR="00D65D80">
        <w:rPr>
          <w:rFonts w:ascii="David" w:hAnsi="David" w:cs="David" w:hint="cs"/>
          <w:sz w:val="24"/>
          <w:szCs w:val="24"/>
          <w:rtl/>
        </w:rPr>
        <w:t xml:space="preserve"> המוצרים והשירותים</w:t>
      </w:r>
      <w:r>
        <w:rPr>
          <w:rFonts w:ascii="David" w:hAnsi="David" w:cs="David"/>
          <w:sz w:val="24"/>
          <w:szCs w:val="24"/>
          <w:rtl/>
        </w:rPr>
        <w:t xml:space="preserve"> הסחירים </w:t>
      </w:r>
      <w:r>
        <w:rPr>
          <w:rFonts w:ascii="David" w:hAnsi="David" w:cs="David" w:hint="cs"/>
          <w:sz w:val="24"/>
          <w:szCs w:val="24"/>
          <w:rtl/>
        </w:rPr>
        <w:t>עמד</w:t>
      </w:r>
      <w:r w:rsidR="00586B81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בסוף שנת 2022</w:t>
      </w:r>
      <w:r w:rsidRPr="004B0306">
        <w:rPr>
          <w:rFonts w:ascii="David" w:hAnsi="David" w:cs="David"/>
          <w:sz w:val="24"/>
          <w:szCs w:val="24"/>
          <w:rtl/>
        </w:rPr>
        <w:t xml:space="preserve"> על 37 אחוזים, ומאז היא נותרה בשיעור גבוה.</w:t>
      </w:r>
      <w:r>
        <w:rPr>
          <w:rFonts w:ascii="David" w:hAnsi="David" w:cs="David" w:hint="cs"/>
          <w:sz w:val="24"/>
          <w:szCs w:val="24"/>
          <w:rtl/>
        </w:rPr>
        <w:t xml:space="preserve"> ה</w:t>
      </w:r>
      <w:r w:rsidRPr="004B0306">
        <w:rPr>
          <w:rFonts w:ascii="David" w:hAnsi="David" w:cs="David"/>
          <w:sz w:val="24"/>
          <w:szCs w:val="24"/>
          <w:rtl/>
        </w:rPr>
        <w:t>תמסורת למ</w:t>
      </w:r>
      <w:r w:rsidR="00586B81">
        <w:rPr>
          <w:rFonts w:ascii="David" w:hAnsi="David" w:cs="David" w:hint="cs"/>
          <w:sz w:val="24"/>
          <w:szCs w:val="24"/>
          <w:rtl/>
        </w:rPr>
        <w:t>חירים</w:t>
      </w:r>
      <w:r w:rsidRPr="004B0306">
        <w:rPr>
          <w:rFonts w:ascii="David" w:hAnsi="David" w:cs="David"/>
          <w:sz w:val="24"/>
          <w:szCs w:val="24"/>
          <w:rtl/>
        </w:rPr>
        <w:t xml:space="preserve"> הבלתי סחירים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B0306">
        <w:rPr>
          <w:rFonts w:ascii="David" w:hAnsi="David" w:cs="David"/>
          <w:sz w:val="24"/>
          <w:szCs w:val="24"/>
          <w:rtl/>
        </w:rPr>
        <w:t>עמדה בסוף שנת 2022 על 23 אחוזים, ומאז היא מתאפיינת ביציבות</w:t>
      </w:r>
      <w:r w:rsidR="00F476EC">
        <w:rPr>
          <w:rFonts w:ascii="David" w:hAnsi="David" w:cs="David" w:hint="cs"/>
          <w:sz w:val="24"/>
          <w:szCs w:val="24"/>
          <w:rtl/>
        </w:rPr>
        <w:t>. בעבודתם אמדו החוקרים גם את</w:t>
      </w:r>
      <w:r w:rsidR="00F476EC">
        <w:rPr>
          <w:rFonts w:ascii="David" w:hAnsi="David" w:cs="David"/>
          <w:sz w:val="24"/>
          <w:szCs w:val="24"/>
          <w:rtl/>
        </w:rPr>
        <w:t xml:space="preserve"> התמסורת משער </w:t>
      </w:r>
      <w:r w:rsidR="00586B81">
        <w:rPr>
          <w:rFonts w:ascii="David" w:hAnsi="David" w:cs="David" w:hint="cs"/>
          <w:sz w:val="24"/>
          <w:szCs w:val="24"/>
          <w:rtl/>
        </w:rPr>
        <w:t>ה</w:t>
      </w:r>
      <w:r w:rsidR="00F476EC">
        <w:rPr>
          <w:rFonts w:ascii="David" w:hAnsi="David" w:cs="David"/>
          <w:sz w:val="24"/>
          <w:szCs w:val="24"/>
          <w:rtl/>
        </w:rPr>
        <w:t>אירו</w:t>
      </w:r>
      <w:r w:rsidR="00AD495E">
        <w:rPr>
          <w:rFonts w:ascii="David" w:hAnsi="David" w:cs="David"/>
          <w:sz w:val="24"/>
          <w:szCs w:val="24"/>
          <w:rtl/>
        </w:rPr>
        <w:t xml:space="preserve">. על פי </w:t>
      </w:r>
      <w:r w:rsidRPr="004B0306">
        <w:rPr>
          <w:rFonts w:ascii="David" w:hAnsi="David" w:cs="David"/>
          <w:sz w:val="24"/>
          <w:szCs w:val="24"/>
          <w:rtl/>
        </w:rPr>
        <w:t>ממצאי</w:t>
      </w:r>
      <w:r w:rsidR="00AD495E">
        <w:rPr>
          <w:rFonts w:ascii="David" w:hAnsi="David" w:cs="David" w:hint="cs"/>
          <w:sz w:val="24"/>
          <w:szCs w:val="24"/>
          <w:rtl/>
        </w:rPr>
        <w:t>ה</w:t>
      </w:r>
      <w:r w:rsidRPr="004B0306">
        <w:rPr>
          <w:rFonts w:ascii="David" w:hAnsi="David" w:cs="David"/>
          <w:sz w:val="24"/>
          <w:szCs w:val="24"/>
          <w:rtl/>
        </w:rPr>
        <w:t>ם התמסורת משער האירו אפסית או נמוכה</w:t>
      </w:r>
      <w:r w:rsidR="00FF063D">
        <w:rPr>
          <w:rFonts w:ascii="David" w:hAnsi="David" w:cs="David"/>
          <w:sz w:val="24"/>
          <w:szCs w:val="24"/>
          <w:rtl/>
        </w:rPr>
        <w:t xml:space="preserve"> מאוד לאורך מרבית התקופה הנבחנת</w:t>
      </w:r>
      <w:r w:rsidR="00F476EC">
        <w:rPr>
          <w:rFonts w:ascii="David" w:hAnsi="David" w:cs="David" w:hint="cs"/>
          <w:sz w:val="24"/>
          <w:szCs w:val="24"/>
          <w:rtl/>
        </w:rPr>
        <w:t xml:space="preserve">. </w:t>
      </w:r>
      <w:r w:rsidR="00F476EC" w:rsidRPr="00F476EC">
        <w:rPr>
          <w:rFonts w:ascii="David" w:hAnsi="David" w:cs="David"/>
          <w:sz w:val="24"/>
          <w:szCs w:val="24"/>
          <w:rtl/>
        </w:rPr>
        <w:t>כפועל יוצא</w:t>
      </w:r>
      <w:r w:rsidR="00FF063D">
        <w:rPr>
          <w:rFonts w:ascii="David" w:hAnsi="David" w:cs="David" w:hint="cs"/>
          <w:sz w:val="24"/>
          <w:szCs w:val="24"/>
          <w:rtl/>
        </w:rPr>
        <w:t>,</w:t>
      </w:r>
      <w:r w:rsidR="00F476EC" w:rsidRPr="00F476EC">
        <w:rPr>
          <w:rFonts w:ascii="David" w:hAnsi="David" w:cs="David"/>
          <w:sz w:val="24"/>
          <w:szCs w:val="24"/>
          <w:rtl/>
        </w:rPr>
        <w:t xml:space="preserve"> ניתן להסיק כי בניתוח האינפלציה בטווח הקצר </w:t>
      </w:r>
      <w:r w:rsidR="00AD495E">
        <w:rPr>
          <w:rFonts w:ascii="David" w:hAnsi="David" w:cs="David" w:hint="cs"/>
          <w:sz w:val="24"/>
          <w:szCs w:val="24"/>
          <w:rtl/>
        </w:rPr>
        <w:t>בישראל</w:t>
      </w:r>
      <w:r w:rsidR="00F476EC" w:rsidRPr="00F476EC">
        <w:rPr>
          <w:rFonts w:ascii="David" w:hAnsi="David" w:cs="David"/>
          <w:sz w:val="24"/>
          <w:szCs w:val="24"/>
          <w:rtl/>
        </w:rPr>
        <w:t xml:space="preserve">, המעקב אחר שער הדולר חשוב יותר מן המעקב אחר שער </w:t>
      </w:r>
      <w:r w:rsidR="00F476EC">
        <w:rPr>
          <w:rFonts w:ascii="David" w:hAnsi="David" w:cs="David" w:hint="cs"/>
          <w:sz w:val="24"/>
          <w:szCs w:val="24"/>
          <w:rtl/>
        </w:rPr>
        <w:t>ה</w:t>
      </w:r>
      <w:r w:rsidR="00F476EC" w:rsidRPr="00F476EC">
        <w:rPr>
          <w:rFonts w:ascii="David" w:hAnsi="David" w:cs="David"/>
          <w:sz w:val="24"/>
          <w:szCs w:val="24"/>
          <w:rtl/>
        </w:rPr>
        <w:t>אירו</w:t>
      </w:r>
      <w:r w:rsidR="00FF063D">
        <w:rPr>
          <w:rFonts w:ascii="David" w:hAnsi="David" w:cs="David" w:hint="cs"/>
          <w:sz w:val="24"/>
          <w:szCs w:val="24"/>
          <w:rtl/>
        </w:rPr>
        <w:t>.</w:t>
      </w:r>
    </w:p>
    <w:p w14:paraId="381FE6BE" w14:textId="6592FC81" w:rsidR="00035434" w:rsidRDefault="00FF063D" w:rsidP="00627E8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על סמך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F476EC" w:rsidRPr="00F476EC">
        <w:rPr>
          <w:rFonts w:ascii="David" w:hAnsi="David" w:cs="David"/>
          <w:sz w:val="24"/>
          <w:szCs w:val="24"/>
          <w:rtl/>
        </w:rPr>
        <w:t xml:space="preserve">אמידה המעודכנת של </w:t>
      </w:r>
      <w:r>
        <w:rPr>
          <w:rFonts w:ascii="David" w:hAnsi="David" w:cs="David" w:hint="cs"/>
          <w:sz w:val="24"/>
          <w:szCs w:val="24"/>
          <w:rtl/>
        </w:rPr>
        <w:t>התמסורת</w:t>
      </w:r>
      <w:r w:rsidR="00F476EC" w:rsidRPr="00F476EC">
        <w:rPr>
          <w:rFonts w:ascii="David" w:hAnsi="David" w:cs="David"/>
          <w:sz w:val="24"/>
          <w:szCs w:val="24"/>
          <w:rtl/>
        </w:rPr>
        <w:t xml:space="preserve">, היחלשותו של </w:t>
      </w:r>
      <w:r w:rsidR="00F476EC">
        <w:rPr>
          <w:rFonts w:ascii="David" w:hAnsi="David" w:cs="David" w:hint="cs"/>
          <w:sz w:val="24"/>
          <w:szCs w:val="24"/>
          <w:rtl/>
        </w:rPr>
        <w:t>השקל</w:t>
      </w:r>
      <w:r w:rsidR="0028257A">
        <w:rPr>
          <w:rFonts w:ascii="David" w:hAnsi="David" w:cs="David" w:hint="cs"/>
          <w:sz w:val="24"/>
          <w:szCs w:val="24"/>
          <w:rtl/>
        </w:rPr>
        <w:t xml:space="preserve"> בתקופה האחרונה</w:t>
      </w:r>
      <w:r w:rsidR="00F476EC">
        <w:rPr>
          <w:rFonts w:ascii="David" w:hAnsi="David" w:cs="David" w:hint="cs"/>
          <w:sz w:val="24"/>
          <w:szCs w:val="24"/>
          <w:rtl/>
        </w:rPr>
        <w:t xml:space="preserve"> </w:t>
      </w:r>
      <w:r w:rsidR="0028257A">
        <w:rPr>
          <w:rFonts w:ascii="David" w:hAnsi="David" w:cs="David" w:hint="cs"/>
          <w:sz w:val="24"/>
          <w:szCs w:val="24"/>
          <w:rtl/>
        </w:rPr>
        <w:t>(10 אחוזים בשנת 2022 ו-6 אחוזים במחצית הראשונה של 2023),</w:t>
      </w:r>
      <w:r w:rsidR="001B185F">
        <w:rPr>
          <w:rFonts w:ascii="David" w:hAnsi="David" w:cs="David" w:hint="cs"/>
          <w:sz w:val="24"/>
          <w:szCs w:val="24"/>
          <w:rtl/>
        </w:rPr>
        <w:t xml:space="preserve"> תרמ</w:t>
      </w:r>
      <w:r w:rsidR="0028257A">
        <w:rPr>
          <w:rFonts w:ascii="David" w:hAnsi="David" w:cs="David" w:hint="cs"/>
          <w:sz w:val="24"/>
          <w:szCs w:val="24"/>
          <w:rtl/>
        </w:rPr>
        <w:t>ו</w:t>
      </w:r>
      <w:r w:rsidR="001B185F" w:rsidRPr="00F476EC">
        <w:rPr>
          <w:rFonts w:ascii="David" w:hAnsi="David" w:cs="David"/>
          <w:sz w:val="24"/>
          <w:szCs w:val="24"/>
          <w:rtl/>
        </w:rPr>
        <w:t xml:space="preserve"> </w:t>
      </w:r>
      <w:r w:rsidR="00F476EC" w:rsidRPr="00F476EC">
        <w:rPr>
          <w:rFonts w:ascii="David" w:hAnsi="David" w:cs="David"/>
          <w:sz w:val="24"/>
          <w:szCs w:val="24"/>
          <w:rtl/>
        </w:rPr>
        <w:t>לעלייה של כנקודת אחוז באינפלציה</w:t>
      </w:r>
      <w:r w:rsidR="001B185F">
        <w:rPr>
          <w:rFonts w:ascii="David" w:hAnsi="David" w:cs="David" w:hint="cs"/>
          <w:sz w:val="24"/>
          <w:szCs w:val="24"/>
          <w:rtl/>
        </w:rPr>
        <w:t xml:space="preserve"> במחצית הראשונה של 2023</w:t>
      </w:r>
      <w:r w:rsidR="0028257A">
        <w:rPr>
          <w:rFonts w:ascii="David" w:hAnsi="David" w:cs="David" w:hint="cs"/>
          <w:sz w:val="24"/>
          <w:szCs w:val="24"/>
          <w:rtl/>
        </w:rPr>
        <w:t>.</w:t>
      </w:r>
      <w:r w:rsidR="007D136F">
        <w:rPr>
          <w:rFonts w:ascii="David" w:hAnsi="David" w:cs="David" w:hint="cs"/>
          <w:sz w:val="24"/>
          <w:szCs w:val="24"/>
          <w:rtl/>
        </w:rPr>
        <w:t xml:space="preserve"> </w:t>
      </w:r>
    </w:p>
    <w:sectPr w:rsidR="00035434" w:rsidSect="006B72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0568" w14:textId="77777777" w:rsidR="00AE1E63" w:rsidRDefault="00AE1E63" w:rsidP="00FA6A50">
      <w:pPr>
        <w:spacing w:after="0" w:line="240" w:lineRule="auto"/>
      </w:pPr>
      <w:r>
        <w:separator/>
      </w:r>
    </w:p>
  </w:endnote>
  <w:endnote w:type="continuationSeparator" w:id="0">
    <w:p w14:paraId="16525EA8" w14:textId="77777777" w:rsidR="00AE1E63" w:rsidRDefault="00AE1E63" w:rsidP="00FA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64B30" w14:textId="77777777" w:rsidR="00AE1E63" w:rsidRDefault="00AE1E63" w:rsidP="00FA6A50">
      <w:pPr>
        <w:spacing w:after="0" w:line="240" w:lineRule="auto"/>
      </w:pPr>
      <w:r>
        <w:separator/>
      </w:r>
    </w:p>
  </w:footnote>
  <w:footnote w:type="continuationSeparator" w:id="0">
    <w:p w14:paraId="08D63DCF" w14:textId="77777777" w:rsidR="00AE1E63" w:rsidRDefault="00AE1E63" w:rsidP="00FA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69B"/>
    <w:multiLevelType w:val="hybridMultilevel"/>
    <w:tmpl w:val="658E634A"/>
    <w:lvl w:ilvl="0" w:tplc="097E6D44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77B2"/>
    <w:multiLevelType w:val="hybridMultilevel"/>
    <w:tmpl w:val="7D92E7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965E7"/>
    <w:multiLevelType w:val="hybridMultilevel"/>
    <w:tmpl w:val="87BEF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0C8"/>
    <w:multiLevelType w:val="hybridMultilevel"/>
    <w:tmpl w:val="5EF09C04"/>
    <w:lvl w:ilvl="0" w:tplc="D6E48D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76B09"/>
    <w:multiLevelType w:val="hybridMultilevel"/>
    <w:tmpl w:val="1DB2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1FFB"/>
    <w:multiLevelType w:val="hybridMultilevel"/>
    <w:tmpl w:val="50FE8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71FBB"/>
    <w:multiLevelType w:val="hybridMultilevel"/>
    <w:tmpl w:val="F188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66"/>
    <w:rsid w:val="0000307F"/>
    <w:rsid w:val="00020932"/>
    <w:rsid w:val="00023480"/>
    <w:rsid w:val="00024685"/>
    <w:rsid w:val="0002469F"/>
    <w:rsid w:val="00035434"/>
    <w:rsid w:val="000634EB"/>
    <w:rsid w:val="00070546"/>
    <w:rsid w:val="000904A3"/>
    <w:rsid w:val="000C5DF0"/>
    <w:rsid w:val="000D3667"/>
    <w:rsid w:val="000E2F46"/>
    <w:rsid w:val="000F3FAF"/>
    <w:rsid w:val="0010291A"/>
    <w:rsid w:val="00110856"/>
    <w:rsid w:val="00122502"/>
    <w:rsid w:val="001435CF"/>
    <w:rsid w:val="00187AF5"/>
    <w:rsid w:val="001901B1"/>
    <w:rsid w:val="001977DD"/>
    <w:rsid w:val="001A05B8"/>
    <w:rsid w:val="001A7BDD"/>
    <w:rsid w:val="001B185F"/>
    <w:rsid w:val="001C2253"/>
    <w:rsid w:val="001C227C"/>
    <w:rsid w:val="001C2D8A"/>
    <w:rsid w:val="001D6A9C"/>
    <w:rsid w:val="001E2CBA"/>
    <w:rsid w:val="00210AA5"/>
    <w:rsid w:val="0021489B"/>
    <w:rsid w:val="002522A7"/>
    <w:rsid w:val="00260EB3"/>
    <w:rsid w:val="002727A6"/>
    <w:rsid w:val="00273E23"/>
    <w:rsid w:val="00273F6D"/>
    <w:rsid w:val="0028257A"/>
    <w:rsid w:val="00292C91"/>
    <w:rsid w:val="002C1345"/>
    <w:rsid w:val="002E6F8B"/>
    <w:rsid w:val="002F4D24"/>
    <w:rsid w:val="00302A27"/>
    <w:rsid w:val="003244D9"/>
    <w:rsid w:val="00327D57"/>
    <w:rsid w:val="00345679"/>
    <w:rsid w:val="00345D51"/>
    <w:rsid w:val="00355749"/>
    <w:rsid w:val="00356D87"/>
    <w:rsid w:val="00360846"/>
    <w:rsid w:val="00371D3E"/>
    <w:rsid w:val="00372A5D"/>
    <w:rsid w:val="0037467D"/>
    <w:rsid w:val="00392481"/>
    <w:rsid w:val="003D1715"/>
    <w:rsid w:val="003D7C45"/>
    <w:rsid w:val="003E1E59"/>
    <w:rsid w:val="003F56CF"/>
    <w:rsid w:val="004028D5"/>
    <w:rsid w:val="00415306"/>
    <w:rsid w:val="0041530C"/>
    <w:rsid w:val="00423050"/>
    <w:rsid w:val="00423A55"/>
    <w:rsid w:val="004414F2"/>
    <w:rsid w:val="0044755D"/>
    <w:rsid w:val="0045535B"/>
    <w:rsid w:val="004640F3"/>
    <w:rsid w:val="00486469"/>
    <w:rsid w:val="004A76D0"/>
    <w:rsid w:val="004B0306"/>
    <w:rsid w:val="004B046F"/>
    <w:rsid w:val="004B05C8"/>
    <w:rsid w:val="004C27FE"/>
    <w:rsid w:val="004C3AFA"/>
    <w:rsid w:val="004E3CB5"/>
    <w:rsid w:val="004E74DA"/>
    <w:rsid w:val="004F5758"/>
    <w:rsid w:val="00500254"/>
    <w:rsid w:val="00503BB1"/>
    <w:rsid w:val="00504294"/>
    <w:rsid w:val="00511F41"/>
    <w:rsid w:val="005142CE"/>
    <w:rsid w:val="0054488E"/>
    <w:rsid w:val="00550E15"/>
    <w:rsid w:val="00574CEF"/>
    <w:rsid w:val="0057521B"/>
    <w:rsid w:val="0058341B"/>
    <w:rsid w:val="00586B81"/>
    <w:rsid w:val="00592703"/>
    <w:rsid w:val="005B16D3"/>
    <w:rsid w:val="005E23F8"/>
    <w:rsid w:val="005F2330"/>
    <w:rsid w:val="00621038"/>
    <w:rsid w:val="006217D7"/>
    <w:rsid w:val="00621E72"/>
    <w:rsid w:val="00624F1C"/>
    <w:rsid w:val="00627E8F"/>
    <w:rsid w:val="00627F0F"/>
    <w:rsid w:val="00633396"/>
    <w:rsid w:val="00644391"/>
    <w:rsid w:val="0064776C"/>
    <w:rsid w:val="006603BA"/>
    <w:rsid w:val="006843E5"/>
    <w:rsid w:val="0068559A"/>
    <w:rsid w:val="006A098B"/>
    <w:rsid w:val="006A46FB"/>
    <w:rsid w:val="006B2101"/>
    <w:rsid w:val="006B3241"/>
    <w:rsid w:val="006B4A73"/>
    <w:rsid w:val="006B7282"/>
    <w:rsid w:val="006D3162"/>
    <w:rsid w:val="006E0BA8"/>
    <w:rsid w:val="006E2820"/>
    <w:rsid w:val="00700798"/>
    <w:rsid w:val="0071686A"/>
    <w:rsid w:val="0073660E"/>
    <w:rsid w:val="00736899"/>
    <w:rsid w:val="00754D58"/>
    <w:rsid w:val="00761266"/>
    <w:rsid w:val="0076567A"/>
    <w:rsid w:val="00770BD8"/>
    <w:rsid w:val="00776E74"/>
    <w:rsid w:val="007A3A8F"/>
    <w:rsid w:val="007A49C1"/>
    <w:rsid w:val="007C2053"/>
    <w:rsid w:val="007D136F"/>
    <w:rsid w:val="007D6A32"/>
    <w:rsid w:val="007D6F6A"/>
    <w:rsid w:val="007E2DB7"/>
    <w:rsid w:val="007F23F6"/>
    <w:rsid w:val="007F2E5A"/>
    <w:rsid w:val="0080028F"/>
    <w:rsid w:val="0080221C"/>
    <w:rsid w:val="00824943"/>
    <w:rsid w:val="0086612B"/>
    <w:rsid w:val="0087210A"/>
    <w:rsid w:val="00883C32"/>
    <w:rsid w:val="00891B6F"/>
    <w:rsid w:val="008A2E63"/>
    <w:rsid w:val="008B0520"/>
    <w:rsid w:val="008B6F5F"/>
    <w:rsid w:val="008B7830"/>
    <w:rsid w:val="008C4690"/>
    <w:rsid w:val="008D2344"/>
    <w:rsid w:val="008E285F"/>
    <w:rsid w:val="008E355D"/>
    <w:rsid w:val="008E3C0D"/>
    <w:rsid w:val="009125CA"/>
    <w:rsid w:val="009229AB"/>
    <w:rsid w:val="009510F9"/>
    <w:rsid w:val="009602B7"/>
    <w:rsid w:val="00970189"/>
    <w:rsid w:val="0098662E"/>
    <w:rsid w:val="009B3BAA"/>
    <w:rsid w:val="009D4AA7"/>
    <w:rsid w:val="009E3334"/>
    <w:rsid w:val="009E3409"/>
    <w:rsid w:val="009E5E6D"/>
    <w:rsid w:val="009F0F98"/>
    <w:rsid w:val="009F2951"/>
    <w:rsid w:val="009F7C9A"/>
    <w:rsid w:val="00A2093E"/>
    <w:rsid w:val="00A21BEC"/>
    <w:rsid w:val="00A2346A"/>
    <w:rsid w:val="00A265F0"/>
    <w:rsid w:val="00A50A19"/>
    <w:rsid w:val="00A76CD4"/>
    <w:rsid w:val="00A95B88"/>
    <w:rsid w:val="00A97218"/>
    <w:rsid w:val="00A97F6C"/>
    <w:rsid w:val="00AA7D09"/>
    <w:rsid w:val="00AD495E"/>
    <w:rsid w:val="00AE1E63"/>
    <w:rsid w:val="00AF75B2"/>
    <w:rsid w:val="00B05CF4"/>
    <w:rsid w:val="00B10E2A"/>
    <w:rsid w:val="00B1765A"/>
    <w:rsid w:val="00B4677D"/>
    <w:rsid w:val="00B609B4"/>
    <w:rsid w:val="00B75C38"/>
    <w:rsid w:val="00BA6318"/>
    <w:rsid w:val="00BB5F7B"/>
    <w:rsid w:val="00BD1C0B"/>
    <w:rsid w:val="00BD3A4F"/>
    <w:rsid w:val="00BE15F5"/>
    <w:rsid w:val="00BF525C"/>
    <w:rsid w:val="00C06249"/>
    <w:rsid w:val="00C162AB"/>
    <w:rsid w:val="00C17B9A"/>
    <w:rsid w:val="00C378B0"/>
    <w:rsid w:val="00C42121"/>
    <w:rsid w:val="00C460B7"/>
    <w:rsid w:val="00C67271"/>
    <w:rsid w:val="00C7336C"/>
    <w:rsid w:val="00C7542F"/>
    <w:rsid w:val="00C81907"/>
    <w:rsid w:val="00C846AE"/>
    <w:rsid w:val="00C86D38"/>
    <w:rsid w:val="00CB62E9"/>
    <w:rsid w:val="00CC16F1"/>
    <w:rsid w:val="00CC2EB3"/>
    <w:rsid w:val="00D063A3"/>
    <w:rsid w:val="00D14DAC"/>
    <w:rsid w:val="00D51087"/>
    <w:rsid w:val="00D55775"/>
    <w:rsid w:val="00D65D80"/>
    <w:rsid w:val="00D74486"/>
    <w:rsid w:val="00DA0BF5"/>
    <w:rsid w:val="00DA117B"/>
    <w:rsid w:val="00DB45B1"/>
    <w:rsid w:val="00DE1227"/>
    <w:rsid w:val="00DE1B7C"/>
    <w:rsid w:val="00DE740D"/>
    <w:rsid w:val="00E06135"/>
    <w:rsid w:val="00E10CAB"/>
    <w:rsid w:val="00E12778"/>
    <w:rsid w:val="00E247C4"/>
    <w:rsid w:val="00E32AA6"/>
    <w:rsid w:val="00E3572B"/>
    <w:rsid w:val="00E75F78"/>
    <w:rsid w:val="00E97954"/>
    <w:rsid w:val="00EB055F"/>
    <w:rsid w:val="00EB3D57"/>
    <w:rsid w:val="00EC03EE"/>
    <w:rsid w:val="00EC4122"/>
    <w:rsid w:val="00ED51E9"/>
    <w:rsid w:val="00EE6653"/>
    <w:rsid w:val="00F019C9"/>
    <w:rsid w:val="00F11F06"/>
    <w:rsid w:val="00F128B9"/>
    <w:rsid w:val="00F26EB5"/>
    <w:rsid w:val="00F476EC"/>
    <w:rsid w:val="00F81E0E"/>
    <w:rsid w:val="00F9059D"/>
    <w:rsid w:val="00FA0FCE"/>
    <w:rsid w:val="00FA6A50"/>
    <w:rsid w:val="00FC4EF2"/>
    <w:rsid w:val="00FD0EA0"/>
    <w:rsid w:val="00FE3246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2F59"/>
  <w15:docId w15:val="{D566ECB0-7486-4973-9CD8-F2D7BF17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CE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74CEF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A46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46FB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6A46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46FB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6A46FB"/>
    <w:rPr>
      <w:b/>
      <w:bCs/>
      <w:sz w:val="20"/>
      <w:szCs w:val="20"/>
    </w:rPr>
  </w:style>
  <w:style w:type="table" w:styleId="ab">
    <w:name w:val="Table Grid"/>
    <w:basedOn w:val="a1"/>
    <w:uiPriority w:val="59"/>
    <w:rsid w:val="003D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A6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FA6A50"/>
  </w:style>
  <w:style w:type="paragraph" w:styleId="ae">
    <w:name w:val="footer"/>
    <w:basedOn w:val="a"/>
    <w:link w:val="af"/>
    <w:uiPriority w:val="99"/>
    <w:unhideWhenUsed/>
    <w:rsid w:val="00FA6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FA6A50"/>
  </w:style>
  <w:style w:type="paragraph" w:styleId="af0">
    <w:name w:val="footnote text"/>
    <w:basedOn w:val="a"/>
    <w:link w:val="af1"/>
    <w:uiPriority w:val="99"/>
    <w:unhideWhenUsed/>
    <w:rsid w:val="0054488E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rsid w:val="0054488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44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yhmm\Vyhmm\MEHKARJR\&#1495;&#1508;&#1497;&#1508;&#1492;%20&#1505;&#1496;&#1493;&#1491;&#1504;&#1496;%20&#1513;&#1493;&#1511;%20&#1492;&#1492;&#1493;&#1503;%20&#1502;&#1493;&#1504;&#1497;&#1496;&#1512;&#1497;\Tasks%20-%20Eden%20&amp;%20Uri\&#1489;&#1491;&#1497;&#1511;&#1493;&#1514;%20&#1513;&#1506;&#1512;&#1497;%20&#1495;&#1500;&#1497;&#1508;&#1497;&#1503;\pim_pash_benchmark\plots\&#1488;&#1497;&#1493;&#1512;&#1497;&#1501;%20-%20&#1514;&#1502;&#1505;&#1493;&#1512;&#1514;%20&#1489;&#1492;&#1513;&#1493;&#1493;&#1488;&#1492;%20&#1500;&#1514;&#1495;&#1493;&#1501;%20&#1492;&#1497;&#1506;&#149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976-4ED2-858F-281E393A1F5B}"/>
              </c:ext>
            </c:extLst>
          </c:dPt>
          <c:cat>
            <c:strRef>
              <c:f>גיליון1!$A$19:$A$20</c:f>
              <c:strCache>
                <c:ptCount val="2"/>
                <c:pt idx="0">
                  <c:v>אינפלציה מתחת ל-3%</c:v>
                </c:pt>
                <c:pt idx="1">
                  <c:v>אינפלציה מעל ל-3%</c:v>
                </c:pt>
              </c:strCache>
            </c:strRef>
          </c:cat>
          <c:val>
            <c:numRef>
              <c:f>גיליון1!$B$19:$B$20</c:f>
              <c:numCache>
                <c:formatCode>0%</c:formatCode>
                <c:ptCount val="2"/>
                <c:pt idx="0">
                  <c:v>8.1000000000000003E-2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76-4ED2-858F-281E393A1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5023536"/>
        <c:axId val="715019928"/>
      </c:barChart>
      <c:catAx>
        <c:axId val="71502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19928"/>
        <c:crosses val="autoZero"/>
        <c:auto val="1"/>
        <c:lblAlgn val="ctr"/>
        <c:lblOffset val="100"/>
        <c:noMultiLvlLbl val="0"/>
      </c:catAx>
      <c:valAx>
        <c:axId val="715019928"/>
        <c:scaling>
          <c:orientation val="minMax"/>
          <c:max val="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23536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A5BB-CE61-4B03-8A7A-DE928B7A4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9F125-CE6A-4C92-9292-904E8B3A16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32290A-14BB-4FC2-A64A-933DCB182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EF3E1-CAC0-4D52-91AA-87823F63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3167</Characters>
  <Application>Microsoft Office Word</Application>
  <DocSecurity>4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הודעה לעיתונות: ניתוח מיוחד של חטיבת המחקר - התמסורת משער החליפין למחירים</vt:lpstr>
      <vt:lpstr>הודעה לעיתונות: ניתוח מיוחד של חטיבת המחקר - התמסורת משער החליפין למחירים</vt:lpstr>
    </vt:vector>
  </TitlesOfParts>
  <Company>BOI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הודעה לעיתונות: ניתוח מיוחד של חטיבת המחקר - התמסורת משער החליפין למחירים</dc:title>
  <dc:creator>לירון בן עמוס</dc:creator>
  <dc:description>כתבו: אורי אנזל, עדן ענבים וארי קוטאי.</dc:description>
  <cp:lastModifiedBy>לירון בן עמוס</cp:lastModifiedBy>
  <cp:revision>2</cp:revision>
  <dcterms:created xsi:type="dcterms:W3CDTF">2024-01-24T08:31:00Z</dcterms:created>
  <dcterms:modified xsi:type="dcterms:W3CDTF">2024-01-24T08:31:00Z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