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FD630B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FD630B" w:rsidRDefault="00DD5923" w:rsidP="00286AB2">
            <w:pPr>
              <w:spacing w:line="360" w:lineRule="auto"/>
              <w:jc w:val="right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FD630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FD630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FD630B" w:rsidRDefault="00DD5923" w:rsidP="00286AB2">
            <w:pPr>
              <w:spacing w:line="36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FD630B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FD630B" w:rsidRDefault="00572B04" w:rsidP="00D87676">
            <w:pPr>
              <w:jc w:val="center"/>
              <w:rPr>
                <w:rFonts w:ascii="David" w:hAnsi="David" w:cs="David"/>
              </w:rPr>
            </w:pPr>
            <w:r w:rsidRPr="00FD630B">
              <w:rPr>
                <w:rFonts w:ascii="David" w:hAnsi="David" w:cs="David"/>
                <w:noProof/>
                <w:lang w:eastAsia="en-US"/>
              </w:rPr>
              <w:drawing>
                <wp:inline distT="0" distB="0" distL="0" distR="0" wp14:anchorId="522E6F3E" wp14:editId="5A6E6DEC">
                  <wp:extent cx="734291" cy="734291"/>
                  <wp:effectExtent l="0" t="0" r="8890" b="8890"/>
                  <wp:docPr id="5" name="Picture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08" cy="73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FD630B" w:rsidRDefault="0089040A" w:rsidP="00922F51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FD630B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AC535F" w:rsidRPr="00FD630B">
              <w:rPr>
                <w:rFonts w:ascii="David" w:hAnsi="David" w:cs="David"/>
                <w:sz w:val="24"/>
                <w:szCs w:val="24"/>
                <w:rtl/>
              </w:rPr>
              <w:t>כ</w:t>
            </w:r>
            <w:r w:rsidR="00922F51" w:rsidRPr="00FD630B">
              <w:rPr>
                <w:rFonts w:ascii="David" w:hAnsi="David" w:cs="David"/>
                <w:sz w:val="24"/>
                <w:szCs w:val="24"/>
                <w:rtl/>
              </w:rPr>
              <w:t>ז</w:t>
            </w:r>
            <w:r w:rsidR="007B6206" w:rsidRPr="00FD630B">
              <w:rPr>
                <w:rFonts w:ascii="David" w:hAnsi="David" w:cs="David"/>
                <w:sz w:val="24"/>
                <w:szCs w:val="24"/>
                <w:rtl/>
              </w:rPr>
              <w:t>'</w:t>
            </w:r>
            <w:r w:rsidR="00F426C3" w:rsidRPr="00FD630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D1B3F" w:rsidRPr="00FD630B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922F51" w:rsidRPr="00FD630B">
              <w:rPr>
                <w:rFonts w:ascii="David" w:hAnsi="David" w:cs="David"/>
                <w:sz w:val="24"/>
                <w:szCs w:val="24"/>
                <w:rtl/>
              </w:rPr>
              <w:t>אדר</w:t>
            </w:r>
            <w:r w:rsidR="00A06D00" w:rsidRPr="00FD630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80AE9" w:rsidRPr="00FD630B">
              <w:rPr>
                <w:rFonts w:ascii="David" w:hAnsi="David" w:cs="David"/>
                <w:sz w:val="24"/>
                <w:szCs w:val="24"/>
                <w:rtl/>
              </w:rPr>
              <w:t>תש"פ</w:t>
            </w:r>
          </w:p>
          <w:p w:rsidR="00DD5923" w:rsidRPr="00FD630B" w:rsidRDefault="0089040A" w:rsidP="00922F51">
            <w:pPr>
              <w:spacing w:line="480" w:lineRule="auto"/>
              <w:rPr>
                <w:rFonts w:ascii="David" w:hAnsi="David" w:cs="David"/>
                <w:sz w:val="24"/>
                <w:szCs w:val="24"/>
              </w:rPr>
            </w:pPr>
            <w:r w:rsidRPr="00FD630B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="00922F51" w:rsidRPr="00FD630B">
              <w:rPr>
                <w:rFonts w:ascii="David" w:hAnsi="David" w:cs="David"/>
                <w:sz w:val="24"/>
                <w:szCs w:val="24"/>
                <w:rtl/>
              </w:rPr>
              <w:t>23</w:t>
            </w:r>
            <w:r w:rsidR="00A17283" w:rsidRPr="00FD630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F426C3" w:rsidRPr="00FD630B">
              <w:rPr>
                <w:rFonts w:ascii="David" w:hAnsi="David" w:cs="David"/>
                <w:sz w:val="24"/>
                <w:szCs w:val="24"/>
                <w:rtl/>
              </w:rPr>
              <w:t>ב</w:t>
            </w:r>
            <w:r w:rsidR="00922F51" w:rsidRPr="00FD630B">
              <w:rPr>
                <w:rFonts w:ascii="David" w:hAnsi="David" w:cs="David"/>
                <w:sz w:val="24"/>
                <w:szCs w:val="24"/>
                <w:rtl/>
              </w:rPr>
              <w:t>מרץ</w:t>
            </w:r>
            <w:r w:rsidR="00631A91" w:rsidRPr="00FD630B">
              <w:rPr>
                <w:rFonts w:ascii="David" w:hAnsi="David" w:cs="David"/>
                <w:sz w:val="24"/>
                <w:szCs w:val="24"/>
                <w:rtl/>
              </w:rPr>
              <w:t xml:space="preserve"> 20</w:t>
            </w:r>
            <w:r w:rsidR="00922F51" w:rsidRPr="00FD630B">
              <w:rPr>
                <w:rFonts w:ascii="David" w:hAnsi="David" w:cs="David"/>
                <w:sz w:val="24"/>
                <w:szCs w:val="24"/>
                <w:rtl/>
              </w:rPr>
              <w:t>20</w:t>
            </w:r>
          </w:p>
        </w:tc>
      </w:tr>
    </w:tbl>
    <w:p w:rsidR="00FE034E" w:rsidRPr="00FD630B" w:rsidRDefault="00FE034E" w:rsidP="007E18EE">
      <w:pPr>
        <w:bidi/>
        <w:rPr>
          <w:rFonts w:ascii="David" w:hAnsi="David" w:cs="David"/>
          <w:rtl/>
        </w:rPr>
      </w:pPr>
    </w:p>
    <w:p w:rsidR="00C9322A" w:rsidRPr="00FD630B" w:rsidRDefault="00C9322A" w:rsidP="00C9322A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FD630B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FD630B" w:rsidRDefault="00C9322A" w:rsidP="00922F51">
      <w:pPr>
        <w:pStyle w:val="af4"/>
        <w:rPr>
          <w:rFonts w:ascii="David" w:hAnsi="David" w:cs="David"/>
          <w:rtl/>
        </w:rPr>
      </w:pPr>
      <w:r w:rsidRPr="00FD630B">
        <w:rPr>
          <w:rFonts w:ascii="David" w:hAnsi="David" w:cs="David"/>
          <w:rtl/>
        </w:rPr>
        <w:t xml:space="preserve">התפתחות החוב </w:t>
      </w:r>
      <w:r w:rsidR="00802DF3" w:rsidRPr="00FD630B">
        <w:rPr>
          <w:rFonts w:ascii="David" w:hAnsi="David" w:cs="David"/>
          <w:rtl/>
        </w:rPr>
        <w:t xml:space="preserve">של המגזר הפרטי </w:t>
      </w:r>
      <w:r w:rsidR="0077544B" w:rsidRPr="00FD630B">
        <w:rPr>
          <w:rFonts w:ascii="David" w:hAnsi="David" w:cs="David"/>
          <w:rtl/>
        </w:rPr>
        <w:t>הלא</w:t>
      </w:r>
      <w:r w:rsidR="00E44E3D" w:rsidRPr="00FD630B">
        <w:rPr>
          <w:rFonts w:ascii="David" w:hAnsi="David" w:cs="David"/>
          <w:rtl/>
        </w:rPr>
        <w:t>-</w:t>
      </w:r>
      <w:r w:rsidR="0077544B" w:rsidRPr="00FD630B">
        <w:rPr>
          <w:rFonts w:ascii="David" w:hAnsi="David" w:cs="David"/>
          <w:rtl/>
        </w:rPr>
        <w:t xml:space="preserve">פיננסי </w:t>
      </w:r>
      <w:r w:rsidR="00FC2095" w:rsidRPr="00FD630B">
        <w:rPr>
          <w:rFonts w:ascii="David" w:hAnsi="David" w:cs="David"/>
          <w:rtl/>
        </w:rPr>
        <w:t xml:space="preserve">ברביע </w:t>
      </w:r>
      <w:r w:rsidR="00E44E3D" w:rsidRPr="00FD630B">
        <w:rPr>
          <w:rFonts w:ascii="David" w:hAnsi="David" w:cs="David"/>
          <w:rtl/>
        </w:rPr>
        <w:t>ה</w:t>
      </w:r>
      <w:r w:rsidR="00922F51" w:rsidRPr="00FD630B">
        <w:rPr>
          <w:rFonts w:ascii="David" w:hAnsi="David" w:cs="David"/>
          <w:rtl/>
        </w:rPr>
        <w:t>רביעי</w:t>
      </w:r>
      <w:r w:rsidR="00802DF3" w:rsidRPr="00FD630B">
        <w:rPr>
          <w:rFonts w:ascii="David" w:hAnsi="David" w:cs="David"/>
          <w:rtl/>
        </w:rPr>
        <w:t xml:space="preserve"> של</w:t>
      </w:r>
      <w:r w:rsidRPr="00FD630B">
        <w:rPr>
          <w:rFonts w:ascii="David" w:hAnsi="David" w:cs="David"/>
          <w:rtl/>
        </w:rPr>
        <w:t xml:space="preserve"> </w:t>
      </w:r>
      <w:r w:rsidR="00A06D00" w:rsidRPr="00FD630B">
        <w:rPr>
          <w:rFonts w:ascii="David" w:hAnsi="David" w:cs="David"/>
          <w:rtl/>
        </w:rPr>
        <w:t>201</w:t>
      </w:r>
      <w:r w:rsidR="00F902C8" w:rsidRPr="00FD630B">
        <w:rPr>
          <w:rFonts w:ascii="David" w:hAnsi="David" w:cs="David"/>
          <w:rtl/>
        </w:rPr>
        <w:t>9</w:t>
      </w:r>
    </w:p>
    <w:p w:rsidR="00260F11" w:rsidRPr="00FD630B" w:rsidRDefault="00260F11" w:rsidP="00260F11">
      <w:pPr>
        <w:bidi/>
        <w:spacing w:line="360" w:lineRule="auto"/>
        <w:ind w:right="-101"/>
        <w:jc w:val="both"/>
        <w:rPr>
          <w:rFonts w:ascii="David" w:hAnsi="David" w:cs="David"/>
          <w:sz w:val="24"/>
          <w:szCs w:val="24"/>
          <w:rtl/>
        </w:rPr>
      </w:pPr>
    </w:p>
    <w:p w:rsidR="0071466B" w:rsidRPr="00FD630B" w:rsidRDefault="0071466B" w:rsidP="0071466B">
      <w:pPr>
        <w:bidi/>
        <w:spacing w:line="360" w:lineRule="auto"/>
        <w:ind w:right="-101"/>
        <w:jc w:val="both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sz w:val="24"/>
          <w:szCs w:val="24"/>
          <w:rtl/>
        </w:rPr>
        <w:t xml:space="preserve">לניתוח התפתחויות החוב בשנת 2019 כולה ראו </w:t>
      </w:r>
      <w:hyperlink r:id="rId9" w:history="1">
        <w:r w:rsidRPr="00FD630B">
          <w:rPr>
            <w:rStyle w:val="Hyperlink"/>
            <w:rFonts w:ascii="David" w:hAnsi="David" w:cs="David"/>
            <w:sz w:val="24"/>
            <w:szCs w:val="24"/>
            <w:rtl/>
          </w:rPr>
          <w:t>'החוב של המגזר הפרטי הלא-פיננסי'</w:t>
        </w:r>
      </w:hyperlink>
      <w:r w:rsidRPr="00FD630B">
        <w:rPr>
          <w:rFonts w:ascii="David" w:hAnsi="David" w:cs="David"/>
          <w:sz w:val="24"/>
          <w:szCs w:val="24"/>
          <w:rtl/>
        </w:rPr>
        <w:t xml:space="preserve"> בחלק א' של פרסום 'מבט סטטיסטי 2019'. </w:t>
      </w:r>
    </w:p>
    <w:p w:rsidR="0071466B" w:rsidRPr="00FD630B" w:rsidRDefault="0071466B" w:rsidP="0071466B">
      <w:pPr>
        <w:bidi/>
        <w:spacing w:line="360" w:lineRule="auto"/>
        <w:ind w:right="-101"/>
        <w:jc w:val="both"/>
        <w:rPr>
          <w:rFonts w:ascii="David" w:hAnsi="David" w:cs="David"/>
          <w:i/>
          <w:iCs/>
          <w:sz w:val="24"/>
          <w:szCs w:val="24"/>
          <w:rtl/>
        </w:rPr>
      </w:pPr>
    </w:p>
    <w:p w:rsidR="003030A9" w:rsidRPr="00FD630B" w:rsidRDefault="003030A9" w:rsidP="004A56B9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sz w:val="24"/>
          <w:szCs w:val="24"/>
          <w:rtl/>
        </w:rPr>
        <w:t xml:space="preserve">יתרת החוב של 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>המגזר הפרטי הלא-פיננסי</w:t>
      </w:r>
      <w:r w:rsidR="00FA32E2" w:rsidRPr="00FD630B">
        <w:rPr>
          <w:rStyle w:val="af1"/>
          <w:rFonts w:ascii="David" w:hAnsi="David" w:cs="David"/>
          <w:sz w:val="24"/>
          <w:szCs w:val="24"/>
          <w:rtl/>
        </w:rPr>
        <w:footnoteReference w:id="1"/>
      </w:r>
      <w:r w:rsidRPr="00FD630B">
        <w:rPr>
          <w:rFonts w:ascii="David" w:hAnsi="David" w:cs="David"/>
          <w:sz w:val="24"/>
          <w:szCs w:val="24"/>
          <w:rtl/>
        </w:rPr>
        <w:t xml:space="preserve"> </w:t>
      </w:r>
      <w:r w:rsidR="00643343" w:rsidRPr="00FD630B">
        <w:rPr>
          <w:rFonts w:ascii="David" w:hAnsi="David" w:cs="David"/>
          <w:sz w:val="24"/>
          <w:szCs w:val="24"/>
          <w:rtl/>
        </w:rPr>
        <w:t>גדלה ברביע ה</w:t>
      </w:r>
      <w:r w:rsidR="004A56B9" w:rsidRPr="00FD630B">
        <w:rPr>
          <w:rFonts w:ascii="David" w:hAnsi="David" w:cs="David"/>
          <w:sz w:val="24"/>
          <w:szCs w:val="24"/>
          <w:rtl/>
        </w:rPr>
        <w:t>רביעי</w:t>
      </w:r>
      <w:r w:rsidR="006677B2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643343" w:rsidRPr="00FD630B">
        <w:rPr>
          <w:rFonts w:ascii="David" w:hAnsi="David" w:cs="David"/>
          <w:sz w:val="24"/>
          <w:szCs w:val="24"/>
          <w:rtl/>
        </w:rPr>
        <w:t xml:space="preserve">של שנת 2019 </w:t>
      </w:r>
      <w:r w:rsidRPr="00FD630B">
        <w:rPr>
          <w:rFonts w:ascii="David" w:hAnsi="David" w:cs="David"/>
          <w:sz w:val="24"/>
          <w:szCs w:val="24"/>
          <w:rtl/>
        </w:rPr>
        <w:t>בכ-</w:t>
      </w:r>
      <w:r w:rsidR="004A56B9" w:rsidRPr="00FD630B">
        <w:rPr>
          <w:rFonts w:ascii="David" w:hAnsi="David" w:cs="David"/>
          <w:sz w:val="24"/>
          <w:szCs w:val="24"/>
          <w:rtl/>
        </w:rPr>
        <w:t>21</w:t>
      </w:r>
      <w:r w:rsidR="008E50B1" w:rsidRPr="00FD630B">
        <w:rPr>
          <w:rFonts w:ascii="David" w:hAnsi="David" w:cs="David"/>
          <w:sz w:val="24"/>
          <w:szCs w:val="24"/>
          <w:rtl/>
        </w:rPr>
        <w:t xml:space="preserve"> </w:t>
      </w:r>
      <w:r w:rsidRPr="00FD630B">
        <w:rPr>
          <w:rFonts w:ascii="David" w:hAnsi="David" w:cs="David"/>
          <w:sz w:val="24"/>
          <w:szCs w:val="24"/>
          <w:rtl/>
        </w:rPr>
        <w:t>מיליארדי ש"ח (</w:t>
      </w:r>
      <w:r w:rsidR="004A56B9" w:rsidRPr="00FD630B">
        <w:rPr>
          <w:rFonts w:ascii="David" w:hAnsi="David" w:cs="David"/>
          <w:sz w:val="24"/>
          <w:szCs w:val="24"/>
          <w:rtl/>
        </w:rPr>
        <w:t>1.4</w:t>
      </w:r>
      <w:r w:rsidRPr="00FD630B">
        <w:rPr>
          <w:rFonts w:ascii="David" w:hAnsi="David" w:cs="David"/>
          <w:sz w:val="24"/>
          <w:szCs w:val="24"/>
          <w:rtl/>
        </w:rPr>
        <w:t>%) לרמה של כ-1.5 טריליוני ש"ח</w:t>
      </w:r>
      <w:r w:rsidR="004A56B9" w:rsidRPr="00FD630B">
        <w:rPr>
          <w:rFonts w:ascii="David" w:hAnsi="David" w:cs="David"/>
          <w:sz w:val="24"/>
          <w:szCs w:val="24"/>
          <w:rtl/>
        </w:rPr>
        <w:t>:</w:t>
      </w:r>
      <w:r w:rsidR="006677B2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4A56B9" w:rsidRPr="00FD630B">
        <w:rPr>
          <w:rFonts w:ascii="David" w:hAnsi="David" w:cs="David"/>
          <w:sz w:val="24"/>
          <w:szCs w:val="24"/>
          <w:rtl/>
        </w:rPr>
        <w:t xml:space="preserve">יתרת החוב של </w:t>
      </w:r>
      <w:r w:rsidR="004A56B9" w:rsidRPr="00FD630B">
        <w:rPr>
          <w:rFonts w:ascii="David" w:hAnsi="David" w:cs="David"/>
          <w:b/>
          <w:bCs/>
          <w:sz w:val="24"/>
          <w:szCs w:val="24"/>
          <w:rtl/>
        </w:rPr>
        <w:t>המגזר העסקי</w:t>
      </w:r>
      <w:r w:rsidR="004A56B9" w:rsidRPr="00FD630B">
        <w:rPr>
          <w:rFonts w:ascii="David" w:hAnsi="David" w:cs="David"/>
          <w:sz w:val="24"/>
          <w:szCs w:val="24"/>
          <w:rtl/>
        </w:rPr>
        <w:t xml:space="preserve"> גדלה ברביע זה בכ-14 מיליארדי ש"ח (1.5%) לרמה של כ-958 מיליארדים; יתרת החוב של </w:t>
      </w:r>
      <w:r w:rsidR="004A56B9" w:rsidRPr="00FD630B">
        <w:rPr>
          <w:rFonts w:ascii="David" w:hAnsi="David" w:cs="David"/>
          <w:b/>
          <w:bCs/>
          <w:sz w:val="24"/>
          <w:szCs w:val="24"/>
          <w:rtl/>
        </w:rPr>
        <w:t>משקי הבית</w:t>
      </w:r>
      <w:r w:rsidR="004A56B9" w:rsidRPr="00FD630B">
        <w:rPr>
          <w:rFonts w:ascii="David" w:hAnsi="David" w:cs="David"/>
          <w:sz w:val="24"/>
          <w:szCs w:val="24"/>
          <w:rtl/>
        </w:rPr>
        <w:t xml:space="preserve"> גדלה בכ-7 מיליארדים (1.2%) ועמדה בסוף הרביע על כ-588 מיליארדים – עיקר הגידול הינו ביתרת החוב לדיור. </w:t>
      </w:r>
    </w:p>
    <w:p w:rsidR="00643343" w:rsidRPr="00FD630B" w:rsidRDefault="00643343" w:rsidP="00643343">
      <w:pPr>
        <w:bidi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bookmarkStart w:id="0" w:name="_GoBack"/>
      <w:bookmarkEnd w:id="0"/>
    </w:p>
    <w:p w:rsidR="009F574F" w:rsidRPr="00FD630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FD630B">
        <w:rPr>
          <w:rStyle w:val="10"/>
          <w:rFonts w:ascii="David" w:hAnsi="David" w:cs="David"/>
          <w:rtl/>
        </w:rPr>
        <w:t>החוב של המגזר העסקי</w:t>
      </w:r>
      <w:r w:rsidR="001E78A9" w:rsidRPr="00FD630B">
        <w:rPr>
          <w:rStyle w:val="10"/>
          <w:rFonts w:ascii="David" w:hAnsi="David" w:cs="David"/>
          <w:rtl/>
        </w:rPr>
        <w:t xml:space="preserve"> הלא-פיננסי</w:t>
      </w:r>
      <w:r w:rsidR="00474B96" w:rsidRPr="00FD630B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2"/>
      </w:r>
      <w:r w:rsidR="0028327B" w:rsidRPr="00FD630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40B38" w:rsidRPr="00FD630B" w:rsidRDefault="0089040A" w:rsidP="00996717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sz w:val="24"/>
          <w:szCs w:val="24"/>
          <w:rtl/>
        </w:rPr>
        <w:t>מהחטיבה למידע ו</w:t>
      </w:r>
      <w:r w:rsidR="00882FBA" w:rsidRPr="00FD630B">
        <w:rPr>
          <w:rFonts w:ascii="David" w:hAnsi="David" w:cs="David"/>
          <w:sz w:val="24"/>
          <w:szCs w:val="24"/>
          <w:rtl/>
        </w:rPr>
        <w:t>ל</w:t>
      </w:r>
      <w:r w:rsidRPr="00FD630B">
        <w:rPr>
          <w:rFonts w:ascii="David" w:hAnsi="David" w:cs="David"/>
          <w:sz w:val="24"/>
          <w:szCs w:val="24"/>
          <w:rtl/>
        </w:rPr>
        <w:t xml:space="preserve">סטטיסטיקה נמסר, כי </w:t>
      </w:r>
      <w:r w:rsidR="00406F28" w:rsidRPr="00FD630B">
        <w:rPr>
          <w:rFonts w:ascii="David" w:hAnsi="David" w:cs="David"/>
          <w:sz w:val="24"/>
          <w:szCs w:val="24"/>
          <w:rtl/>
        </w:rPr>
        <w:t xml:space="preserve">ברביע </w:t>
      </w:r>
      <w:r w:rsidR="00242FFE" w:rsidRPr="00FD630B">
        <w:rPr>
          <w:rFonts w:ascii="David" w:hAnsi="David" w:cs="David"/>
          <w:sz w:val="24"/>
          <w:szCs w:val="24"/>
          <w:rtl/>
        </w:rPr>
        <w:t>ה</w:t>
      </w:r>
      <w:r w:rsidR="00996717" w:rsidRPr="00FD630B">
        <w:rPr>
          <w:rFonts w:ascii="David" w:hAnsi="David" w:cs="David"/>
          <w:sz w:val="24"/>
          <w:szCs w:val="24"/>
          <w:rtl/>
        </w:rPr>
        <w:t>רביעי</w:t>
      </w:r>
      <w:r w:rsidR="00635BDC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510ABA" w:rsidRPr="00FD630B">
        <w:rPr>
          <w:rFonts w:ascii="David" w:hAnsi="David" w:cs="David"/>
          <w:sz w:val="24"/>
          <w:szCs w:val="24"/>
          <w:rtl/>
        </w:rPr>
        <w:t xml:space="preserve">של </w:t>
      </w:r>
      <w:r w:rsidR="00635BDC" w:rsidRPr="00FD630B">
        <w:rPr>
          <w:rFonts w:ascii="David" w:hAnsi="David" w:cs="David"/>
          <w:sz w:val="24"/>
          <w:szCs w:val="24"/>
          <w:rtl/>
        </w:rPr>
        <w:t>שנת 2019</w:t>
      </w:r>
      <w:r w:rsidR="000F7E97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FD630B">
        <w:rPr>
          <w:rFonts w:ascii="David" w:hAnsi="David" w:cs="David"/>
          <w:sz w:val="24"/>
          <w:szCs w:val="24"/>
          <w:rtl/>
        </w:rPr>
        <w:t>גדלה</w:t>
      </w:r>
      <w:r w:rsidR="00807054" w:rsidRPr="00FD630B">
        <w:rPr>
          <w:rFonts w:ascii="David" w:hAnsi="David" w:cs="David"/>
          <w:sz w:val="24"/>
          <w:szCs w:val="24"/>
          <w:rtl/>
        </w:rPr>
        <w:t xml:space="preserve"> יתרת ה</w:t>
      </w:r>
      <w:r w:rsidR="00340B38" w:rsidRPr="00FD630B">
        <w:rPr>
          <w:rFonts w:ascii="David" w:hAnsi="David" w:cs="David"/>
          <w:sz w:val="24"/>
          <w:szCs w:val="24"/>
          <w:rtl/>
        </w:rPr>
        <w:t>חוב של המגזר העסקי</w:t>
      </w:r>
      <w:r w:rsidR="003E05CD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FD630B">
        <w:rPr>
          <w:rFonts w:ascii="David" w:hAnsi="David" w:cs="David"/>
          <w:sz w:val="24"/>
          <w:szCs w:val="24"/>
          <w:rtl/>
        </w:rPr>
        <w:t>בכ-</w:t>
      </w:r>
      <w:r w:rsidR="00996717" w:rsidRPr="00FD630B">
        <w:rPr>
          <w:rFonts w:ascii="David" w:hAnsi="David" w:cs="David"/>
          <w:sz w:val="24"/>
          <w:szCs w:val="24"/>
          <w:rtl/>
        </w:rPr>
        <w:t>14</w:t>
      </w:r>
      <w:r w:rsidR="00807054" w:rsidRPr="00FD630B">
        <w:rPr>
          <w:rFonts w:ascii="David" w:hAnsi="David" w:cs="David"/>
          <w:sz w:val="24"/>
          <w:szCs w:val="24"/>
          <w:rtl/>
        </w:rPr>
        <w:t xml:space="preserve"> מיליארדי ש"ח (</w:t>
      </w:r>
      <w:r w:rsidR="00996717" w:rsidRPr="00FD630B">
        <w:rPr>
          <w:rFonts w:ascii="David" w:hAnsi="David" w:cs="David"/>
          <w:sz w:val="24"/>
          <w:szCs w:val="24"/>
          <w:rtl/>
        </w:rPr>
        <w:t>1.5%</w:t>
      </w:r>
      <w:r w:rsidR="006677B2" w:rsidRPr="00FD630B">
        <w:rPr>
          <w:rFonts w:ascii="David" w:hAnsi="David" w:cs="David"/>
          <w:sz w:val="24"/>
          <w:szCs w:val="24"/>
          <w:rtl/>
        </w:rPr>
        <w:t>)</w:t>
      </w:r>
      <w:r w:rsidR="00132A42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807054" w:rsidRPr="00FD630B">
        <w:rPr>
          <w:rFonts w:ascii="David" w:hAnsi="David" w:cs="David"/>
          <w:sz w:val="24"/>
          <w:szCs w:val="24"/>
          <w:rtl/>
        </w:rPr>
        <w:t>לרמה של כ-</w:t>
      </w:r>
      <w:r w:rsidR="00996717" w:rsidRPr="00FD630B">
        <w:rPr>
          <w:rFonts w:ascii="David" w:hAnsi="David" w:cs="David"/>
          <w:sz w:val="24"/>
          <w:szCs w:val="24"/>
          <w:rtl/>
        </w:rPr>
        <w:t>958</w:t>
      </w:r>
      <w:r w:rsidR="00132A42" w:rsidRPr="00FD630B">
        <w:rPr>
          <w:rFonts w:ascii="David" w:hAnsi="David" w:cs="David"/>
          <w:sz w:val="24"/>
          <w:szCs w:val="24"/>
          <w:rtl/>
        </w:rPr>
        <w:t xml:space="preserve"> מיליארדים</w:t>
      </w:r>
      <w:r w:rsidR="00AB316B" w:rsidRPr="00FD630B">
        <w:rPr>
          <w:rFonts w:ascii="David" w:hAnsi="David" w:cs="David"/>
          <w:sz w:val="24"/>
          <w:szCs w:val="24"/>
          <w:rtl/>
        </w:rPr>
        <w:t xml:space="preserve">. </w:t>
      </w:r>
      <w:r w:rsidR="00996717" w:rsidRPr="00FD630B">
        <w:rPr>
          <w:rFonts w:ascii="David" w:hAnsi="David" w:cs="David"/>
          <w:sz w:val="24"/>
          <w:szCs w:val="24"/>
          <w:rtl/>
        </w:rPr>
        <w:t xml:space="preserve">העלייה </w:t>
      </w:r>
      <w:r w:rsidR="00E81FF6" w:rsidRPr="00FD630B">
        <w:rPr>
          <w:rFonts w:ascii="David" w:hAnsi="David" w:cs="David"/>
          <w:sz w:val="24"/>
          <w:szCs w:val="24"/>
          <w:rtl/>
        </w:rPr>
        <w:t xml:space="preserve">ביתרת החוב </w:t>
      </w:r>
      <w:r w:rsidR="003054F9" w:rsidRPr="00FD630B">
        <w:rPr>
          <w:rFonts w:ascii="David" w:hAnsi="David" w:cs="David"/>
          <w:sz w:val="24"/>
          <w:szCs w:val="24"/>
          <w:rtl/>
        </w:rPr>
        <w:t>נבעה מ</w:t>
      </w:r>
      <w:r w:rsidR="00996717" w:rsidRPr="00FD630B">
        <w:rPr>
          <w:rFonts w:ascii="David" w:hAnsi="David" w:cs="David"/>
          <w:sz w:val="24"/>
          <w:szCs w:val="24"/>
          <w:rtl/>
        </w:rPr>
        <w:t>גיוס חוב נטו (תנועות)</w:t>
      </w:r>
      <w:r w:rsidR="003054F9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FD630B">
        <w:rPr>
          <w:rFonts w:ascii="David" w:hAnsi="David" w:cs="David"/>
          <w:sz w:val="24"/>
          <w:szCs w:val="24"/>
          <w:rtl/>
        </w:rPr>
        <w:t xml:space="preserve">משמעותי שהסתכם בכ-16 מיליארדי ש"ח והורכב בעיקרו מהלוואות מתושבי חוץ. עלייה זו קוזזה במקצת כתוצאה מייסוף של כ-0.7% בשער החליפין של השקל מול הדולר שהקטין את השווי של החוב הנקוב במט"ח והצמוד לו. </w:t>
      </w:r>
      <w:r w:rsidR="00864546" w:rsidRPr="00FD630B">
        <w:rPr>
          <w:rFonts w:ascii="David" w:hAnsi="David" w:cs="David"/>
          <w:sz w:val="24"/>
          <w:szCs w:val="24"/>
          <w:rtl/>
        </w:rPr>
        <w:t>(איור 1)</w:t>
      </w:r>
      <w:r w:rsidR="008E0911" w:rsidRPr="00FD630B">
        <w:rPr>
          <w:rFonts w:ascii="David" w:hAnsi="David" w:cs="David"/>
          <w:sz w:val="24"/>
          <w:szCs w:val="24"/>
          <w:rtl/>
        </w:rPr>
        <w:t>.</w:t>
      </w:r>
      <w:r w:rsidR="003054F9" w:rsidRPr="00FD630B">
        <w:rPr>
          <w:rFonts w:ascii="David" w:hAnsi="David" w:cs="David"/>
          <w:sz w:val="24"/>
          <w:szCs w:val="24"/>
          <w:rtl/>
        </w:rPr>
        <w:t xml:space="preserve"> </w:t>
      </w:r>
    </w:p>
    <w:p w:rsidR="002A51F1" w:rsidRPr="00FD630B" w:rsidRDefault="004C43DC" w:rsidP="0007712F">
      <w:pPr>
        <w:pStyle w:val="a9"/>
        <w:numPr>
          <w:ilvl w:val="0"/>
          <w:numId w:val="8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FD630B">
        <w:rPr>
          <w:rFonts w:ascii="David" w:hAnsi="David" w:cs="David"/>
          <w:sz w:val="24"/>
          <w:szCs w:val="24"/>
          <w:rtl/>
        </w:rPr>
        <w:t xml:space="preserve">ברביע </w:t>
      </w:r>
      <w:r w:rsidR="00670D97" w:rsidRPr="00FD630B">
        <w:rPr>
          <w:rFonts w:ascii="David" w:hAnsi="David" w:cs="David"/>
          <w:sz w:val="24"/>
          <w:szCs w:val="24"/>
          <w:rtl/>
        </w:rPr>
        <w:t>ה</w:t>
      </w:r>
      <w:r w:rsidR="00996717" w:rsidRPr="00FD630B">
        <w:rPr>
          <w:rFonts w:ascii="David" w:hAnsi="David" w:cs="David"/>
          <w:sz w:val="24"/>
          <w:szCs w:val="24"/>
          <w:rtl/>
        </w:rPr>
        <w:t>רביעי</w:t>
      </w:r>
      <w:r w:rsidR="00474B96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FD630B">
        <w:rPr>
          <w:rFonts w:ascii="David" w:hAnsi="David" w:cs="David"/>
          <w:sz w:val="24"/>
          <w:szCs w:val="24"/>
          <w:rtl/>
        </w:rPr>
        <w:t xml:space="preserve">של השנה 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FD630B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996717" w:rsidRPr="00FD630B">
        <w:rPr>
          <w:rFonts w:ascii="David" w:hAnsi="David" w:cs="David"/>
          <w:sz w:val="24"/>
          <w:szCs w:val="24"/>
          <w:rtl/>
        </w:rPr>
        <w:t>16</w:t>
      </w:r>
      <w:r w:rsidR="00804AEF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FD630B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FD630B">
        <w:rPr>
          <w:rFonts w:ascii="David" w:hAnsi="David" w:cs="David"/>
          <w:sz w:val="24"/>
          <w:szCs w:val="24"/>
          <w:rtl/>
        </w:rPr>
        <w:t>,</w:t>
      </w:r>
      <w:r w:rsidR="00804AEF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FD630B">
        <w:rPr>
          <w:rFonts w:ascii="David" w:hAnsi="David" w:cs="David"/>
          <w:sz w:val="24"/>
          <w:szCs w:val="24"/>
          <w:rtl/>
        </w:rPr>
        <w:t>גבוה</w:t>
      </w:r>
      <w:r w:rsidR="00A2499F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996717" w:rsidRPr="00FD630B">
        <w:rPr>
          <w:rFonts w:ascii="David" w:hAnsi="David" w:cs="David"/>
          <w:sz w:val="24"/>
          <w:szCs w:val="24"/>
          <w:rtl/>
        </w:rPr>
        <w:t>משמעותית מ</w:t>
      </w:r>
      <w:r w:rsidR="00474B96" w:rsidRPr="00FD630B">
        <w:rPr>
          <w:rFonts w:ascii="David" w:hAnsi="David" w:cs="David"/>
          <w:sz w:val="24"/>
          <w:szCs w:val="24"/>
          <w:rtl/>
        </w:rPr>
        <w:t>מ</w:t>
      </w:r>
      <w:r w:rsidR="00804AEF" w:rsidRPr="00FD630B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DA5162" w:rsidRPr="00FD630B">
        <w:rPr>
          <w:rFonts w:ascii="David" w:hAnsi="David" w:cs="David"/>
          <w:sz w:val="24"/>
          <w:szCs w:val="24"/>
          <w:rtl/>
        </w:rPr>
        <w:t>ה</w:t>
      </w:r>
      <w:r w:rsidR="00996717" w:rsidRPr="00FD630B">
        <w:rPr>
          <w:rFonts w:ascii="David" w:hAnsi="David" w:cs="David"/>
          <w:sz w:val="24"/>
          <w:szCs w:val="24"/>
          <w:rtl/>
        </w:rPr>
        <w:t>רבעוני של ארבעת הרביעים הקודמים</w:t>
      </w:r>
      <w:r w:rsidR="0007712F" w:rsidRPr="00FD630B">
        <w:rPr>
          <w:rFonts w:ascii="David" w:hAnsi="David" w:cs="David"/>
          <w:sz w:val="24"/>
          <w:szCs w:val="24"/>
          <w:rtl/>
        </w:rPr>
        <w:t xml:space="preserve"> (כ-8.6 מיליארדים בממוצע לרביע)</w:t>
      </w:r>
      <w:r w:rsidR="00A2499F" w:rsidRPr="00FD630B">
        <w:rPr>
          <w:rFonts w:ascii="David" w:hAnsi="David" w:cs="David"/>
          <w:sz w:val="24"/>
          <w:szCs w:val="24"/>
          <w:rtl/>
        </w:rPr>
        <w:t xml:space="preserve">. </w:t>
      </w:r>
      <w:r w:rsidR="00996717" w:rsidRPr="00FD630B">
        <w:rPr>
          <w:rFonts w:ascii="David" w:hAnsi="David" w:cs="David"/>
          <w:sz w:val="24"/>
          <w:szCs w:val="24"/>
          <w:rtl/>
        </w:rPr>
        <w:t>חברות מענף הנדל"ן והבינוי ממשיכות להוביל בגיוסים – כמחצית מההנפקות ברביע זה בוצעו על ידן. חברות מענף ההשקעות, עם הגיוס השני בגודלו ברביע זה, היוו כ-15% מסך הגיוס ברביע זה. בינואר 2020 הנפיק המגזר העסקי אג"ח בשווי של כ-3.6 מיליארדי ש"ח, רובן באג"ח סחירות.</w:t>
      </w:r>
      <w:r w:rsidR="00DE3E4A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070391" w:rsidRPr="00FD630B">
        <w:rPr>
          <w:rFonts w:ascii="David" w:hAnsi="David" w:cs="David"/>
          <w:sz w:val="24"/>
          <w:szCs w:val="24"/>
          <w:rtl/>
        </w:rPr>
        <w:t>(איור 3)</w:t>
      </w:r>
      <w:r w:rsidR="008E0911" w:rsidRPr="00FD630B">
        <w:rPr>
          <w:rFonts w:ascii="David" w:hAnsi="David" w:cs="David"/>
          <w:sz w:val="24"/>
          <w:szCs w:val="24"/>
          <w:rtl/>
        </w:rPr>
        <w:t>.</w:t>
      </w:r>
    </w:p>
    <w:p w:rsidR="00E44E3D" w:rsidRPr="00FD630B" w:rsidRDefault="00B17282" w:rsidP="00AC5163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FD630B">
        <w:rPr>
          <w:rFonts w:ascii="David" w:hAnsi="David" w:cs="David"/>
          <w:sz w:val="24"/>
          <w:szCs w:val="24"/>
          <w:rtl/>
        </w:rPr>
        <w:t>ברביע ה</w:t>
      </w:r>
      <w:r w:rsidR="005951B2" w:rsidRPr="00FD630B">
        <w:rPr>
          <w:rFonts w:ascii="David" w:hAnsi="David" w:cs="David"/>
          <w:sz w:val="24"/>
          <w:szCs w:val="24"/>
          <w:rtl/>
        </w:rPr>
        <w:t>רביעי</w:t>
      </w:r>
      <w:r w:rsidRPr="00FD630B">
        <w:rPr>
          <w:rFonts w:ascii="David" w:hAnsi="David" w:cs="David"/>
          <w:sz w:val="24"/>
          <w:szCs w:val="24"/>
          <w:rtl/>
        </w:rPr>
        <w:t xml:space="preserve"> של השנה </w:t>
      </w:r>
      <w:r w:rsidR="00985B74" w:rsidRPr="00FD630B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FD630B">
        <w:rPr>
          <w:rFonts w:ascii="David" w:hAnsi="David" w:cs="David"/>
          <w:b/>
          <w:bCs/>
          <w:sz w:val="24"/>
          <w:szCs w:val="24"/>
          <w:rtl/>
        </w:rPr>
        <w:t xml:space="preserve">מרווח בין תשואת </w:t>
      </w:r>
      <w:proofErr w:type="spellStart"/>
      <w:r w:rsidR="00BD4578" w:rsidRPr="00FD630B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BD4578" w:rsidRPr="00FD630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BD4578" w:rsidRPr="00FD630B">
        <w:rPr>
          <w:rFonts w:ascii="David" w:hAnsi="David" w:cs="David"/>
          <w:b/>
          <w:bCs/>
          <w:sz w:val="24"/>
          <w:szCs w:val="24"/>
          <w:rtl/>
        </w:rPr>
        <w:t>הקונצרניות</w:t>
      </w:r>
      <w:proofErr w:type="spellEnd"/>
      <w:r w:rsidR="00BD4578" w:rsidRPr="00FD630B">
        <w:rPr>
          <w:rFonts w:ascii="David" w:hAnsi="David" w:cs="David"/>
          <w:b/>
          <w:bCs/>
          <w:sz w:val="24"/>
          <w:szCs w:val="24"/>
          <w:rtl/>
        </w:rPr>
        <w:t xml:space="preserve"> הכלולות במדד</w:t>
      </w:r>
      <w:r w:rsidR="00985B74" w:rsidRPr="00FD630B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</w:t>
      </w:r>
      <w:proofErr w:type="spellStart"/>
      <w:r w:rsidR="00985B74" w:rsidRPr="00FD630B">
        <w:rPr>
          <w:rFonts w:ascii="David" w:hAnsi="David" w:cs="David"/>
          <w:b/>
          <w:bCs/>
          <w:sz w:val="24"/>
          <w:szCs w:val="24"/>
          <w:rtl/>
        </w:rPr>
        <w:t>האג"ח</w:t>
      </w:r>
      <w:proofErr w:type="spellEnd"/>
      <w:r w:rsidR="00985B74" w:rsidRPr="00FD630B">
        <w:rPr>
          <w:rFonts w:ascii="David" w:hAnsi="David" w:cs="David"/>
          <w:b/>
          <w:bCs/>
          <w:sz w:val="24"/>
          <w:szCs w:val="24"/>
          <w:rtl/>
        </w:rPr>
        <w:t xml:space="preserve"> הממשלתיות </w:t>
      </w:r>
      <w:r w:rsidR="00DA4279" w:rsidRPr="00FD630B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166C6B" w:rsidRPr="00FD630B">
        <w:rPr>
          <w:rFonts w:ascii="David" w:hAnsi="David" w:cs="David"/>
          <w:sz w:val="24"/>
          <w:szCs w:val="24"/>
          <w:rtl/>
        </w:rPr>
        <w:t>ה</w:t>
      </w:r>
      <w:r w:rsidR="00284B68" w:rsidRPr="00FD630B">
        <w:rPr>
          <w:rFonts w:ascii="David" w:hAnsi="David" w:cs="David"/>
          <w:sz w:val="24"/>
          <w:szCs w:val="24"/>
          <w:rtl/>
        </w:rPr>
        <w:t>צטמצם</w:t>
      </w:r>
      <w:r w:rsidR="009B7097" w:rsidRPr="00FD630B">
        <w:rPr>
          <w:rFonts w:ascii="David" w:hAnsi="David" w:cs="David"/>
          <w:sz w:val="24"/>
          <w:szCs w:val="24"/>
          <w:rtl/>
        </w:rPr>
        <w:t xml:space="preserve"> בכ-</w:t>
      </w:r>
      <w:r w:rsidR="00F35A1F" w:rsidRPr="00FD630B">
        <w:rPr>
          <w:rFonts w:ascii="David" w:hAnsi="David" w:cs="David"/>
          <w:sz w:val="24"/>
          <w:szCs w:val="24"/>
          <w:rtl/>
        </w:rPr>
        <w:t>0.2</w:t>
      </w:r>
      <w:r w:rsidR="005B77A0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9B7097" w:rsidRPr="00FD630B">
        <w:rPr>
          <w:rFonts w:ascii="David" w:hAnsi="David" w:cs="David"/>
          <w:sz w:val="24"/>
          <w:szCs w:val="24"/>
          <w:rtl/>
        </w:rPr>
        <w:t>נק' האחוז</w:t>
      </w:r>
      <w:r w:rsidR="00DA4279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416818" w:rsidRPr="00FD630B">
        <w:rPr>
          <w:rFonts w:ascii="David" w:hAnsi="David" w:cs="David"/>
          <w:sz w:val="24"/>
          <w:szCs w:val="24"/>
          <w:rtl/>
        </w:rPr>
        <w:t>ל</w:t>
      </w:r>
      <w:r w:rsidR="002C2286" w:rsidRPr="00FD630B">
        <w:rPr>
          <w:rFonts w:ascii="David" w:hAnsi="David" w:cs="David"/>
          <w:sz w:val="24"/>
          <w:szCs w:val="24"/>
          <w:rtl/>
        </w:rPr>
        <w:t>כ-</w:t>
      </w:r>
      <w:r w:rsidR="00F35A1F" w:rsidRPr="00FD630B">
        <w:rPr>
          <w:rFonts w:ascii="David" w:hAnsi="David" w:cs="David"/>
          <w:sz w:val="24"/>
          <w:szCs w:val="24"/>
          <w:rtl/>
        </w:rPr>
        <w:t>0.9</w:t>
      </w:r>
      <w:r w:rsidRPr="00FD630B">
        <w:rPr>
          <w:rFonts w:ascii="David" w:hAnsi="David" w:cs="David"/>
          <w:sz w:val="24"/>
          <w:szCs w:val="24"/>
          <w:rtl/>
        </w:rPr>
        <w:t xml:space="preserve"> נק' האחוז</w:t>
      </w:r>
      <w:r w:rsidR="002C2286" w:rsidRPr="00FD630B">
        <w:rPr>
          <w:rFonts w:ascii="David" w:hAnsi="David" w:cs="David"/>
          <w:sz w:val="24"/>
          <w:szCs w:val="24"/>
          <w:rtl/>
        </w:rPr>
        <w:t xml:space="preserve">, </w:t>
      </w:r>
      <w:r w:rsidR="00E108C6" w:rsidRPr="00FD630B">
        <w:rPr>
          <w:rFonts w:ascii="David" w:hAnsi="David" w:cs="David"/>
          <w:sz w:val="24"/>
          <w:szCs w:val="24"/>
          <w:rtl/>
        </w:rPr>
        <w:t xml:space="preserve">זאת </w:t>
      </w:r>
      <w:r w:rsidR="005B77A0" w:rsidRPr="00FD630B">
        <w:rPr>
          <w:rFonts w:ascii="David" w:hAnsi="David" w:cs="David"/>
          <w:sz w:val="24"/>
          <w:szCs w:val="24"/>
          <w:rtl/>
        </w:rPr>
        <w:t xml:space="preserve">בהמשך להצטמצמות שנרשמה </w:t>
      </w:r>
      <w:r w:rsidR="00F35A1F" w:rsidRPr="00FD630B">
        <w:rPr>
          <w:rFonts w:ascii="David" w:hAnsi="David" w:cs="David"/>
          <w:sz w:val="24"/>
          <w:szCs w:val="24"/>
          <w:rtl/>
        </w:rPr>
        <w:t>בשלושת הרבעים</w:t>
      </w:r>
      <w:r w:rsidR="00A2499F" w:rsidRPr="00FD630B">
        <w:rPr>
          <w:rFonts w:ascii="David" w:hAnsi="David" w:cs="David"/>
          <w:sz w:val="24"/>
          <w:szCs w:val="24"/>
          <w:rtl/>
        </w:rPr>
        <w:t xml:space="preserve"> הקודמים</w:t>
      </w:r>
      <w:r w:rsidR="004169F7" w:rsidRPr="00FD630B">
        <w:rPr>
          <w:rFonts w:ascii="David" w:hAnsi="David" w:cs="David"/>
          <w:sz w:val="24"/>
          <w:szCs w:val="24"/>
          <w:rtl/>
        </w:rPr>
        <w:t xml:space="preserve">. </w:t>
      </w:r>
      <w:r w:rsidR="008E7A02" w:rsidRPr="00FD630B">
        <w:rPr>
          <w:rFonts w:ascii="David" w:hAnsi="David" w:cs="David"/>
          <w:sz w:val="24"/>
          <w:szCs w:val="24"/>
          <w:rtl/>
        </w:rPr>
        <w:t>ב</w:t>
      </w:r>
      <w:r w:rsidR="00F35A1F" w:rsidRPr="00FD630B">
        <w:rPr>
          <w:rFonts w:ascii="David" w:hAnsi="David" w:cs="David"/>
          <w:sz w:val="24"/>
          <w:szCs w:val="24"/>
          <w:rtl/>
        </w:rPr>
        <w:t>ינואר 2020</w:t>
      </w:r>
      <w:r w:rsidR="008E7A02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AC5163" w:rsidRPr="00FD630B">
        <w:rPr>
          <w:rFonts w:ascii="David" w:hAnsi="David" w:cs="David"/>
          <w:sz w:val="24"/>
          <w:szCs w:val="24"/>
          <w:rtl/>
        </w:rPr>
        <w:t xml:space="preserve">חלה התרחבות קלה במרווח </w:t>
      </w:r>
      <w:r w:rsidR="002777F9" w:rsidRPr="00FD630B">
        <w:rPr>
          <w:rFonts w:ascii="David" w:hAnsi="David" w:cs="David"/>
          <w:sz w:val="24"/>
          <w:szCs w:val="24"/>
          <w:rtl/>
        </w:rPr>
        <w:t xml:space="preserve">זה </w:t>
      </w:r>
      <w:r w:rsidR="00416818" w:rsidRPr="00FD630B">
        <w:rPr>
          <w:rFonts w:ascii="David" w:hAnsi="David" w:cs="David"/>
          <w:sz w:val="24"/>
          <w:szCs w:val="24"/>
          <w:rtl/>
        </w:rPr>
        <w:t>עד ל</w:t>
      </w:r>
      <w:r w:rsidR="00284B68" w:rsidRPr="00FD630B">
        <w:rPr>
          <w:rFonts w:ascii="David" w:hAnsi="David" w:cs="David"/>
          <w:sz w:val="24"/>
          <w:szCs w:val="24"/>
          <w:rtl/>
        </w:rPr>
        <w:t xml:space="preserve">רמה של </w:t>
      </w:r>
      <w:r w:rsidR="002C2286" w:rsidRPr="00FD630B">
        <w:rPr>
          <w:rFonts w:ascii="David" w:hAnsi="David" w:cs="David"/>
          <w:sz w:val="24"/>
          <w:szCs w:val="24"/>
          <w:rtl/>
        </w:rPr>
        <w:t>כ-</w:t>
      </w:r>
      <w:r w:rsidR="00AC5163" w:rsidRPr="00FD630B">
        <w:rPr>
          <w:rFonts w:ascii="David" w:hAnsi="David" w:cs="David"/>
          <w:sz w:val="24"/>
          <w:szCs w:val="24"/>
          <w:rtl/>
        </w:rPr>
        <w:t xml:space="preserve">1 </w:t>
      </w:r>
      <w:r w:rsidR="002C2286" w:rsidRPr="00FD630B">
        <w:rPr>
          <w:rFonts w:ascii="David" w:hAnsi="David" w:cs="David"/>
          <w:sz w:val="24"/>
          <w:szCs w:val="24"/>
          <w:rtl/>
        </w:rPr>
        <w:t>נק' האחוז</w:t>
      </w:r>
      <w:r w:rsidR="008E7A02" w:rsidRPr="00FD630B">
        <w:rPr>
          <w:rFonts w:ascii="David" w:hAnsi="David" w:cs="David"/>
          <w:sz w:val="24"/>
          <w:szCs w:val="24"/>
          <w:rtl/>
        </w:rPr>
        <w:t>.</w:t>
      </w:r>
      <w:r w:rsidR="00070391" w:rsidRPr="00FD630B">
        <w:rPr>
          <w:rFonts w:ascii="David" w:hAnsi="David" w:cs="David"/>
          <w:sz w:val="24"/>
          <w:szCs w:val="24"/>
          <w:rtl/>
        </w:rPr>
        <w:t xml:space="preserve"> (איור 4)</w:t>
      </w:r>
      <w:r w:rsidR="008E0911" w:rsidRPr="00FD630B">
        <w:rPr>
          <w:rFonts w:ascii="David" w:hAnsi="David" w:cs="David"/>
          <w:sz w:val="24"/>
          <w:szCs w:val="24"/>
          <w:rtl/>
        </w:rPr>
        <w:t>.</w:t>
      </w:r>
    </w:p>
    <w:p w:rsidR="00AC3E61" w:rsidRPr="00FD630B" w:rsidRDefault="00AC3E61" w:rsidP="001E78A9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FD630B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FD630B">
        <w:rPr>
          <w:rFonts w:ascii="David" w:hAnsi="David" w:cs="David"/>
          <w:b/>
          <w:bCs/>
          <w:rtl/>
        </w:rPr>
        <w:t xml:space="preserve"> הלא-פיננסי</w:t>
      </w:r>
      <w:r w:rsidR="0012175B" w:rsidRPr="00FD630B">
        <w:rPr>
          <w:rFonts w:ascii="David" w:hAnsi="David" w:cs="David"/>
          <w:vertAlign w:val="superscript"/>
          <w:rtl/>
        </w:rPr>
        <w:t>1</w:t>
      </w:r>
      <w:r w:rsidR="00303DA6" w:rsidRPr="00FD630B">
        <w:rPr>
          <w:rFonts w:ascii="David" w:hAnsi="David" w:cs="David"/>
          <w:vertAlign w:val="superscript"/>
          <w:rtl/>
        </w:rPr>
        <w:t xml:space="preserve"> </w:t>
      </w:r>
    </w:p>
    <w:p w:rsidR="002A60C4" w:rsidRPr="00FD630B" w:rsidRDefault="00B049ED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  <w:r w:rsidRPr="00FD630B">
        <w:rPr>
          <w:rFonts w:ascii="David" w:hAnsi="David" w:cs="David"/>
          <w:noProof/>
          <w:rtl/>
        </w:rPr>
        <w:lastRenderedPageBreak/>
        <w:drawing>
          <wp:inline distT="0" distB="0" distL="0" distR="0">
            <wp:extent cx="5278120" cy="2410635"/>
            <wp:effectExtent l="0" t="0" r="0" b="8890"/>
            <wp:docPr id="2" name="תמונה 2" descr="התפלגות החוב של המגזר העסקי הלא-פיננסי" title="התפלגות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FD630B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  <w:b/>
          <w:bCs/>
          <w:rtl/>
        </w:rPr>
      </w:pPr>
    </w:p>
    <w:p w:rsidR="00AC3E61" w:rsidRPr="00FD630B" w:rsidRDefault="00AC3E61" w:rsidP="00374BF3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FD630B">
        <w:rPr>
          <w:rFonts w:ascii="David" w:hAnsi="David" w:cs="David"/>
          <w:b/>
          <w:bCs/>
          <w:rtl/>
        </w:rPr>
        <w:t xml:space="preserve">איור 1: </w:t>
      </w:r>
      <w:r w:rsidR="00AD3F98" w:rsidRPr="00FD630B">
        <w:rPr>
          <w:rFonts w:ascii="David" w:hAnsi="David" w:cs="David"/>
          <w:b/>
          <w:bCs/>
          <w:rtl/>
        </w:rPr>
        <w:t xml:space="preserve">אומדן </w:t>
      </w:r>
      <w:r w:rsidR="00374BF3" w:rsidRPr="00FD630B">
        <w:rPr>
          <w:rFonts w:ascii="David" w:hAnsi="David" w:cs="David"/>
          <w:b/>
          <w:bCs/>
          <w:rtl/>
        </w:rPr>
        <w:t>לתנועות של סך ה</w:t>
      </w:r>
      <w:r w:rsidR="00AD3F98" w:rsidRPr="00FD630B">
        <w:rPr>
          <w:rFonts w:ascii="David" w:hAnsi="David" w:cs="David"/>
          <w:b/>
          <w:bCs/>
          <w:rtl/>
        </w:rPr>
        <w:t>חוב של</w:t>
      </w:r>
      <w:r w:rsidRPr="00FD630B">
        <w:rPr>
          <w:rFonts w:ascii="David" w:hAnsi="David" w:cs="David"/>
          <w:b/>
          <w:bCs/>
          <w:rtl/>
        </w:rPr>
        <w:t xml:space="preserve"> </w:t>
      </w:r>
      <w:r w:rsidR="0004490E" w:rsidRPr="00FD630B">
        <w:rPr>
          <w:rFonts w:ascii="David" w:hAnsi="David" w:cs="David"/>
          <w:b/>
          <w:bCs/>
          <w:rtl/>
        </w:rPr>
        <w:t>המגזר</w:t>
      </w:r>
      <w:r w:rsidR="00AD3F98" w:rsidRPr="00FD630B">
        <w:rPr>
          <w:rFonts w:ascii="David" w:hAnsi="David" w:cs="David"/>
          <w:b/>
          <w:bCs/>
          <w:rtl/>
        </w:rPr>
        <w:t xml:space="preserve"> העסקי </w:t>
      </w:r>
      <w:r w:rsidR="001E78A9" w:rsidRPr="00FD630B">
        <w:rPr>
          <w:rFonts w:ascii="David" w:hAnsi="David" w:cs="David"/>
          <w:b/>
          <w:bCs/>
          <w:rtl/>
        </w:rPr>
        <w:t>הלא-פיננסי</w:t>
      </w:r>
    </w:p>
    <w:p w:rsidR="002A60C4" w:rsidRPr="00FD630B" w:rsidRDefault="00B8401D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AB1F3F8">
            <wp:extent cx="5328285" cy="2871470"/>
            <wp:effectExtent l="0" t="0" r="5715" b="5080"/>
            <wp:docPr id="22" name="תמונה 22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FD630B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602E8" w:rsidRPr="00FD630B" w:rsidRDefault="00D602E8">
      <w:pPr>
        <w:spacing w:after="200" w:line="276" w:lineRule="auto"/>
        <w:rPr>
          <w:rFonts w:ascii="David" w:hAnsi="David" w:cs="David"/>
          <w:b/>
          <w:bCs/>
          <w:sz w:val="24"/>
          <w:szCs w:val="24"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675551" w:rsidRPr="00FD630B" w:rsidRDefault="00675551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lastRenderedPageBreak/>
        <w:t>איור 2: שיעורי השינוי לעומת הרביע המקביל בשנה הקודמת בחוב הבנקאי והחוץ-בנקאי של המגזר העסקי</w:t>
      </w:r>
      <w:r w:rsidR="001E78A9" w:rsidRPr="00FD630B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FD630B" w:rsidRDefault="00BD69F9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71FD179">
            <wp:extent cx="5292090" cy="2603500"/>
            <wp:effectExtent l="0" t="0" r="3810" b="6350"/>
            <wp:docPr id="7" name="תמונה 7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50A" w:rsidRPr="00FD630B" w:rsidRDefault="00C9450A" w:rsidP="0067555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FD630B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FD630B">
        <w:rPr>
          <w:rFonts w:ascii="David" w:hAnsi="David" w:cs="David"/>
          <w:b/>
          <w:bCs/>
          <w:sz w:val="24"/>
          <w:szCs w:val="24"/>
        </w:rPr>
        <w:t>3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FD630B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FD630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FD630B" w:rsidRDefault="00B049ED" w:rsidP="001F1E1B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E47E4D4">
            <wp:extent cx="5212715" cy="2962910"/>
            <wp:effectExtent l="0" t="0" r="6985" b="8890"/>
            <wp:docPr id="3" name="תמונה 3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6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FD630B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FD630B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FD630B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2499F" w:rsidRPr="00FD630B" w:rsidRDefault="00A2499F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5413E" w:rsidRPr="00FD630B" w:rsidRDefault="0045413E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522BB0" w:rsidRPr="00FD630B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FD630B">
        <w:rPr>
          <w:rFonts w:ascii="David" w:hAnsi="David" w:cs="David"/>
          <w:b/>
          <w:bCs/>
          <w:sz w:val="24"/>
          <w:szCs w:val="24"/>
        </w:rPr>
        <w:t>4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FD630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FD630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FD630B">
        <w:rPr>
          <w:rFonts w:ascii="David" w:hAnsi="David" w:cs="David"/>
          <w:b/>
          <w:bCs/>
          <w:sz w:val="24"/>
          <w:szCs w:val="24"/>
          <w:rtl/>
        </w:rPr>
        <w:t>ות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FD630B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FD630B" w:rsidRDefault="00BD69F9" w:rsidP="00522BB0">
      <w:pPr>
        <w:pStyle w:val="a9"/>
        <w:bidi/>
        <w:spacing w:line="360" w:lineRule="auto"/>
        <w:ind w:left="-52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AAFD102">
            <wp:extent cx="5316220" cy="2743200"/>
            <wp:effectExtent l="0" t="0" r="0" b="0"/>
            <wp:docPr id="4" name="תמונה 4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FD630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9F574F" w:rsidRPr="00FD630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FD630B">
        <w:rPr>
          <w:rStyle w:val="10"/>
          <w:rFonts w:ascii="David" w:hAnsi="David" w:cs="David"/>
          <w:rtl/>
        </w:rPr>
        <w:t>החוב של משקי הבית</w:t>
      </w:r>
    </w:p>
    <w:p w:rsidR="00D01EC4" w:rsidRPr="00FD630B" w:rsidRDefault="002319C1" w:rsidP="00F55D76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t>יתרת החוב של משקי הבית</w:t>
      </w:r>
      <w:r w:rsidRPr="00FD630B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FD630B">
        <w:rPr>
          <w:rFonts w:ascii="David" w:hAnsi="David" w:cs="David"/>
          <w:sz w:val="24"/>
          <w:szCs w:val="24"/>
          <w:rtl/>
        </w:rPr>
        <w:t>גדלה</w:t>
      </w:r>
      <w:r w:rsidR="0004490E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7A39D0" w:rsidRPr="00FD630B">
        <w:rPr>
          <w:rFonts w:ascii="David" w:hAnsi="David" w:cs="David"/>
          <w:sz w:val="24"/>
          <w:szCs w:val="24"/>
          <w:rtl/>
        </w:rPr>
        <w:t>ב</w:t>
      </w:r>
      <w:r w:rsidR="00DA070E" w:rsidRPr="00FD630B">
        <w:rPr>
          <w:rFonts w:ascii="David" w:hAnsi="David" w:cs="David"/>
          <w:sz w:val="24"/>
          <w:szCs w:val="24"/>
          <w:rtl/>
        </w:rPr>
        <w:t xml:space="preserve">רביע </w:t>
      </w:r>
      <w:r w:rsidR="00CF24FB" w:rsidRPr="00FD630B">
        <w:rPr>
          <w:rFonts w:ascii="David" w:hAnsi="David" w:cs="David"/>
          <w:sz w:val="24"/>
          <w:szCs w:val="24"/>
          <w:rtl/>
        </w:rPr>
        <w:t>ה</w:t>
      </w:r>
      <w:r w:rsidR="008E0911" w:rsidRPr="00FD630B">
        <w:rPr>
          <w:rFonts w:ascii="David" w:hAnsi="David" w:cs="David"/>
          <w:sz w:val="24"/>
          <w:szCs w:val="24"/>
          <w:rtl/>
        </w:rPr>
        <w:t>רביעי</w:t>
      </w:r>
      <w:r w:rsidR="00182968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04490E" w:rsidRPr="00FD630B">
        <w:rPr>
          <w:rFonts w:ascii="David" w:hAnsi="David" w:cs="David"/>
          <w:sz w:val="24"/>
          <w:szCs w:val="24"/>
          <w:rtl/>
        </w:rPr>
        <w:t xml:space="preserve">של שנת </w:t>
      </w:r>
      <w:r w:rsidR="00182968" w:rsidRPr="00FD630B">
        <w:rPr>
          <w:rFonts w:ascii="David" w:hAnsi="David" w:cs="David"/>
          <w:sz w:val="24"/>
          <w:szCs w:val="24"/>
          <w:rtl/>
        </w:rPr>
        <w:t>2019</w:t>
      </w:r>
      <w:r w:rsidR="0004490E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54512E" w:rsidRPr="00FD630B">
        <w:rPr>
          <w:rFonts w:ascii="David" w:hAnsi="David" w:cs="David"/>
          <w:sz w:val="24"/>
          <w:szCs w:val="24"/>
          <w:rtl/>
        </w:rPr>
        <w:t xml:space="preserve">לרמה של </w:t>
      </w:r>
      <w:r w:rsidR="0004490E" w:rsidRPr="00FD630B">
        <w:rPr>
          <w:rFonts w:ascii="David" w:hAnsi="David" w:cs="David"/>
          <w:sz w:val="24"/>
          <w:szCs w:val="24"/>
          <w:rtl/>
        </w:rPr>
        <w:t>כ-</w:t>
      </w:r>
      <w:r w:rsidR="008E0911" w:rsidRPr="00FD630B">
        <w:rPr>
          <w:rFonts w:ascii="David" w:hAnsi="David" w:cs="David"/>
          <w:sz w:val="24"/>
          <w:szCs w:val="24"/>
          <w:rtl/>
        </w:rPr>
        <w:t>588</w:t>
      </w:r>
      <w:r w:rsidR="0004490E" w:rsidRPr="00FD630B">
        <w:rPr>
          <w:rFonts w:ascii="David" w:hAnsi="David" w:cs="David"/>
          <w:sz w:val="24"/>
          <w:szCs w:val="24"/>
          <w:rtl/>
        </w:rPr>
        <w:t xml:space="preserve"> מיליארדי</w:t>
      </w:r>
      <w:r w:rsidR="008E0911" w:rsidRPr="00FD630B">
        <w:rPr>
          <w:rFonts w:ascii="David" w:hAnsi="David" w:cs="David"/>
          <w:sz w:val="24"/>
          <w:szCs w:val="24"/>
          <w:rtl/>
        </w:rPr>
        <w:t xml:space="preserve"> ש"ח - עלייה של כ-7 מיליארדים (1.2%) שמרביתה (כ-6 מיליארדים) ביתרת </w:t>
      </w:r>
      <w:r w:rsidR="008E0911" w:rsidRPr="00FD630B">
        <w:rPr>
          <w:rFonts w:ascii="David" w:hAnsi="David" w:cs="David"/>
          <w:b/>
          <w:bCs/>
          <w:sz w:val="24"/>
          <w:szCs w:val="24"/>
          <w:rtl/>
        </w:rPr>
        <w:t>החוב לדיור</w:t>
      </w:r>
      <w:r w:rsidR="008E0911" w:rsidRPr="00FD630B">
        <w:rPr>
          <w:rFonts w:ascii="David" w:hAnsi="David" w:cs="David"/>
          <w:sz w:val="24"/>
          <w:szCs w:val="24"/>
          <w:rtl/>
        </w:rPr>
        <w:t>;</w:t>
      </w:r>
      <w:r w:rsidR="008E0911" w:rsidRPr="00FD630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0911" w:rsidRPr="00FD630B">
        <w:rPr>
          <w:rFonts w:ascii="David" w:hAnsi="David" w:cs="David"/>
          <w:sz w:val="24"/>
          <w:szCs w:val="24"/>
          <w:rtl/>
        </w:rPr>
        <w:t>יתרת</w:t>
      </w:r>
      <w:r w:rsidR="008E0911" w:rsidRPr="00FD630B">
        <w:rPr>
          <w:rFonts w:ascii="David" w:hAnsi="David" w:cs="David"/>
          <w:b/>
          <w:bCs/>
          <w:sz w:val="24"/>
          <w:szCs w:val="24"/>
          <w:rtl/>
        </w:rPr>
        <w:t xml:space="preserve"> החוב שלא לדיור</w:t>
      </w:r>
      <w:r w:rsidR="008E0911" w:rsidRPr="00FD630B">
        <w:rPr>
          <w:rFonts w:ascii="David" w:hAnsi="David" w:cs="David"/>
          <w:sz w:val="24"/>
          <w:szCs w:val="24"/>
          <w:rtl/>
        </w:rPr>
        <w:t xml:space="preserve"> נותרה כמעט ללא שינוי והסתכמה ב</w:t>
      </w:r>
      <w:r w:rsidR="007632BD" w:rsidRPr="00FD630B">
        <w:rPr>
          <w:rFonts w:ascii="David" w:hAnsi="David" w:cs="David"/>
          <w:sz w:val="24"/>
          <w:szCs w:val="24"/>
          <w:rtl/>
        </w:rPr>
        <w:t>כ</w:t>
      </w:r>
      <w:r w:rsidR="008E0911" w:rsidRPr="00FD630B">
        <w:rPr>
          <w:rFonts w:ascii="David" w:hAnsi="David" w:cs="David"/>
          <w:sz w:val="24"/>
          <w:szCs w:val="24"/>
          <w:rtl/>
        </w:rPr>
        <w:t xml:space="preserve">-202 מיליארדי ש"ח. ברביע זה חלה ירידה בשיעור השינוי השנתי של יתרת החוב שלא לדיור, </w:t>
      </w:r>
      <w:r w:rsidR="00F55D76" w:rsidRPr="00FD630B">
        <w:rPr>
          <w:rFonts w:ascii="David" w:hAnsi="David" w:cs="David"/>
          <w:sz w:val="24"/>
          <w:szCs w:val="24"/>
          <w:rtl/>
        </w:rPr>
        <w:t>לאחר עלייה בו ב</w:t>
      </w:r>
      <w:r w:rsidR="008E0911" w:rsidRPr="00FD630B">
        <w:rPr>
          <w:rFonts w:ascii="David" w:hAnsi="David" w:cs="David"/>
          <w:sz w:val="24"/>
          <w:szCs w:val="24"/>
          <w:rtl/>
        </w:rPr>
        <w:t>רביע הקודם, וב</w:t>
      </w:r>
      <w:r w:rsidR="00F55D76" w:rsidRPr="00FD630B">
        <w:rPr>
          <w:rFonts w:ascii="David" w:hAnsi="David" w:cs="David"/>
          <w:sz w:val="24"/>
          <w:szCs w:val="24"/>
          <w:rtl/>
        </w:rPr>
        <w:t>התאם למגמה שנרשמה בשנים קודם לכן</w:t>
      </w:r>
      <w:r w:rsidR="008E0911" w:rsidRPr="00FD630B">
        <w:rPr>
          <w:rFonts w:ascii="David" w:hAnsi="David" w:cs="David"/>
          <w:sz w:val="24"/>
          <w:szCs w:val="24"/>
          <w:rtl/>
        </w:rPr>
        <w:t xml:space="preserve">. </w:t>
      </w:r>
      <w:r w:rsidR="00D01EC4" w:rsidRPr="00FD630B">
        <w:rPr>
          <w:rFonts w:ascii="David" w:hAnsi="David" w:cs="David"/>
          <w:sz w:val="24"/>
          <w:szCs w:val="24"/>
          <w:rtl/>
        </w:rPr>
        <w:t xml:space="preserve">(איור </w:t>
      </w:r>
      <w:r w:rsidR="00B42CE6" w:rsidRPr="00FD630B">
        <w:rPr>
          <w:rFonts w:ascii="David" w:hAnsi="David" w:cs="David"/>
          <w:sz w:val="24"/>
          <w:szCs w:val="24"/>
          <w:rtl/>
        </w:rPr>
        <w:t>5</w:t>
      </w:r>
      <w:r w:rsidR="008E0911" w:rsidRPr="00FD630B">
        <w:rPr>
          <w:rFonts w:ascii="David" w:hAnsi="David" w:cs="David"/>
          <w:sz w:val="24"/>
          <w:szCs w:val="24"/>
          <w:rtl/>
        </w:rPr>
        <w:t>).</w:t>
      </w:r>
      <w:r w:rsidR="00D01EC4" w:rsidRPr="00FD630B">
        <w:rPr>
          <w:rFonts w:ascii="David" w:hAnsi="David" w:cs="David"/>
          <w:sz w:val="24"/>
          <w:szCs w:val="24"/>
          <w:rtl/>
        </w:rPr>
        <w:t xml:space="preserve"> </w:t>
      </w:r>
    </w:p>
    <w:p w:rsidR="006B0BAE" w:rsidRPr="00FD630B" w:rsidRDefault="00AB31EF" w:rsidP="00DA4977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sz w:val="24"/>
          <w:szCs w:val="24"/>
          <w:rtl/>
        </w:rPr>
        <w:t xml:space="preserve">ברביע </w:t>
      </w:r>
      <w:r w:rsidR="00CF24FB" w:rsidRPr="00FD630B">
        <w:rPr>
          <w:rFonts w:ascii="David" w:hAnsi="David" w:cs="David"/>
          <w:sz w:val="24"/>
          <w:szCs w:val="24"/>
          <w:rtl/>
        </w:rPr>
        <w:t>ה</w:t>
      </w:r>
      <w:r w:rsidR="00121197" w:rsidRPr="00FD630B">
        <w:rPr>
          <w:rFonts w:ascii="David" w:hAnsi="David" w:cs="David"/>
          <w:sz w:val="24"/>
          <w:szCs w:val="24"/>
          <w:rtl/>
        </w:rPr>
        <w:t>רביע</w:t>
      </w:r>
      <w:r w:rsidR="00645D90" w:rsidRPr="00FD630B">
        <w:rPr>
          <w:rFonts w:ascii="David" w:hAnsi="David" w:cs="David"/>
          <w:sz w:val="24"/>
          <w:szCs w:val="24"/>
          <w:rtl/>
        </w:rPr>
        <w:t>י</w:t>
      </w:r>
      <w:r w:rsidR="001F50C9" w:rsidRPr="00FD630B">
        <w:rPr>
          <w:rFonts w:ascii="David" w:hAnsi="David" w:cs="David"/>
          <w:sz w:val="24"/>
          <w:szCs w:val="24"/>
          <w:rtl/>
        </w:rPr>
        <w:t xml:space="preserve"> </w:t>
      </w:r>
      <w:r w:rsidRPr="00FD630B">
        <w:rPr>
          <w:rFonts w:ascii="David" w:hAnsi="David" w:cs="David"/>
          <w:sz w:val="24"/>
          <w:szCs w:val="24"/>
          <w:rtl/>
        </w:rPr>
        <w:t xml:space="preserve">של שנת </w:t>
      </w:r>
      <w:r w:rsidR="001F50C9" w:rsidRPr="00FD630B">
        <w:rPr>
          <w:rFonts w:ascii="David" w:hAnsi="David" w:cs="David"/>
          <w:sz w:val="24"/>
          <w:szCs w:val="24"/>
          <w:rtl/>
        </w:rPr>
        <w:t>2019</w:t>
      </w:r>
      <w:r w:rsidRPr="00FD630B">
        <w:rPr>
          <w:rFonts w:ascii="David" w:hAnsi="David" w:cs="David"/>
          <w:sz w:val="24"/>
          <w:szCs w:val="24"/>
          <w:rtl/>
        </w:rPr>
        <w:t xml:space="preserve"> </w:t>
      </w:r>
      <w:r w:rsidR="00045838" w:rsidRPr="00FD630B">
        <w:rPr>
          <w:rFonts w:ascii="David" w:hAnsi="David" w:cs="David"/>
          <w:sz w:val="24"/>
          <w:szCs w:val="24"/>
          <w:rtl/>
        </w:rPr>
        <w:t>נטילת</w:t>
      </w:r>
      <w:r w:rsidR="003138AF" w:rsidRPr="00FD630B">
        <w:rPr>
          <w:rFonts w:ascii="David" w:hAnsi="David" w:cs="David"/>
          <w:sz w:val="24"/>
          <w:szCs w:val="24"/>
          <w:rtl/>
        </w:rPr>
        <w:t xml:space="preserve"> משכנתאות</w:t>
      </w:r>
      <w:r w:rsidR="00D46A28" w:rsidRPr="00FD630B">
        <w:rPr>
          <w:rFonts w:ascii="David" w:hAnsi="David" w:cs="David"/>
          <w:sz w:val="24"/>
          <w:szCs w:val="24"/>
          <w:rtl/>
        </w:rPr>
        <w:t xml:space="preserve"> חדשות</w:t>
      </w:r>
      <w:r w:rsidR="003138AF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162787" w:rsidRPr="00FD630B">
        <w:rPr>
          <w:rFonts w:ascii="David" w:hAnsi="David" w:cs="David"/>
          <w:sz w:val="24"/>
          <w:szCs w:val="24"/>
          <w:rtl/>
        </w:rPr>
        <w:t xml:space="preserve">הסתכמה </w:t>
      </w:r>
      <w:r w:rsidRPr="00FD630B">
        <w:rPr>
          <w:rFonts w:ascii="David" w:hAnsi="David" w:cs="David"/>
          <w:sz w:val="24"/>
          <w:szCs w:val="24"/>
          <w:rtl/>
        </w:rPr>
        <w:t>בכ-</w:t>
      </w:r>
      <w:r w:rsidR="00121197" w:rsidRPr="00FD630B">
        <w:rPr>
          <w:rFonts w:ascii="David" w:hAnsi="David" w:cs="David"/>
          <w:sz w:val="24"/>
          <w:szCs w:val="24"/>
          <w:rtl/>
        </w:rPr>
        <w:t>17.2</w:t>
      </w:r>
      <w:r w:rsidR="00045838" w:rsidRPr="00FD630B">
        <w:rPr>
          <w:rFonts w:ascii="David" w:hAnsi="David" w:cs="David"/>
          <w:sz w:val="24"/>
          <w:szCs w:val="24"/>
          <w:rtl/>
        </w:rPr>
        <w:t xml:space="preserve"> מיליארדי </w:t>
      </w:r>
      <w:r w:rsidR="003A5570" w:rsidRPr="00FD630B">
        <w:rPr>
          <w:rFonts w:ascii="David" w:hAnsi="David" w:cs="David"/>
          <w:sz w:val="24"/>
          <w:szCs w:val="24"/>
          <w:rtl/>
        </w:rPr>
        <w:t>ש"ח,</w:t>
      </w:r>
      <w:r w:rsidR="00045838" w:rsidRPr="00FD630B">
        <w:rPr>
          <w:rFonts w:ascii="David" w:hAnsi="David" w:cs="David"/>
          <w:sz w:val="24"/>
          <w:szCs w:val="24"/>
          <w:rtl/>
        </w:rPr>
        <w:t xml:space="preserve"> גבוה</w:t>
      </w:r>
      <w:r w:rsidRPr="00FD630B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FD630B">
        <w:rPr>
          <w:rFonts w:ascii="David" w:hAnsi="David" w:cs="David"/>
          <w:sz w:val="24"/>
          <w:szCs w:val="24"/>
          <w:rtl/>
        </w:rPr>
        <w:t>מה</w:t>
      </w:r>
      <w:r w:rsidRPr="00FD630B">
        <w:rPr>
          <w:rFonts w:ascii="David" w:hAnsi="David" w:cs="David"/>
          <w:sz w:val="24"/>
          <w:szCs w:val="24"/>
          <w:rtl/>
        </w:rPr>
        <w:t>תקופה המקבילה אשתקד</w:t>
      </w:r>
      <w:r w:rsidR="00CF24FB" w:rsidRPr="00FD630B">
        <w:rPr>
          <w:rFonts w:ascii="David" w:hAnsi="David" w:cs="David"/>
          <w:sz w:val="24"/>
          <w:szCs w:val="24"/>
          <w:rtl/>
        </w:rPr>
        <w:t xml:space="preserve"> (</w:t>
      </w:r>
      <w:r w:rsidR="00CC2676" w:rsidRPr="00FD630B">
        <w:rPr>
          <w:rFonts w:ascii="David" w:hAnsi="David" w:cs="David"/>
          <w:sz w:val="24"/>
          <w:szCs w:val="24"/>
          <w:rtl/>
        </w:rPr>
        <w:t>כ-</w:t>
      </w:r>
      <w:r w:rsidR="00121197" w:rsidRPr="00FD630B">
        <w:rPr>
          <w:rFonts w:ascii="David" w:hAnsi="David" w:cs="David"/>
          <w:sz w:val="24"/>
          <w:szCs w:val="24"/>
          <w:rtl/>
        </w:rPr>
        <w:t>15.9</w:t>
      </w:r>
      <w:r w:rsidR="00221420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CF24FB" w:rsidRPr="00FD630B">
        <w:rPr>
          <w:rFonts w:ascii="David" w:hAnsi="David" w:cs="David"/>
          <w:sz w:val="24"/>
          <w:szCs w:val="24"/>
          <w:rtl/>
        </w:rPr>
        <w:t>מיליארדים)</w:t>
      </w:r>
      <w:r w:rsidR="000E45F2" w:rsidRPr="00FD630B">
        <w:rPr>
          <w:rFonts w:ascii="David" w:hAnsi="David" w:cs="David"/>
          <w:sz w:val="24"/>
          <w:szCs w:val="24"/>
          <w:rtl/>
        </w:rPr>
        <w:t xml:space="preserve">. </w:t>
      </w:r>
      <w:r w:rsidR="00161CB7" w:rsidRPr="00FD630B">
        <w:rPr>
          <w:rFonts w:ascii="David" w:hAnsi="David" w:cs="David"/>
          <w:sz w:val="24"/>
          <w:szCs w:val="24"/>
          <w:rtl/>
        </w:rPr>
        <w:t xml:space="preserve">עם זאת, </w:t>
      </w:r>
      <w:r w:rsidR="00045838" w:rsidRPr="00FD630B">
        <w:rPr>
          <w:rFonts w:ascii="David" w:hAnsi="David" w:cs="David"/>
          <w:sz w:val="24"/>
          <w:szCs w:val="24"/>
          <w:rtl/>
        </w:rPr>
        <w:t>ב</w:t>
      </w:r>
      <w:r w:rsidR="00121197" w:rsidRPr="00FD630B">
        <w:rPr>
          <w:rFonts w:ascii="David" w:hAnsi="David" w:cs="David"/>
          <w:sz w:val="24"/>
          <w:szCs w:val="24"/>
          <w:rtl/>
        </w:rPr>
        <w:t>ינואר 2020</w:t>
      </w:r>
      <w:r w:rsidR="00045838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2E2CC4" w:rsidRPr="00FD630B">
        <w:rPr>
          <w:rFonts w:ascii="David" w:hAnsi="David" w:cs="David"/>
          <w:sz w:val="24"/>
          <w:szCs w:val="24"/>
          <w:rtl/>
        </w:rPr>
        <w:t xml:space="preserve">נרשמה </w:t>
      </w:r>
      <w:r w:rsidR="00161CB7" w:rsidRPr="00FD630B">
        <w:rPr>
          <w:rFonts w:ascii="David" w:hAnsi="David" w:cs="David"/>
          <w:sz w:val="24"/>
          <w:szCs w:val="24"/>
          <w:rtl/>
        </w:rPr>
        <w:t>ירידה</w:t>
      </w:r>
      <w:r w:rsidR="003700E8" w:rsidRPr="00FD630B">
        <w:rPr>
          <w:rFonts w:ascii="David" w:hAnsi="David" w:cs="David"/>
          <w:sz w:val="24"/>
          <w:szCs w:val="24"/>
          <w:rtl/>
        </w:rPr>
        <w:t>,</w:t>
      </w:r>
      <w:r w:rsidR="004D79EB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2E2CC4" w:rsidRPr="00FD630B">
        <w:rPr>
          <w:rFonts w:ascii="David" w:hAnsi="David" w:cs="David"/>
          <w:sz w:val="24"/>
          <w:szCs w:val="24"/>
          <w:rtl/>
        </w:rPr>
        <w:t>עונתי</w:t>
      </w:r>
      <w:r w:rsidR="004D79EB" w:rsidRPr="00FD630B">
        <w:rPr>
          <w:rFonts w:ascii="David" w:hAnsi="David" w:cs="David"/>
          <w:sz w:val="24"/>
          <w:szCs w:val="24"/>
          <w:rtl/>
        </w:rPr>
        <w:t>ו</w:t>
      </w:r>
      <w:r w:rsidR="002E2CC4" w:rsidRPr="00FD630B">
        <w:rPr>
          <w:rFonts w:ascii="David" w:hAnsi="David" w:cs="David"/>
          <w:sz w:val="24"/>
          <w:szCs w:val="24"/>
          <w:rtl/>
        </w:rPr>
        <w:t>ת</w:t>
      </w:r>
      <w:r w:rsidR="00121197" w:rsidRPr="00FD630B">
        <w:rPr>
          <w:rFonts w:ascii="David" w:hAnsi="David" w:cs="David"/>
          <w:sz w:val="24"/>
          <w:szCs w:val="24"/>
          <w:rtl/>
        </w:rPr>
        <w:t xml:space="preserve"> ברובה</w:t>
      </w:r>
      <w:r w:rsidR="003700E8" w:rsidRPr="00FD630B">
        <w:rPr>
          <w:rFonts w:ascii="David" w:hAnsi="David" w:cs="David"/>
          <w:sz w:val="24"/>
          <w:szCs w:val="24"/>
          <w:rtl/>
        </w:rPr>
        <w:t>,</w:t>
      </w:r>
      <w:r w:rsidR="004D79EB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2E2CC4" w:rsidRPr="00FD630B">
        <w:rPr>
          <w:rFonts w:ascii="David" w:hAnsi="David" w:cs="David"/>
          <w:sz w:val="24"/>
          <w:szCs w:val="24"/>
          <w:rtl/>
        </w:rPr>
        <w:t>ב</w:t>
      </w:r>
      <w:r w:rsidR="00CB07FA" w:rsidRPr="00FD630B">
        <w:rPr>
          <w:rFonts w:ascii="David" w:hAnsi="David" w:cs="David"/>
          <w:sz w:val="24"/>
          <w:szCs w:val="24"/>
          <w:rtl/>
        </w:rPr>
        <w:t xml:space="preserve">נטילת משכנתאות חדשות </w:t>
      </w:r>
      <w:r w:rsidR="002E2CC4" w:rsidRPr="00FD630B">
        <w:rPr>
          <w:rFonts w:ascii="David" w:hAnsi="David" w:cs="David"/>
          <w:sz w:val="24"/>
          <w:szCs w:val="24"/>
          <w:rtl/>
        </w:rPr>
        <w:t xml:space="preserve">והן הסתכמו </w:t>
      </w:r>
      <w:r w:rsidR="00CB07FA" w:rsidRPr="00FD630B">
        <w:rPr>
          <w:rFonts w:ascii="David" w:hAnsi="David" w:cs="David"/>
          <w:sz w:val="24"/>
          <w:szCs w:val="24"/>
          <w:rtl/>
        </w:rPr>
        <w:t>בכ-</w:t>
      </w:r>
      <w:r w:rsidR="00121197" w:rsidRPr="00FD630B">
        <w:rPr>
          <w:rFonts w:ascii="David" w:hAnsi="David" w:cs="David"/>
          <w:sz w:val="24"/>
          <w:szCs w:val="24"/>
          <w:rtl/>
        </w:rPr>
        <w:t>6.1</w:t>
      </w:r>
      <w:r w:rsidR="00CB07FA" w:rsidRPr="00FD630B">
        <w:rPr>
          <w:rFonts w:ascii="David" w:hAnsi="David" w:cs="David"/>
          <w:sz w:val="24"/>
          <w:szCs w:val="24"/>
          <w:rtl/>
        </w:rPr>
        <w:t xml:space="preserve"> מיליארדי ש"ח</w:t>
      </w:r>
      <w:r w:rsidR="002E2CC4" w:rsidRPr="00FD630B">
        <w:rPr>
          <w:rFonts w:ascii="David" w:hAnsi="David" w:cs="David"/>
          <w:sz w:val="24"/>
          <w:szCs w:val="24"/>
          <w:rtl/>
        </w:rPr>
        <w:t>.</w:t>
      </w:r>
      <w:r w:rsidR="007C30EE" w:rsidRPr="00FD630B">
        <w:rPr>
          <w:rFonts w:ascii="David" w:hAnsi="David" w:cs="David"/>
          <w:sz w:val="24"/>
          <w:szCs w:val="24"/>
          <w:rtl/>
        </w:rPr>
        <w:t xml:space="preserve"> </w:t>
      </w:r>
      <w:r w:rsidR="00664600" w:rsidRPr="00FD630B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FD630B">
        <w:rPr>
          <w:rFonts w:ascii="David" w:hAnsi="David" w:cs="David"/>
          <w:sz w:val="24"/>
          <w:szCs w:val="24"/>
          <w:rtl/>
        </w:rPr>
        <w:t>6</w:t>
      </w:r>
      <w:r w:rsidR="00060D8E" w:rsidRPr="00FD630B">
        <w:rPr>
          <w:rFonts w:ascii="David" w:hAnsi="David" w:cs="David"/>
          <w:sz w:val="24"/>
          <w:szCs w:val="24"/>
          <w:rtl/>
        </w:rPr>
        <w:t>)</w:t>
      </w:r>
      <w:r w:rsidR="00161CB7" w:rsidRPr="00FD630B">
        <w:rPr>
          <w:rFonts w:ascii="David" w:hAnsi="David" w:cs="David"/>
          <w:sz w:val="24"/>
          <w:szCs w:val="24"/>
          <w:rtl/>
        </w:rPr>
        <w:t>.</w:t>
      </w:r>
    </w:p>
    <w:p w:rsidR="007B3BC5" w:rsidRPr="00FD630B" w:rsidRDefault="007B3BC5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E149DD" w:rsidRPr="00FD630B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לוח </w:t>
      </w:r>
      <w:r w:rsidR="00416818" w:rsidRPr="00FD630B">
        <w:rPr>
          <w:rFonts w:ascii="David" w:hAnsi="David" w:cs="David"/>
          <w:b/>
          <w:bCs/>
          <w:sz w:val="24"/>
          <w:szCs w:val="24"/>
        </w:rPr>
        <w:t>2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FD630B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FD630B">
        <w:rPr>
          <w:rFonts w:ascii="David" w:hAnsi="David" w:cs="David"/>
          <w:sz w:val="24"/>
          <w:szCs w:val="24"/>
        </w:rPr>
        <w:t xml:space="preserve"> </w:t>
      </w:r>
    </w:p>
    <w:p w:rsidR="006D3752" w:rsidRPr="00FD630B" w:rsidRDefault="00DA4977" w:rsidP="00E149D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noProof/>
          <w:sz w:val="24"/>
          <w:szCs w:val="24"/>
          <w:rtl/>
          <w:lang w:eastAsia="en-US"/>
        </w:rPr>
        <w:drawing>
          <wp:inline distT="0" distB="0" distL="0" distR="0">
            <wp:extent cx="5278120" cy="4683402"/>
            <wp:effectExtent l="0" t="0" r="0" b="3175"/>
            <wp:docPr id="18" name="תמונה 18" descr="לוח 2: יתרות החוב של משקי הבית" title="לוח 2: יתרות החוב של משקי הב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68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FD630B" w:rsidRDefault="00D46A28" w:rsidP="00DC51E3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46A28" w:rsidRPr="00FD630B" w:rsidRDefault="00D46A28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FD630B" w:rsidRDefault="00941A49" w:rsidP="00D46A28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FD630B" w:rsidRDefault="00941A49" w:rsidP="00941A49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941A49" w:rsidRPr="00FD630B" w:rsidRDefault="00D251F2" w:rsidP="00E149DD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:rsidR="00D47FBF" w:rsidRPr="00FD630B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FD630B">
        <w:rPr>
          <w:rFonts w:ascii="David" w:hAnsi="David" w:cs="David"/>
          <w:b/>
          <w:bCs/>
          <w:sz w:val="24"/>
          <w:szCs w:val="24"/>
        </w:rPr>
        <w:t>5</w:t>
      </w:r>
      <w:r w:rsidR="00DC51E3" w:rsidRPr="00FD630B">
        <w:rPr>
          <w:rFonts w:ascii="David" w:hAnsi="David" w:cs="David"/>
          <w:b/>
          <w:bCs/>
          <w:sz w:val="24"/>
          <w:szCs w:val="24"/>
          <w:rtl/>
        </w:rPr>
        <w:t>: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6D3752" w:rsidRPr="00FD630B" w:rsidRDefault="006D3752" w:rsidP="006D3752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10811" w:rsidRPr="00FD630B" w:rsidRDefault="00DA4977" w:rsidP="00B33FA0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36BC67F">
            <wp:extent cx="5322570" cy="2877820"/>
            <wp:effectExtent l="0" t="0" r="0" b="0"/>
            <wp:docPr id="19" name="תמונה 19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FD630B" w:rsidRDefault="00C10811" w:rsidP="00C1081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80F81" w:rsidRPr="00FD630B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FD630B">
        <w:rPr>
          <w:rFonts w:ascii="David" w:hAnsi="David" w:cs="David"/>
          <w:b/>
          <w:bCs/>
          <w:sz w:val="24"/>
          <w:szCs w:val="24"/>
          <w:rtl/>
        </w:rPr>
        <w:t>6</w:t>
      </w:r>
      <w:r w:rsidRPr="00FD630B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FD630B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FD630B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FD630B" w:rsidRDefault="00005C41" w:rsidP="00005C4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324EF2" w:rsidRPr="00FD630B" w:rsidRDefault="00DA4977" w:rsidP="00280F81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noProof/>
          <w:sz w:val="24"/>
          <w:szCs w:val="24"/>
          <w:lang w:eastAsia="en-US"/>
        </w:rPr>
        <w:drawing>
          <wp:inline distT="0" distB="0" distL="0" distR="0" wp14:anchorId="00EEC604">
            <wp:extent cx="5322570" cy="2865120"/>
            <wp:effectExtent l="0" t="0" r="0" b="0"/>
            <wp:docPr id="21" name="תמונה 21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FD630B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FD630B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8" w:history="1">
        <w:r w:rsidRPr="00FD630B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FD630B">
        <w:rPr>
          <w:rFonts w:ascii="David" w:hAnsi="David" w:cs="David"/>
          <w:sz w:val="24"/>
          <w:szCs w:val="24"/>
          <w:rtl/>
        </w:rPr>
        <w:t xml:space="preserve">, קישור </w:t>
      </w:r>
      <w:hyperlink r:id="rId19" w:history="1">
        <w:r w:rsidRPr="00FD630B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FD630B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20" w:history="1">
        <w:r w:rsidR="00F97D41" w:rsidRPr="00FD630B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FD630B">
        <w:rPr>
          <w:rFonts w:ascii="David" w:hAnsi="David" w:cs="David"/>
          <w:sz w:val="24"/>
          <w:szCs w:val="24"/>
          <w:rtl/>
        </w:rPr>
        <w:t>.</w:t>
      </w:r>
      <w:r w:rsidR="002559B7" w:rsidRPr="00FD630B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FD630B" w:rsidSect="007A3CCD"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82" w:rsidRDefault="00005682" w:rsidP="00C04A6B">
      <w:r>
        <w:separator/>
      </w:r>
    </w:p>
  </w:endnote>
  <w:endnote w:type="continuationSeparator" w:id="0">
    <w:p w:rsidR="00005682" w:rsidRDefault="00005682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82" w:rsidRDefault="00005682" w:rsidP="00C04A6B">
      <w:r>
        <w:separator/>
      </w:r>
    </w:p>
  </w:footnote>
  <w:footnote w:type="continuationSeparator" w:id="0">
    <w:p w:rsidR="00005682" w:rsidRDefault="00005682" w:rsidP="00C04A6B">
      <w:r>
        <w:continuationSeparator/>
      </w:r>
    </w:p>
  </w:footnote>
  <w:footnote w:id="1">
    <w:p w:rsidR="00FA32E2" w:rsidRPr="00FA32E2" w:rsidRDefault="00FA32E2" w:rsidP="00FA32E2">
      <w:pPr>
        <w:pStyle w:val="af"/>
        <w:bidi/>
        <w:rPr>
          <w:rtl/>
        </w:rPr>
      </w:pPr>
      <w:r>
        <w:rPr>
          <w:rStyle w:val="af1"/>
        </w:rPr>
        <w:footnoteRef/>
      </w:r>
      <w:r>
        <w:t xml:space="preserve"> </w:t>
      </w:r>
      <w:r>
        <w:rPr>
          <w:rFonts w:asciiTheme="minorBidi" w:hAnsiTheme="minorBidi" w:cstheme="minorBidi" w:hint="cs"/>
          <w:rtl/>
        </w:rPr>
        <w:t xml:space="preserve">נתוני החוב לבנקים מבוססים על נתוני המאזניים החודשיים ולא על נתוני הדוחות הכספיים השנתיים, שכן הדוחות ל-2019 טרם פורסמו לציבור.  </w:t>
      </w:r>
      <w:r>
        <w:rPr>
          <w:rFonts w:hint="cs"/>
          <w:rtl/>
        </w:rPr>
        <w:t xml:space="preserve"> </w:t>
      </w:r>
    </w:p>
  </w:footnote>
  <w:footnote w:id="2">
    <w:p w:rsidR="00474B96" w:rsidRPr="00474B96" w:rsidRDefault="00474B96" w:rsidP="00474B96">
      <w:pPr>
        <w:pStyle w:val="af"/>
        <w:bidi/>
        <w:rPr>
          <w:rFonts w:asciiTheme="minorBidi" w:hAnsiTheme="minorBidi" w:cstheme="minorBidi"/>
          <w:rtl/>
        </w:rPr>
      </w:pPr>
      <w:r w:rsidRPr="00474B96">
        <w:rPr>
          <w:rStyle w:val="af1"/>
          <w:rFonts w:asciiTheme="minorBidi" w:hAnsiTheme="minorBidi" w:cstheme="minorBidi"/>
        </w:rPr>
        <w:footnoteRef/>
      </w:r>
      <w:r w:rsidRPr="00474B96">
        <w:rPr>
          <w:rFonts w:asciiTheme="minorBidi" w:hAnsiTheme="minorBidi" w:cstheme="minorBidi"/>
        </w:rPr>
        <w:t xml:space="preserve"> </w:t>
      </w:r>
      <w:r w:rsidRPr="00474B96">
        <w:rPr>
          <w:rFonts w:asciiTheme="minorBidi" w:hAnsiTheme="minorBidi" w:cstheme="minorBidi"/>
          <w:rtl/>
        </w:rPr>
        <w:t xml:space="preserve"> </w:t>
      </w:r>
      <w:r w:rsidR="00DC263E">
        <w:rPr>
          <w:rFonts w:asciiTheme="minorBidi" w:hAnsiTheme="minorBidi" w:cstheme="minorBidi" w:hint="cs"/>
          <w:rtl/>
        </w:rPr>
        <w:t xml:space="preserve">חברות עסקיות ישראליות, </w:t>
      </w:r>
      <w:r w:rsidRPr="00474B96">
        <w:rPr>
          <w:rFonts w:asciiTheme="minorBidi" w:hAnsiTheme="minorBidi" w:cstheme="minorBidi"/>
          <w:rtl/>
        </w:rPr>
        <w:t>ללא בנקים, חברות כרטיסי אשראי וחברות ביטוח</w:t>
      </w:r>
      <w:r>
        <w:rPr>
          <w:rFonts w:asciiTheme="minorBidi" w:hAnsiTheme="minorBidi" w:cstheme="minorBidi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5682"/>
    <w:rsid w:val="00005C41"/>
    <w:rsid w:val="00011D14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029A"/>
    <w:rsid w:val="000418F2"/>
    <w:rsid w:val="00041E30"/>
    <w:rsid w:val="0004490E"/>
    <w:rsid w:val="00045838"/>
    <w:rsid w:val="00051063"/>
    <w:rsid w:val="0005169A"/>
    <w:rsid w:val="000533F4"/>
    <w:rsid w:val="00053684"/>
    <w:rsid w:val="0005562A"/>
    <w:rsid w:val="00060D8E"/>
    <w:rsid w:val="0006247F"/>
    <w:rsid w:val="000624C1"/>
    <w:rsid w:val="000630AB"/>
    <w:rsid w:val="00063601"/>
    <w:rsid w:val="00064830"/>
    <w:rsid w:val="00065320"/>
    <w:rsid w:val="00065C62"/>
    <w:rsid w:val="00070391"/>
    <w:rsid w:val="000713E4"/>
    <w:rsid w:val="00075FC4"/>
    <w:rsid w:val="0007712F"/>
    <w:rsid w:val="000812AB"/>
    <w:rsid w:val="00081313"/>
    <w:rsid w:val="000822C2"/>
    <w:rsid w:val="00085BE0"/>
    <w:rsid w:val="000874C1"/>
    <w:rsid w:val="000911D7"/>
    <w:rsid w:val="000915A6"/>
    <w:rsid w:val="0009315D"/>
    <w:rsid w:val="00097E8B"/>
    <w:rsid w:val="000A4C37"/>
    <w:rsid w:val="000A588A"/>
    <w:rsid w:val="000B083E"/>
    <w:rsid w:val="000B190F"/>
    <w:rsid w:val="000B2F20"/>
    <w:rsid w:val="000B6B82"/>
    <w:rsid w:val="000B7AE3"/>
    <w:rsid w:val="000B7D5E"/>
    <w:rsid w:val="000C62F4"/>
    <w:rsid w:val="000D2923"/>
    <w:rsid w:val="000D756E"/>
    <w:rsid w:val="000E3992"/>
    <w:rsid w:val="000E3B3B"/>
    <w:rsid w:val="000E3F1A"/>
    <w:rsid w:val="000E45F2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5B59"/>
    <w:rsid w:val="0010731B"/>
    <w:rsid w:val="00107D10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CE7"/>
    <w:rsid w:val="00130EF4"/>
    <w:rsid w:val="001316A1"/>
    <w:rsid w:val="001329B0"/>
    <w:rsid w:val="00132A42"/>
    <w:rsid w:val="00137006"/>
    <w:rsid w:val="0013752D"/>
    <w:rsid w:val="001400D2"/>
    <w:rsid w:val="001431B5"/>
    <w:rsid w:val="00143BC9"/>
    <w:rsid w:val="00144AA6"/>
    <w:rsid w:val="00146694"/>
    <w:rsid w:val="001503F7"/>
    <w:rsid w:val="001510D4"/>
    <w:rsid w:val="001543AD"/>
    <w:rsid w:val="00161CB7"/>
    <w:rsid w:val="00162787"/>
    <w:rsid w:val="00164C8D"/>
    <w:rsid w:val="00166C6B"/>
    <w:rsid w:val="0017002C"/>
    <w:rsid w:val="00177686"/>
    <w:rsid w:val="00180E8A"/>
    <w:rsid w:val="00182968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449D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E7722"/>
    <w:rsid w:val="001E78A9"/>
    <w:rsid w:val="001F1E1B"/>
    <w:rsid w:val="001F436F"/>
    <w:rsid w:val="001F50C9"/>
    <w:rsid w:val="001F529C"/>
    <w:rsid w:val="00207836"/>
    <w:rsid w:val="00207EF6"/>
    <w:rsid w:val="00210333"/>
    <w:rsid w:val="00210E2D"/>
    <w:rsid w:val="0021293F"/>
    <w:rsid w:val="00214D6B"/>
    <w:rsid w:val="00215E7F"/>
    <w:rsid w:val="0022046E"/>
    <w:rsid w:val="00221420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3083"/>
    <w:rsid w:val="00264230"/>
    <w:rsid w:val="00265361"/>
    <w:rsid w:val="00266DC3"/>
    <w:rsid w:val="0027192B"/>
    <w:rsid w:val="00274A6A"/>
    <w:rsid w:val="002777F9"/>
    <w:rsid w:val="00280F81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A2E"/>
    <w:rsid w:val="002972B4"/>
    <w:rsid w:val="0029790E"/>
    <w:rsid w:val="002A0469"/>
    <w:rsid w:val="002A2B75"/>
    <w:rsid w:val="002A3CD7"/>
    <w:rsid w:val="002A51F1"/>
    <w:rsid w:val="002A5C23"/>
    <w:rsid w:val="002A60C4"/>
    <w:rsid w:val="002A6176"/>
    <w:rsid w:val="002B0F7F"/>
    <w:rsid w:val="002B39A4"/>
    <w:rsid w:val="002B3FB0"/>
    <w:rsid w:val="002B447B"/>
    <w:rsid w:val="002B74E5"/>
    <w:rsid w:val="002C2286"/>
    <w:rsid w:val="002C29DA"/>
    <w:rsid w:val="002C3A77"/>
    <w:rsid w:val="002C515A"/>
    <w:rsid w:val="002C7213"/>
    <w:rsid w:val="002C73B0"/>
    <w:rsid w:val="002C756B"/>
    <w:rsid w:val="002D0FD7"/>
    <w:rsid w:val="002D1779"/>
    <w:rsid w:val="002D3C1F"/>
    <w:rsid w:val="002E016D"/>
    <w:rsid w:val="002E20F7"/>
    <w:rsid w:val="002E2CC4"/>
    <w:rsid w:val="002E5ADF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5DCB"/>
    <w:rsid w:val="00317948"/>
    <w:rsid w:val="00320FD1"/>
    <w:rsid w:val="0032217A"/>
    <w:rsid w:val="00322FC0"/>
    <w:rsid w:val="00323164"/>
    <w:rsid w:val="003240D3"/>
    <w:rsid w:val="00324EF2"/>
    <w:rsid w:val="0033214F"/>
    <w:rsid w:val="0033261D"/>
    <w:rsid w:val="00333F8E"/>
    <w:rsid w:val="00340B38"/>
    <w:rsid w:val="0034285A"/>
    <w:rsid w:val="003439F5"/>
    <w:rsid w:val="0035070F"/>
    <w:rsid w:val="003509EF"/>
    <w:rsid w:val="00351EF0"/>
    <w:rsid w:val="003537B9"/>
    <w:rsid w:val="003576B2"/>
    <w:rsid w:val="00357818"/>
    <w:rsid w:val="00363D6A"/>
    <w:rsid w:val="003641D5"/>
    <w:rsid w:val="003645A9"/>
    <w:rsid w:val="00364AB7"/>
    <w:rsid w:val="003657E7"/>
    <w:rsid w:val="003700E8"/>
    <w:rsid w:val="00370901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901E0"/>
    <w:rsid w:val="00390EEB"/>
    <w:rsid w:val="003928D7"/>
    <w:rsid w:val="00395C57"/>
    <w:rsid w:val="003A0C66"/>
    <w:rsid w:val="003A242C"/>
    <w:rsid w:val="003A2FA9"/>
    <w:rsid w:val="003A315C"/>
    <w:rsid w:val="003A43C0"/>
    <w:rsid w:val="003A48D2"/>
    <w:rsid w:val="003A490D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05CD"/>
    <w:rsid w:val="003E3AEF"/>
    <w:rsid w:val="003E4002"/>
    <w:rsid w:val="003E68CF"/>
    <w:rsid w:val="003F12AD"/>
    <w:rsid w:val="003F1CD9"/>
    <w:rsid w:val="003F240A"/>
    <w:rsid w:val="003F39B8"/>
    <w:rsid w:val="003F4002"/>
    <w:rsid w:val="003F454D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20F93"/>
    <w:rsid w:val="00424BF3"/>
    <w:rsid w:val="00426001"/>
    <w:rsid w:val="004268D2"/>
    <w:rsid w:val="00426A9C"/>
    <w:rsid w:val="0043226F"/>
    <w:rsid w:val="0044713E"/>
    <w:rsid w:val="004474C7"/>
    <w:rsid w:val="0045197C"/>
    <w:rsid w:val="00453DD1"/>
    <w:rsid w:val="0045413E"/>
    <w:rsid w:val="004606C0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74B96"/>
    <w:rsid w:val="004806BA"/>
    <w:rsid w:val="00480FFC"/>
    <w:rsid w:val="00482D0E"/>
    <w:rsid w:val="00484208"/>
    <w:rsid w:val="00493882"/>
    <w:rsid w:val="00497BD0"/>
    <w:rsid w:val="004A56B9"/>
    <w:rsid w:val="004A6D8C"/>
    <w:rsid w:val="004B22E7"/>
    <w:rsid w:val="004B58B8"/>
    <w:rsid w:val="004B5D8D"/>
    <w:rsid w:val="004B6112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D79EB"/>
    <w:rsid w:val="004E2566"/>
    <w:rsid w:val="004F06E0"/>
    <w:rsid w:val="004F16EA"/>
    <w:rsid w:val="004F1EB9"/>
    <w:rsid w:val="004F3279"/>
    <w:rsid w:val="004F3600"/>
    <w:rsid w:val="004F426F"/>
    <w:rsid w:val="004F4E43"/>
    <w:rsid w:val="00502068"/>
    <w:rsid w:val="00502294"/>
    <w:rsid w:val="005042A9"/>
    <w:rsid w:val="0050443A"/>
    <w:rsid w:val="00507193"/>
    <w:rsid w:val="00507235"/>
    <w:rsid w:val="00510ABA"/>
    <w:rsid w:val="00513C0C"/>
    <w:rsid w:val="00516A2C"/>
    <w:rsid w:val="00520122"/>
    <w:rsid w:val="00521DE3"/>
    <w:rsid w:val="00522BB0"/>
    <w:rsid w:val="00525A49"/>
    <w:rsid w:val="00525B9D"/>
    <w:rsid w:val="00526641"/>
    <w:rsid w:val="00532713"/>
    <w:rsid w:val="00534C99"/>
    <w:rsid w:val="0054311D"/>
    <w:rsid w:val="0054512E"/>
    <w:rsid w:val="00546295"/>
    <w:rsid w:val="005528A7"/>
    <w:rsid w:val="00555BDD"/>
    <w:rsid w:val="0056103E"/>
    <w:rsid w:val="00561E57"/>
    <w:rsid w:val="0056258A"/>
    <w:rsid w:val="005631AE"/>
    <w:rsid w:val="00572730"/>
    <w:rsid w:val="00572B04"/>
    <w:rsid w:val="00573545"/>
    <w:rsid w:val="00574044"/>
    <w:rsid w:val="00577146"/>
    <w:rsid w:val="005816B4"/>
    <w:rsid w:val="00584275"/>
    <w:rsid w:val="0058468A"/>
    <w:rsid w:val="00585612"/>
    <w:rsid w:val="005861E2"/>
    <w:rsid w:val="005913CE"/>
    <w:rsid w:val="005921D5"/>
    <w:rsid w:val="005951B2"/>
    <w:rsid w:val="005958D0"/>
    <w:rsid w:val="00596389"/>
    <w:rsid w:val="005972B0"/>
    <w:rsid w:val="005A199D"/>
    <w:rsid w:val="005A4B9C"/>
    <w:rsid w:val="005A5B31"/>
    <w:rsid w:val="005A6536"/>
    <w:rsid w:val="005A7029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40CD"/>
    <w:rsid w:val="005E6AF0"/>
    <w:rsid w:val="005E77A7"/>
    <w:rsid w:val="005E7841"/>
    <w:rsid w:val="005F482A"/>
    <w:rsid w:val="005F663A"/>
    <w:rsid w:val="00600591"/>
    <w:rsid w:val="006028EA"/>
    <w:rsid w:val="00602DED"/>
    <w:rsid w:val="006038EA"/>
    <w:rsid w:val="006042F7"/>
    <w:rsid w:val="0060434F"/>
    <w:rsid w:val="006043D4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1A91"/>
    <w:rsid w:val="00632F81"/>
    <w:rsid w:val="006345E5"/>
    <w:rsid w:val="00635BDC"/>
    <w:rsid w:val="00636483"/>
    <w:rsid w:val="00636A4D"/>
    <w:rsid w:val="006373FB"/>
    <w:rsid w:val="006407DF"/>
    <w:rsid w:val="0064196B"/>
    <w:rsid w:val="00641E05"/>
    <w:rsid w:val="00643343"/>
    <w:rsid w:val="006453AB"/>
    <w:rsid w:val="0064551B"/>
    <w:rsid w:val="00645D90"/>
    <w:rsid w:val="00650A9D"/>
    <w:rsid w:val="00652294"/>
    <w:rsid w:val="00656E22"/>
    <w:rsid w:val="00664600"/>
    <w:rsid w:val="00664A0B"/>
    <w:rsid w:val="00665A1C"/>
    <w:rsid w:val="006677B2"/>
    <w:rsid w:val="00670D97"/>
    <w:rsid w:val="00674FDA"/>
    <w:rsid w:val="00675551"/>
    <w:rsid w:val="00675FDA"/>
    <w:rsid w:val="00676F2C"/>
    <w:rsid w:val="006816CE"/>
    <w:rsid w:val="006819E9"/>
    <w:rsid w:val="00682B0D"/>
    <w:rsid w:val="0069062B"/>
    <w:rsid w:val="00691556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2887"/>
    <w:rsid w:val="006B2FAC"/>
    <w:rsid w:val="006B58A2"/>
    <w:rsid w:val="006B624E"/>
    <w:rsid w:val="006B6ACF"/>
    <w:rsid w:val="006B6CFA"/>
    <w:rsid w:val="006C01FB"/>
    <w:rsid w:val="006C27C7"/>
    <w:rsid w:val="006D0C16"/>
    <w:rsid w:val="006D3752"/>
    <w:rsid w:val="006D526D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466B"/>
    <w:rsid w:val="0071617D"/>
    <w:rsid w:val="00716EF2"/>
    <w:rsid w:val="00720923"/>
    <w:rsid w:val="00725208"/>
    <w:rsid w:val="00725739"/>
    <w:rsid w:val="00727054"/>
    <w:rsid w:val="00737106"/>
    <w:rsid w:val="00737755"/>
    <w:rsid w:val="00742DCE"/>
    <w:rsid w:val="00744938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231E"/>
    <w:rsid w:val="00762D5A"/>
    <w:rsid w:val="007632BD"/>
    <w:rsid w:val="00763347"/>
    <w:rsid w:val="007714BD"/>
    <w:rsid w:val="007743BA"/>
    <w:rsid w:val="0077544B"/>
    <w:rsid w:val="0077670A"/>
    <w:rsid w:val="00777113"/>
    <w:rsid w:val="0077779F"/>
    <w:rsid w:val="00781240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A2DDB"/>
    <w:rsid w:val="007A39D0"/>
    <w:rsid w:val="007A3CCD"/>
    <w:rsid w:val="007B1313"/>
    <w:rsid w:val="007B174B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D0D18"/>
    <w:rsid w:val="007D0EF4"/>
    <w:rsid w:val="007D32BF"/>
    <w:rsid w:val="007D7D86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7054"/>
    <w:rsid w:val="00811358"/>
    <w:rsid w:val="008121D7"/>
    <w:rsid w:val="00814206"/>
    <w:rsid w:val="008158A5"/>
    <w:rsid w:val="008215C3"/>
    <w:rsid w:val="00825878"/>
    <w:rsid w:val="008259B7"/>
    <w:rsid w:val="00825D9B"/>
    <w:rsid w:val="00825F21"/>
    <w:rsid w:val="00826337"/>
    <w:rsid w:val="00826810"/>
    <w:rsid w:val="00835FC5"/>
    <w:rsid w:val="00843E29"/>
    <w:rsid w:val="008478AE"/>
    <w:rsid w:val="00847B21"/>
    <w:rsid w:val="0085187D"/>
    <w:rsid w:val="00852D44"/>
    <w:rsid w:val="00860503"/>
    <w:rsid w:val="008608B4"/>
    <w:rsid w:val="0086154C"/>
    <w:rsid w:val="0086330B"/>
    <w:rsid w:val="00864546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5F1"/>
    <w:rsid w:val="00911151"/>
    <w:rsid w:val="009118DB"/>
    <w:rsid w:val="00912494"/>
    <w:rsid w:val="00915424"/>
    <w:rsid w:val="00915CE8"/>
    <w:rsid w:val="00916B4B"/>
    <w:rsid w:val="00917C1C"/>
    <w:rsid w:val="0092021B"/>
    <w:rsid w:val="00922F51"/>
    <w:rsid w:val="00923125"/>
    <w:rsid w:val="009231C3"/>
    <w:rsid w:val="00925F5D"/>
    <w:rsid w:val="009303F4"/>
    <w:rsid w:val="00930697"/>
    <w:rsid w:val="009311DE"/>
    <w:rsid w:val="00933604"/>
    <w:rsid w:val="00941A49"/>
    <w:rsid w:val="00943887"/>
    <w:rsid w:val="00943CA7"/>
    <w:rsid w:val="009444D9"/>
    <w:rsid w:val="009467BA"/>
    <w:rsid w:val="009516D8"/>
    <w:rsid w:val="00955832"/>
    <w:rsid w:val="00961EFC"/>
    <w:rsid w:val="009653F5"/>
    <w:rsid w:val="00966322"/>
    <w:rsid w:val="00967A2D"/>
    <w:rsid w:val="00971841"/>
    <w:rsid w:val="0097338C"/>
    <w:rsid w:val="00973B12"/>
    <w:rsid w:val="00975122"/>
    <w:rsid w:val="00977BED"/>
    <w:rsid w:val="009818C2"/>
    <w:rsid w:val="00981FA3"/>
    <w:rsid w:val="00985045"/>
    <w:rsid w:val="00985B74"/>
    <w:rsid w:val="0099010D"/>
    <w:rsid w:val="00990A9F"/>
    <w:rsid w:val="00992E1E"/>
    <w:rsid w:val="0099500B"/>
    <w:rsid w:val="00995039"/>
    <w:rsid w:val="00996693"/>
    <w:rsid w:val="00996717"/>
    <w:rsid w:val="009974D0"/>
    <w:rsid w:val="009A2755"/>
    <w:rsid w:val="009A3808"/>
    <w:rsid w:val="009A54F7"/>
    <w:rsid w:val="009A7195"/>
    <w:rsid w:val="009A773E"/>
    <w:rsid w:val="009B0128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7283"/>
    <w:rsid w:val="00A20385"/>
    <w:rsid w:val="00A23183"/>
    <w:rsid w:val="00A2499F"/>
    <w:rsid w:val="00A24CC8"/>
    <w:rsid w:val="00A30DCC"/>
    <w:rsid w:val="00A315D7"/>
    <w:rsid w:val="00A322B9"/>
    <w:rsid w:val="00A32A72"/>
    <w:rsid w:val="00A333C5"/>
    <w:rsid w:val="00A334F6"/>
    <w:rsid w:val="00A34179"/>
    <w:rsid w:val="00A41E89"/>
    <w:rsid w:val="00A44417"/>
    <w:rsid w:val="00A45303"/>
    <w:rsid w:val="00A4555E"/>
    <w:rsid w:val="00A45CAF"/>
    <w:rsid w:val="00A46B0C"/>
    <w:rsid w:val="00A47EF9"/>
    <w:rsid w:val="00A52883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4B3D"/>
    <w:rsid w:val="00A85E92"/>
    <w:rsid w:val="00A878A6"/>
    <w:rsid w:val="00A933C6"/>
    <w:rsid w:val="00A94B36"/>
    <w:rsid w:val="00A95DD8"/>
    <w:rsid w:val="00A96870"/>
    <w:rsid w:val="00A96BDC"/>
    <w:rsid w:val="00A979CF"/>
    <w:rsid w:val="00AA0702"/>
    <w:rsid w:val="00AA0AFF"/>
    <w:rsid w:val="00AA0C2F"/>
    <w:rsid w:val="00AA22D1"/>
    <w:rsid w:val="00AA3E80"/>
    <w:rsid w:val="00AA51B0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C0D"/>
    <w:rsid w:val="00B03DCA"/>
    <w:rsid w:val="00B049ED"/>
    <w:rsid w:val="00B055B5"/>
    <w:rsid w:val="00B058F3"/>
    <w:rsid w:val="00B072ED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4F7C"/>
    <w:rsid w:val="00B24FBE"/>
    <w:rsid w:val="00B2503D"/>
    <w:rsid w:val="00B266BE"/>
    <w:rsid w:val="00B27269"/>
    <w:rsid w:val="00B2798D"/>
    <w:rsid w:val="00B27A62"/>
    <w:rsid w:val="00B31EFB"/>
    <w:rsid w:val="00B33FA0"/>
    <w:rsid w:val="00B34377"/>
    <w:rsid w:val="00B34583"/>
    <w:rsid w:val="00B37F02"/>
    <w:rsid w:val="00B42CE6"/>
    <w:rsid w:val="00B47332"/>
    <w:rsid w:val="00B474E8"/>
    <w:rsid w:val="00B478D2"/>
    <w:rsid w:val="00B511D3"/>
    <w:rsid w:val="00B51372"/>
    <w:rsid w:val="00B52D63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814"/>
    <w:rsid w:val="00B801AB"/>
    <w:rsid w:val="00B80AE5"/>
    <w:rsid w:val="00B8401D"/>
    <w:rsid w:val="00B841F2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BFF"/>
    <w:rsid w:val="00BA5E1F"/>
    <w:rsid w:val="00BB15EB"/>
    <w:rsid w:val="00BB1F1B"/>
    <w:rsid w:val="00BB23C1"/>
    <w:rsid w:val="00BB4550"/>
    <w:rsid w:val="00BB4F5C"/>
    <w:rsid w:val="00BB7F49"/>
    <w:rsid w:val="00BC578A"/>
    <w:rsid w:val="00BD1037"/>
    <w:rsid w:val="00BD3A1C"/>
    <w:rsid w:val="00BD4578"/>
    <w:rsid w:val="00BD55EC"/>
    <w:rsid w:val="00BD69F9"/>
    <w:rsid w:val="00BD7804"/>
    <w:rsid w:val="00BE0F06"/>
    <w:rsid w:val="00BE235C"/>
    <w:rsid w:val="00BE3716"/>
    <w:rsid w:val="00BE49A2"/>
    <w:rsid w:val="00BE6F10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0811"/>
    <w:rsid w:val="00C1139C"/>
    <w:rsid w:val="00C21539"/>
    <w:rsid w:val="00C22C1E"/>
    <w:rsid w:val="00C22E09"/>
    <w:rsid w:val="00C259B6"/>
    <w:rsid w:val="00C25C1C"/>
    <w:rsid w:val="00C3219B"/>
    <w:rsid w:val="00C411E7"/>
    <w:rsid w:val="00C4129A"/>
    <w:rsid w:val="00C44E9B"/>
    <w:rsid w:val="00C45C9C"/>
    <w:rsid w:val="00C4703E"/>
    <w:rsid w:val="00C47A82"/>
    <w:rsid w:val="00C5174C"/>
    <w:rsid w:val="00C51835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843C1"/>
    <w:rsid w:val="00C84B20"/>
    <w:rsid w:val="00C87F91"/>
    <w:rsid w:val="00C9110B"/>
    <w:rsid w:val="00C9322A"/>
    <w:rsid w:val="00C9450A"/>
    <w:rsid w:val="00C94676"/>
    <w:rsid w:val="00C95582"/>
    <w:rsid w:val="00CA0895"/>
    <w:rsid w:val="00CA10CF"/>
    <w:rsid w:val="00CA6DAB"/>
    <w:rsid w:val="00CB040E"/>
    <w:rsid w:val="00CB07FA"/>
    <w:rsid w:val="00CB187C"/>
    <w:rsid w:val="00CB1B2B"/>
    <w:rsid w:val="00CB39D9"/>
    <w:rsid w:val="00CB450C"/>
    <w:rsid w:val="00CC1A24"/>
    <w:rsid w:val="00CC2676"/>
    <w:rsid w:val="00CC2B6E"/>
    <w:rsid w:val="00CC698B"/>
    <w:rsid w:val="00CC6D6D"/>
    <w:rsid w:val="00CD06A0"/>
    <w:rsid w:val="00CD4F97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24FB"/>
    <w:rsid w:val="00CF6B60"/>
    <w:rsid w:val="00CF76EE"/>
    <w:rsid w:val="00D0022E"/>
    <w:rsid w:val="00D00D9D"/>
    <w:rsid w:val="00D01EC4"/>
    <w:rsid w:val="00D02264"/>
    <w:rsid w:val="00D02682"/>
    <w:rsid w:val="00D04887"/>
    <w:rsid w:val="00D06C99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0F39"/>
    <w:rsid w:val="00D446DF"/>
    <w:rsid w:val="00D46A28"/>
    <w:rsid w:val="00D47FBF"/>
    <w:rsid w:val="00D50029"/>
    <w:rsid w:val="00D541E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1E63"/>
    <w:rsid w:val="00D80AE9"/>
    <w:rsid w:val="00D80B77"/>
    <w:rsid w:val="00D81061"/>
    <w:rsid w:val="00D81660"/>
    <w:rsid w:val="00D81866"/>
    <w:rsid w:val="00D84C94"/>
    <w:rsid w:val="00D850AB"/>
    <w:rsid w:val="00D86BF0"/>
    <w:rsid w:val="00D87DC1"/>
    <w:rsid w:val="00D95186"/>
    <w:rsid w:val="00D960E3"/>
    <w:rsid w:val="00DA01D8"/>
    <w:rsid w:val="00DA070E"/>
    <w:rsid w:val="00DA2C0B"/>
    <w:rsid w:val="00DA3BD9"/>
    <w:rsid w:val="00DA3CE5"/>
    <w:rsid w:val="00DA4279"/>
    <w:rsid w:val="00DA4977"/>
    <w:rsid w:val="00DA5162"/>
    <w:rsid w:val="00DB2E03"/>
    <w:rsid w:val="00DB5322"/>
    <w:rsid w:val="00DB630B"/>
    <w:rsid w:val="00DB6C55"/>
    <w:rsid w:val="00DB73B4"/>
    <w:rsid w:val="00DB7F65"/>
    <w:rsid w:val="00DC263E"/>
    <w:rsid w:val="00DC3899"/>
    <w:rsid w:val="00DC3BC8"/>
    <w:rsid w:val="00DC51E3"/>
    <w:rsid w:val="00DD0FB0"/>
    <w:rsid w:val="00DD100F"/>
    <w:rsid w:val="00DD1B3F"/>
    <w:rsid w:val="00DD5923"/>
    <w:rsid w:val="00DD599F"/>
    <w:rsid w:val="00DE3E4A"/>
    <w:rsid w:val="00DE4BB3"/>
    <w:rsid w:val="00DE6ABB"/>
    <w:rsid w:val="00DE75E2"/>
    <w:rsid w:val="00DF19B1"/>
    <w:rsid w:val="00DF4120"/>
    <w:rsid w:val="00DF56CB"/>
    <w:rsid w:val="00E01030"/>
    <w:rsid w:val="00E10836"/>
    <w:rsid w:val="00E108C6"/>
    <w:rsid w:val="00E11343"/>
    <w:rsid w:val="00E13412"/>
    <w:rsid w:val="00E149DD"/>
    <w:rsid w:val="00E15796"/>
    <w:rsid w:val="00E16719"/>
    <w:rsid w:val="00E20EC3"/>
    <w:rsid w:val="00E23336"/>
    <w:rsid w:val="00E3272D"/>
    <w:rsid w:val="00E335BB"/>
    <w:rsid w:val="00E34121"/>
    <w:rsid w:val="00E35818"/>
    <w:rsid w:val="00E36930"/>
    <w:rsid w:val="00E4179F"/>
    <w:rsid w:val="00E42B88"/>
    <w:rsid w:val="00E44E3D"/>
    <w:rsid w:val="00E46A8F"/>
    <w:rsid w:val="00E46FD4"/>
    <w:rsid w:val="00E51F1E"/>
    <w:rsid w:val="00E577A9"/>
    <w:rsid w:val="00E65ACA"/>
    <w:rsid w:val="00E67ECB"/>
    <w:rsid w:val="00E73497"/>
    <w:rsid w:val="00E7456B"/>
    <w:rsid w:val="00E750DB"/>
    <w:rsid w:val="00E76580"/>
    <w:rsid w:val="00E76607"/>
    <w:rsid w:val="00E80E85"/>
    <w:rsid w:val="00E81FF6"/>
    <w:rsid w:val="00E85E11"/>
    <w:rsid w:val="00E870DD"/>
    <w:rsid w:val="00E9054A"/>
    <w:rsid w:val="00E91E57"/>
    <w:rsid w:val="00EA0C1C"/>
    <w:rsid w:val="00EA51C0"/>
    <w:rsid w:val="00EA7329"/>
    <w:rsid w:val="00EB5CD6"/>
    <w:rsid w:val="00EB61B0"/>
    <w:rsid w:val="00EC6205"/>
    <w:rsid w:val="00EC65F0"/>
    <w:rsid w:val="00ED153D"/>
    <w:rsid w:val="00ED17CE"/>
    <w:rsid w:val="00EE2A66"/>
    <w:rsid w:val="00EE4337"/>
    <w:rsid w:val="00EE57B2"/>
    <w:rsid w:val="00EE5F35"/>
    <w:rsid w:val="00EE6255"/>
    <w:rsid w:val="00EF13BA"/>
    <w:rsid w:val="00EF467E"/>
    <w:rsid w:val="00F0238C"/>
    <w:rsid w:val="00F05721"/>
    <w:rsid w:val="00F078CA"/>
    <w:rsid w:val="00F135CB"/>
    <w:rsid w:val="00F136A6"/>
    <w:rsid w:val="00F1596F"/>
    <w:rsid w:val="00F17A79"/>
    <w:rsid w:val="00F2699B"/>
    <w:rsid w:val="00F35A1F"/>
    <w:rsid w:val="00F35B9D"/>
    <w:rsid w:val="00F36EA0"/>
    <w:rsid w:val="00F40978"/>
    <w:rsid w:val="00F426C3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5D76"/>
    <w:rsid w:val="00F57830"/>
    <w:rsid w:val="00F57D67"/>
    <w:rsid w:val="00F61882"/>
    <w:rsid w:val="00F632C4"/>
    <w:rsid w:val="00F712F6"/>
    <w:rsid w:val="00F718FB"/>
    <w:rsid w:val="00F73B58"/>
    <w:rsid w:val="00F74172"/>
    <w:rsid w:val="00F74693"/>
    <w:rsid w:val="00F8033E"/>
    <w:rsid w:val="00F81C4A"/>
    <w:rsid w:val="00F8315C"/>
    <w:rsid w:val="00F83357"/>
    <w:rsid w:val="00F83505"/>
    <w:rsid w:val="00F852D0"/>
    <w:rsid w:val="00F902C8"/>
    <w:rsid w:val="00F9053D"/>
    <w:rsid w:val="00F90780"/>
    <w:rsid w:val="00F90BA8"/>
    <w:rsid w:val="00F91828"/>
    <w:rsid w:val="00F96916"/>
    <w:rsid w:val="00F96E5A"/>
    <w:rsid w:val="00F97D41"/>
    <w:rsid w:val="00FA0242"/>
    <w:rsid w:val="00FA02EF"/>
    <w:rsid w:val="00FA0665"/>
    <w:rsid w:val="00FA1F15"/>
    <w:rsid w:val="00FA314D"/>
    <w:rsid w:val="00FA32E2"/>
    <w:rsid w:val="00FA6355"/>
    <w:rsid w:val="00FA6451"/>
    <w:rsid w:val="00FA7EB2"/>
    <w:rsid w:val="00FB2A8C"/>
    <w:rsid w:val="00FB2BC1"/>
    <w:rsid w:val="00FB3D77"/>
    <w:rsid w:val="00FC0C52"/>
    <w:rsid w:val="00FC1281"/>
    <w:rsid w:val="00FC2095"/>
    <w:rsid w:val="00FC6CF7"/>
    <w:rsid w:val="00FD0096"/>
    <w:rsid w:val="00FD630B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boi.org.il/he/DataAndStatistics/Pages/MainPage.aspx?Level=4&amp;Sid=53&amp;SubjectType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boi.org.il/he/BankingSupervision/Data/Pages/Tables.aspx?ChapterId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hyperlink" Target="http://www.boi.org.il/he/BankingSupervision/Data/Pages/Tables.aspx?ChapterId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i.org.il/he/NewsAndPublications/RegularPublications/Pages/MabatStat2018.aspx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58C2CE-CC2B-45C1-8F5C-E057EBF60C6D}"/>
</file>

<file path=customXml/itemProps2.xml><?xml version="1.0" encoding="utf-8"?>
<ds:datastoreItem xmlns:ds="http://schemas.openxmlformats.org/officeDocument/2006/customXml" ds:itemID="{A5367298-A827-4C58-8235-CF627B838BAF}"/>
</file>

<file path=customXml/itemProps3.xml><?xml version="1.0" encoding="utf-8"?>
<ds:datastoreItem xmlns:ds="http://schemas.openxmlformats.org/officeDocument/2006/customXml" ds:itemID="{7E4AC21C-E202-4E09-A47E-3A159C6F276B}"/>
</file>

<file path=customXml/itemProps4.xml><?xml version="1.0" encoding="utf-8"?>
<ds:datastoreItem xmlns:ds="http://schemas.openxmlformats.org/officeDocument/2006/customXml" ds:itemID="{FE754DD3-1647-44CF-99D6-B63C6017A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580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2020-03-31T07:01:00Z</dcterms:created>
  <dcterms:modified xsi:type="dcterms:W3CDTF">2020-03-31T07:01:00Z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