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175343" w14:textId="4DA8FDED" w:rsidR="00445F3E" w:rsidRPr="001E36DE" w:rsidRDefault="00821CB5" w:rsidP="00821CB5">
      <w:pPr>
        <w:pStyle w:val="regpar"/>
        <w:spacing w:line="300" w:lineRule="atLeast"/>
        <w:ind w:firstLine="0"/>
        <w:jc w:val="center"/>
        <w:rPr>
          <w:rFonts w:asciiTheme="minorHAnsi" w:hAnsiTheme="minorHAnsi" w:cstheme="minorHAnsi"/>
          <w:bCs/>
        </w:rPr>
      </w:pPr>
      <w:r w:rsidRPr="001E36DE">
        <w:rPr>
          <w:rFonts w:asciiTheme="minorHAnsi" w:hAnsiTheme="minorHAnsi" w:cstheme="minorHAnsi"/>
          <w:noProof/>
        </w:rPr>
        <w:drawing>
          <wp:inline distT="0" distB="0" distL="0" distR="0" wp14:anchorId="79E962CA" wp14:editId="2DE0B443">
            <wp:extent cx="1327785" cy="1327785"/>
            <wp:effectExtent l="0" t="0" r="5715" b="5715"/>
            <wp:docPr id="1" name="Picture 1" descr="\\portals\DavWWWRoot\sites\boi\about\Mitug\DocList\Logo Bank of Israel 2 color\Logo Bank of Israel 2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rtals\DavWWWRoot\sites\boi\about\Mitug\DocList\Logo Bank of Israel 2 color\Logo Bank of Israel 2 color.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27785" cy="1327785"/>
                    </a:xfrm>
                    <a:prstGeom prst="rect">
                      <a:avLst/>
                    </a:prstGeom>
                    <a:noFill/>
                    <a:ln>
                      <a:noFill/>
                    </a:ln>
                  </pic:spPr>
                </pic:pic>
              </a:graphicData>
            </a:graphic>
          </wp:inline>
        </w:drawing>
      </w:r>
    </w:p>
    <w:p w14:paraId="4F6BB782" w14:textId="77777777" w:rsidR="00445F3E" w:rsidRPr="001E36DE" w:rsidRDefault="00445F3E" w:rsidP="00A60E0E">
      <w:pPr>
        <w:pStyle w:val="regpar"/>
        <w:spacing w:line="300" w:lineRule="atLeast"/>
        <w:ind w:firstLine="0"/>
        <w:jc w:val="center"/>
        <w:rPr>
          <w:rFonts w:asciiTheme="minorHAnsi" w:hAnsiTheme="minorHAnsi" w:cstheme="minorHAnsi"/>
          <w:bCs/>
        </w:rPr>
      </w:pPr>
    </w:p>
    <w:p w14:paraId="5FEC0092" w14:textId="7AE21C7C" w:rsidR="00650B9A" w:rsidRPr="001E36DE" w:rsidRDefault="00650B9A" w:rsidP="00A60E0E">
      <w:pPr>
        <w:pStyle w:val="regpar"/>
        <w:spacing w:line="300" w:lineRule="atLeast"/>
        <w:ind w:firstLine="0"/>
        <w:jc w:val="center"/>
        <w:rPr>
          <w:rFonts w:asciiTheme="minorHAnsi" w:hAnsiTheme="minorHAnsi" w:cstheme="minorHAnsi"/>
          <w:bCs/>
        </w:rPr>
      </w:pPr>
      <w:r w:rsidRPr="001E36DE">
        <w:rPr>
          <w:rFonts w:asciiTheme="minorHAnsi" w:hAnsiTheme="minorHAnsi" w:cstheme="minorHAnsi"/>
          <w:bCs/>
        </w:rPr>
        <w:t>BANK OF ISRAEL</w:t>
      </w:r>
    </w:p>
    <w:p w14:paraId="7BDED074" w14:textId="1F140308" w:rsidR="00650B9A" w:rsidRPr="001E36DE" w:rsidRDefault="00650B9A" w:rsidP="0009048D">
      <w:pPr>
        <w:pStyle w:val="regpar"/>
        <w:spacing w:line="300" w:lineRule="atLeast"/>
        <w:ind w:firstLine="0"/>
        <w:jc w:val="center"/>
        <w:rPr>
          <w:rFonts w:asciiTheme="minorHAnsi" w:hAnsiTheme="minorHAnsi" w:cstheme="minorHAnsi"/>
        </w:rPr>
      </w:pPr>
      <w:r w:rsidRPr="001E36DE">
        <w:rPr>
          <w:rFonts w:asciiTheme="minorHAnsi" w:hAnsiTheme="minorHAnsi" w:cstheme="minorHAnsi"/>
        </w:rPr>
        <w:t xml:space="preserve">Office of the </w:t>
      </w:r>
      <w:r w:rsidR="0009048D" w:rsidRPr="001E36DE">
        <w:rPr>
          <w:rFonts w:asciiTheme="minorHAnsi" w:hAnsiTheme="minorHAnsi" w:cstheme="minorHAnsi"/>
        </w:rPr>
        <w:t>Spokesperson and Economic Information</w:t>
      </w:r>
    </w:p>
    <w:p w14:paraId="5DC516B5" w14:textId="6D04FE8F" w:rsidR="0009048D" w:rsidRPr="001E36DE" w:rsidRDefault="0009048D" w:rsidP="0009048D">
      <w:pPr>
        <w:pStyle w:val="regpar"/>
        <w:spacing w:line="300" w:lineRule="atLeast"/>
        <w:ind w:firstLine="0"/>
        <w:jc w:val="center"/>
        <w:rPr>
          <w:rFonts w:asciiTheme="minorHAnsi" w:hAnsiTheme="minorHAnsi" w:cstheme="minorHAnsi"/>
        </w:rPr>
      </w:pPr>
    </w:p>
    <w:p w14:paraId="2DEFF62A" w14:textId="4BCF009B" w:rsidR="00DD0AB5" w:rsidRPr="001E36DE" w:rsidRDefault="00821CB5" w:rsidP="00A60E0E">
      <w:pPr>
        <w:pStyle w:val="regpar"/>
        <w:spacing w:line="300" w:lineRule="atLeast"/>
        <w:ind w:firstLine="0"/>
        <w:jc w:val="center"/>
        <w:rPr>
          <w:rFonts w:asciiTheme="minorHAnsi" w:hAnsiTheme="minorHAnsi" w:cstheme="minorHAnsi"/>
          <w:bCs/>
        </w:rPr>
      </w:pPr>
      <w:r w:rsidRPr="001E36DE">
        <w:rPr>
          <w:rFonts w:asciiTheme="minorHAnsi" w:hAnsiTheme="minorHAnsi" w:cstheme="minorHAnsi"/>
          <w:bCs/>
        </w:rPr>
        <w:t>Press Release</w:t>
      </w:r>
    </w:p>
    <w:p w14:paraId="0CD9A423" w14:textId="7B15A8EA" w:rsidR="007617BD" w:rsidRPr="001E36DE" w:rsidRDefault="00714271" w:rsidP="00FD0223">
      <w:pPr>
        <w:pStyle w:val="regpar"/>
        <w:jc w:val="right"/>
        <w:rPr>
          <w:rFonts w:asciiTheme="minorHAnsi" w:hAnsiTheme="minorHAnsi" w:cstheme="minorHAnsi"/>
          <w:sz w:val="22"/>
          <w:szCs w:val="22"/>
        </w:rPr>
      </w:pPr>
      <w:r w:rsidRPr="001E36DE">
        <w:rPr>
          <w:rFonts w:asciiTheme="minorHAnsi" w:hAnsiTheme="minorHAnsi" w:cstheme="minorHAnsi"/>
          <w:sz w:val="22"/>
          <w:szCs w:val="22"/>
        </w:rPr>
        <w:t xml:space="preserve">May </w:t>
      </w:r>
      <w:r w:rsidR="001361C7" w:rsidRPr="001E36DE">
        <w:rPr>
          <w:rFonts w:asciiTheme="minorHAnsi" w:hAnsiTheme="minorHAnsi" w:cstheme="minorHAnsi"/>
          <w:sz w:val="22"/>
          <w:szCs w:val="22"/>
        </w:rPr>
        <w:t>12</w:t>
      </w:r>
      <w:r w:rsidR="00821CB5" w:rsidRPr="001E36DE">
        <w:rPr>
          <w:rFonts w:asciiTheme="minorHAnsi" w:hAnsiTheme="minorHAnsi" w:cstheme="minorHAnsi"/>
          <w:sz w:val="22"/>
          <w:szCs w:val="22"/>
        </w:rPr>
        <w:t>, 2026</w:t>
      </w:r>
    </w:p>
    <w:p w14:paraId="22D7AE78" w14:textId="3BEA9B84" w:rsidR="00F23C43" w:rsidRPr="001E36DE" w:rsidRDefault="00F23C43" w:rsidP="00F23C43">
      <w:pPr>
        <w:pStyle w:val="regpar"/>
        <w:rPr>
          <w:rFonts w:asciiTheme="minorHAnsi" w:hAnsiTheme="minorHAnsi" w:cstheme="minorHAnsi"/>
        </w:rPr>
      </w:pPr>
    </w:p>
    <w:p w14:paraId="325CE029" w14:textId="30104A21" w:rsidR="00D00CF7" w:rsidRPr="001E36DE" w:rsidRDefault="00D00CF7" w:rsidP="00D00CF7">
      <w:pPr>
        <w:pStyle w:val="regpar"/>
        <w:jc w:val="center"/>
        <w:rPr>
          <w:rFonts w:asciiTheme="minorHAnsi" w:hAnsiTheme="minorHAnsi" w:cstheme="minorHAnsi"/>
          <w:b/>
          <w:bCs/>
          <w:sz w:val="32"/>
          <w:szCs w:val="32"/>
        </w:rPr>
      </w:pPr>
      <w:bookmarkStart w:id="0" w:name="_GoBack"/>
    </w:p>
    <w:p w14:paraId="7BF8A788" w14:textId="0B3EB048" w:rsidR="00D00CF7" w:rsidRPr="001E36DE" w:rsidRDefault="00714271" w:rsidP="008503B3">
      <w:pPr>
        <w:pStyle w:val="regpar"/>
        <w:ind w:firstLine="0"/>
        <w:jc w:val="center"/>
        <w:rPr>
          <w:rFonts w:asciiTheme="minorHAnsi" w:hAnsiTheme="minorHAnsi" w:cstheme="minorHAnsi"/>
          <w:b/>
          <w:bCs/>
          <w:sz w:val="28"/>
          <w:szCs w:val="28"/>
        </w:rPr>
      </w:pPr>
      <w:r w:rsidRPr="001E36DE">
        <w:rPr>
          <w:rFonts w:asciiTheme="minorHAnsi" w:hAnsiTheme="minorHAnsi" w:cstheme="minorHAnsi"/>
          <w:b/>
          <w:bCs/>
          <w:sz w:val="28"/>
          <w:szCs w:val="28"/>
        </w:rPr>
        <w:t>Box from the forthcoming Survey of Israel’s Banking System for 2025:</w:t>
      </w:r>
    </w:p>
    <w:p w14:paraId="7EFD5E58" w14:textId="39B05919" w:rsidR="00714271" w:rsidRPr="001E36DE" w:rsidRDefault="001361C7" w:rsidP="001361C7">
      <w:pPr>
        <w:pStyle w:val="regpar"/>
        <w:ind w:firstLine="0"/>
        <w:jc w:val="center"/>
        <w:rPr>
          <w:rFonts w:asciiTheme="minorHAnsi" w:hAnsiTheme="minorHAnsi" w:cstheme="minorHAnsi"/>
          <w:b/>
          <w:bCs/>
          <w:sz w:val="28"/>
          <w:szCs w:val="28"/>
        </w:rPr>
      </w:pPr>
      <w:r w:rsidRPr="001E36DE">
        <w:rPr>
          <w:rFonts w:asciiTheme="minorHAnsi" w:hAnsiTheme="minorHAnsi" w:cstheme="minorHAnsi"/>
          <w:b/>
          <w:bCs/>
          <w:sz w:val="28"/>
          <w:szCs w:val="28"/>
        </w:rPr>
        <w:t>The development of credit in the construction and real estate industry</w:t>
      </w:r>
    </w:p>
    <w:bookmarkEnd w:id="0"/>
    <w:p w14:paraId="01C3B6E7" w14:textId="3A175BEF" w:rsidR="00714271" w:rsidRPr="001E36DE" w:rsidRDefault="00714271" w:rsidP="00714271">
      <w:pPr>
        <w:pStyle w:val="regpar"/>
        <w:ind w:firstLine="0"/>
        <w:jc w:val="left"/>
        <w:rPr>
          <w:rFonts w:asciiTheme="minorHAnsi" w:hAnsiTheme="minorHAnsi" w:cstheme="minorHAnsi"/>
          <w:b/>
          <w:bCs/>
          <w:sz w:val="22"/>
          <w:szCs w:val="22"/>
        </w:rPr>
      </w:pPr>
    </w:p>
    <w:p w14:paraId="15E4642E" w14:textId="467A9973" w:rsidR="004D7831" w:rsidRPr="001E36DE" w:rsidRDefault="001361C7" w:rsidP="001361C7">
      <w:pPr>
        <w:pStyle w:val="regpar"/>
        <w:numPr>
          <w:ilvl w:val="0"/>
          <w:numId w:val="21"/>
        </w:numPr>
        <w:ind w:left="426"/>
        <w:rPr>
          <w:rFonts w:asciiTheme="minorHAnsi" w:hAnsiTheme="minorHAnsi" w:cstheme="minorHAnsi"/>
          <w:sz w:val="22"/>
          <w:szCs w:val="22"/>
        </w:rPr>
      </w:pPr>
      <w:r w:rsidRPr="001E36DE">
        <w:rPr>
          <w:rFonts w:asciiTheme="minorHAnsi" w:hAnsiTheme="minorHAnsi" w:cstheme="minorHAnsi"/>
          <w:sz w:val="22"/>
          <w:szCs w:val="22"/>
        </w:rPr>
        <w:t>Credit in the construction and real estate industry is a significant component of total balance-sheet business credit (about 39 percent) and of total balance-sheet credit to the public (about 21 percent) in respect of activity in Israel.</w:t>
      </w:r>
    </w:p>
    <w:p w14:paraId="642261AE" w14:textId="77777777" w:rsidR="001361C7" w:rsidRPr="001E36DE" w:rsidRDefault="001361C7" w:rsidP="00B10DD5">
      <w:pPr>
        <w:pStyle w:val="regpar"/>
        <w:numPr>
          <w:ilvl w:val="0"/>
          <w:numId w:val="21"/>
        </w:numPr>
        <w:ind w:left="426"/>
        <w:rPr>
          <w:rFonts w:asciiTheme="minorHAnsi" w:hAnsiTheme="minorHAnsi" w:cstheme="minorHAnsi"/>
        </w:rPr>
      </w:pPr>
      <w:r w:rsidRPr="001E36DE">
        <w:rPr>
          <w:rFonts w:asciiTheme="minorHAnsi" w:hAnsiTheme="minorHAnsi" w:cstheme="minorHAnsi"/>
          <w:sz w:val="22"/>
          <w:szCs w:val="22"/>
        </w:rPr>
        <w:t>Balance-sheet credit to the construction and real estate industry from the five large banking groups continued to grow at a high rate (about 14 percent) in 2025.  This growth was accompanied by some increase in credit risk to the industry, in view of the decline in demand for new dwellings, an increase in the stock of unsold new homes, which hit a record high, and some erosion in the major credit risk indices.</w:t>
      </w:r>
    </w:p>
    <w:p w14:paraId="0A17F5B5" w14:textId="77777777" w:rsidR="00E0257C" w:rsidRPr="001E36DE" w:rsidRDefault="001361C7" w:rsidP="00E0257C">
      <w:pPr>
        <w:pStyle w:val="regpar"/>
        <w:numPr>
          <w:ilvl w:val="0"/>
          <w:numId w:val="21"/>
        </w:numPr>
        <w:spacing w:before="100" w:beforeAutospacing="1" w:after="100" w:afterAutospacing="1" w:line="240" w:lineRule="auto"/>
        <w:ind w:left="426"/>
        <w:rPr>
          <w:rFonts w:asciiTheme="minorHAnsi" w:hAnsiTheme="minorHAnsi" w:cstheme="minorHAnsi"/>
          <w:sz w:val="22"/>
          <w:szCs w:val="22"/>
        </w:rPr>
      </w:pPr>
      <w:r w:rsidRPr="001E36DE">
        <w:rPr>
          <w:rFonts w:asciiTheme="minorHAnsi" w:hAnsiTheme="minorHAnsi" w:cstheme="minorHAnsi"/>
          <w:sz w:val="22"/>
          <w:szCs w:val="22"/>
        </w:rPr>
        <w:t xml:space="preserve">In view of these developments, the Banking Supervision Department continues to closely track developments in credit to the industry, monitor emerging risks across the various activity segments, and require banks to maintain </w:t>
      </w:r>
      <w:r w:rsidR="00E0257C" w:rsidRPr="001E36DE">
        <w:rPr>
          <w:rFonts w:asciiTheme="minorHAnsi" w:hAnsiTheme="minorHAnsi" w:cstheme="minorHAnsi"/>
          <w:sz w:val="22"/>
          <w:szCs w:val="22"/>
        </w:rPr>
        <w:t>exacting</w:t>
      </w:r>
      <w:r w:rsidRPr="001E36DE">
        <w:rPr>
          <w:rFonts w:asciiTheme="minorHAnsi" w:hAnsiTheme="minorHAnsi" w:cstheme="minorHAnsi"/>
          <w:sz w:val="22"/>
          <w:szCs w:val="22"/>
        </w:rPr>
        <w:t xml:space="preserve"> risk management of credit to the </w:t>
      </w:r>
      <w:r w:rsidR="00E0257C" w:rsidRPr="001E36DE">
        <w:rPr>
          <w:rFonts w:asciiTheme="minorHAnsi" w:hAnsiTheme="minorHAnsi" w:cstheme="minorHAnsi"/>
          <w:sz w:val="22"/>
          <w:szCs w:val="22"/>
        </w:rPr>
        <w:t>industry</w:t>
      </w:r>
      <w:r w:rsidRPr="001E36DE">
        <w:rPr>
          <w:rFonts w:asciiTheme="minorHAnsi" w:hAnsiTheme="minorHAnsi" w:cstheme="minorHAnsi"/>
          <w:sz w:val="22"/>
          <w:szCs w:val="22"/>
        </w:rPr>
        <w:t xml:space="preserve"> in accordance with accepted and sound practices.</w:t>
      </w:r>
    </w:p>
    <w:p w14:paraId="57B2F372" w14:textId="77777777" w:rsidR="00E0257C" w:rsidRPr="001E36DE" w:rsidRDefault="001361C7" w:rsidP="00E0257C">
      <w:pPr>
        <w:pStyle w:val="regpar"/>
        <w:numPr>
          <w:ilvl w:val="0"/>
          <w:numId w:val="21"/>
        </w:numPr>
        <w:spacing w:before="100" w:beforeAutospacing="1" w:after="100" w:afterAutospacing="1" w:line="240" w:lineRule="auto"/>
        <w:ind w:left="426"/>
        <w:rPr>
          <w:rFonts w:asciiTheme="minorHAnsi" w:hAnsiTheme="minorHAnsi" w:cstheme="minorHAnsi"/>
          <w:sz w:val="22"/>
          <w:szCs w:val="22"/>
        </w:rPr>
      </w:pPr>
      <w:r w:rsidRPr="001E36DE">
        <w:rPr>
          <w:rFonts w:asciiTheme="minorHAnsi" w:hAnsiTheme="minorHAnsi" w:cstheme="minorHAnsi"/>
          <w:sz w:val="22"/>
          <w:szCs w:val="22"/>
        </w:rPr>
        <w:t xml:space="preserve">In 2025, outstanding balance-sheet credit for land </w:t>
      </w:r>
      <w:r w:rsidR="00E0257C" w:rsidRPr="001E36DE">
        <w:rPr>
          <w:rFonts w:asciiTheme="minorHAnsi" w:hAnsiTheme="minorHAnsi" w:cstheme="minorHAnsi"/>
          <w:sz w:val="22"/>
          <w:szCs w:val="22"/>
        </w:rPr>
        <w:t>among</w:t>
      </w:r>
      <w:r w:rsidRPr="001E36DE">
        <w:rPr>
          <w:rFonts w:asciiTheme="minorHAnsi" w:hAnsiTheme="minorHAnsi" w:cstheme="minorHAnsi"/>
          <w:sz w:val="22"/>
          <w:szCs w:val="22"/>
        </w:rPr>
        <w:t xml:space="preserve"> the five large banking groups increased moderately by approximately 6 percent, reaching about NIS 104 billion. This followed the slowdown in such credit during 2023–2024.</w:t>
      </w:r>
    </w:p>
    <w:p w14:paraId="38A9D2FA" w14:textId="517D7898" w:rsidR="001361C7" w:rsidRPr="001E36DE" w:rsidRDefault="001361C7" w:rsidP="00E0257C">
      <w:pPr>
        <w:pStyle w:val="regpar"/>
        <w:numPr>
          <w:ilvl w:val="0"/>
          <w:numId w:val="21"/>
        </w:numPr>
        <w:spacing w:before="100" w:beforeAutospacing="1" w:after="100" w:afterAutospacing="1" w:line="240" w:lineRule="auto"/>
        <w:ind w:left="426"/>
        <w:rPr>
          <w:rFonts w:asciiTheme="minorHAnsi" w:hAnsiTheme="minorHAnsi" w:cstheme="minorHAnsi"/>
          <w:sz w:val="22"/>
          <w:szCs w:val="22"/>
        </w:rPr>
      </w:pPr>
      <w:r w:rsidRPr="001E36DE">
        <w:rPr>
          <w:rFonts w:asciiTheme="minorHAnsi" w:hAnsiTheme="minorHAnsi" w:cstheme="minorHAnsi"/>
          <w:sz w:val="22"/>
          <w:szCs w:val="22"/>
        </w:rPr>
        <w:t xml:space="preserve">In 2025, financial credit intended to finance residential construction projects rose sharply by approximately 40 percent—from about NIS 49 billion at the end of 2024 to about NIS 69 billion at the end of 2025. This continued the upward trend in such credit </w:t>
      </w:r>
      <w:r w:rsidR="00E0257C" w:rsidRPr="001E36DE">
        <w:rPr>
          <w:rFonts w:asciiTheme="minorHAnsi" w:hAnsiTheme="minorHAnsi" w:cstheme="minorHAnsi"/>
          <w:sz w:val="22"/>
          <w:szCs w:val="22"/>
        </w:rPr>
        <w:t>from</w:t>
      </w:r>
      <w:r w:rsidRPr="001E36DE">
        <w:rPr>
          <w:rFonts w:asciiTheme="minorHAnsi" w:hAnsiTheme="minorHAnsi" w:cstheme="minorHAnsi"/>
          <w:sz w:val="22"/>
          <w:szCs w:val="22"/>
        </w:rPr>
        <w:t xml:space="preserve"> 2023–2024. The increase in developers’ financing needs for residential construction in 2025 is</w:t>
      </w:r>
      <w:r w:rsidR="00E0257C" w:rsidRPr="001E36DE">
        <w:rPr>
          <w:rFonts w:asciiTheme="minorHAnsi" w:hAnsiTheme="minorHAnsi" w:cstheme="minorHAnsi"/>
          <w:sz w:val="22"/>
          <w:szCs w:val="22"/>
        </w:rPr>
        <w:t xml:space="preserve"> partly </w:t>
      </w:r>
      <w:r w:rsidRPr="001E36DE">
        <w:rPr>
          <w:rFonts w:asciiTheme="minorHAnsi" w:hAnsiTheme="minorHAnsi" w:cstheme="minorHAnsi"/>
          <w:sz w:val="22"/>
          <w:szCs w:val="22"/>
        </w:rPr>
        <w:t>explained by the slowdown in the number of transactions for the purchase of new dwellings, the rise in construction costs, and sales promotion campaigns offered by developers, which in some cases included a substantial deferral of payments for the dwellings purchased.</w:t>
      </w:r>
      <w:r w:rsidR="00E0257C" w:rsidRPr="001E36DE">
        <w:rPr>
          <w:rFonts w:asciiTheme="minorHAnsi" w:hAnsiTheme="minorHAnsi" w:cstheme="minorHAnsi"/>
          <w:sz w:val="22"/>
          <w:szCs w:val="22"/>
        </w:rPr>
        <w:t xml:space="preserve">  </w:t>
      </w:r>
      <w:r w:rsidRPr="001E36DE">
        <w:rPr>
          <w:rFonts w:asciiTheme="minorHAnsi" w:hAnsiTheme="minorHAnsi" w:cstheme="minorHAnsi"/>
          <w:sz w:val="22"/>
          <w:szCs w:val="22"/>
        </w:rPr>
        <w:t>As a result, in 2025 the average absorption capacity ratio</w:t>
      </w:r>
      <w:r w:rsidR="00E0257C" w:rsidRPr="001E36DE">
        <w:rPr>
          <w:rStyle w:val="a6"/>
          <w:rFonts w:asciiTheme="minorHAnsi" w:hAnsiTheme="minorHAnsi" w:cstheme="minorHAnsi"/>
          <w:sz w:val="22"/>
          <w:szCs w:val="22"/>
        </w:rPr>
        <w:footnoteReference w:id="1"/>
      </w:r>
      <w:r w:rsidRPr="001E36DE">
        <w:rPr>
          <w:rFonts w:asciiTheme="minorHAnsi" w:hAnsiTheme="minorHAnsi" w:cstheme="minorHAnsi"/>
          <w:sz w:val="22"/>
          <w:szCs w:val="22"/>
        </w:rPr>
        <w:t xml:space="preserve"> in residential construction projects declined by about 12 percentage points, to approximately 58 percent, although this ratio still indicates relatively wide safety margins. In addition, in 2025 there was an increase of about 9 percentage points in the total exposure of the five largest banking groups to projects in which the pace of engineering execution exceeded the pace of sales</w:t>
      </w:r>
      <w:r w:rsidR="00E0257C" w:rsidRPr="001E36DE">
        <w:rPr>
          <w:rStyle w:val="a6"/>
          <w:rFonts w:asciiTheme="minorHAnsi" w:hAnsiTheme="minorHAnsi" w:cstheme="minorHAnsi"/>
          <w:sz w:val="22"/>
          <w:szCs w:val="22"/>
        </w:rPr>
        <w:footnoteReference w:id="2"/>
      </w:r>
      <w:r w:rsidRPr="001E36DE">
        <w:rPr>
          <w:rFonts w:asciiTheme="minorHAnsi" w:hAnsiTheme="minorHAnsi" w:cstheme="minorHAnsi"/>
          <w:sz w:val="22"/>
          <w:szCs w:val="22"/>
        </w:rPr>
        <w:t xml:space="preserve">, </w:t>
      </w:r>
      <w:r w:rsidR="00E0257C" w:rsidRPr="001E36DE">
        <w:rPr>
          <w:rFonts w:asciiTheme="minorHAnsi" w:hAnsiTheme="minorHAnsi" w:cstheme="minorHAnsi"/>
          <w:sz w:val="22"/>
          <w:szCs w:val="22"/>
        </w:rPr>
        <w:t>to</w:t>
      </w:r>
      <w:r w:rsidRPr="001E36DE">
        <w:rPr>
          <w:rFonts w:asciiTheme="minorHAnsi" w:hAnsiTheme="minorHAnsi" w:cstheme="minorHAnsi"/>
          <w:sz w:val="22"/>
          <w:szCs w:val="22"/>
        </w:rPr>
        <w:t xml:space="preserve"> about 44 percent at the end of 2025.</w:t>
      </w:r>
    </w:p>
    <w:p w14:paraId="7C112541" w14:textId="69A1B496" w:rsidR="001361C7" w:rsidRPr="001E36DE" w:rsidRDefault="001361C7" w:rsidP="00E0257C">
      <w:pPr>
        <w:pStyle w:val="regpar"/>
        <w:ind w:left="426" w:firstLine="0"/>
        <w:rPr>
          <w:rFonts w:asciiTheme="minorHAnsi" w:hAnsiTheme="minorHAnsi" w:cstheme="minorHAnsi"/>
          <w:sz w:val="22"/>
          <w:szCs w:val="22"/>
        </w:rPr>
      </w:pPr>
    </w:p>
    <w:sectPr w:rsidR="001361C7" w:rsidRPr="001E36DE" w:rsidSect="004F5A85">
      <w:headerReference w:type="default" r:id="rId12"/>
      <w:endnotePr>
        <w:numFmt w:val="hebrew2"/>
      </w:endnotePr>
      <w:pgSz w:w="11880" w:h="16820"/>
      <w:pgMar w:top="624" w:right="1390" w:bottom="567" w:left="1418" w:header="57" w:footer="283" w:gutter="0"/>
      <w:cols w:space="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0AF2E4" w14:textId="77777777" w:rsidR="009F6C41" w:rsidRDefault="009F6C41">
      <w:pPr>
        <w:spacing w:line="240" w:lineRule="auto"/>
      </w:pPr>
      <w:r>
        <w:separator/>
      </w:r>
    </w:p>
  </w:endnote>
  <w:endnote w:type="continuationSeparator" w:id="0">
    <w:p w14:paraId="2AA2187A" w14:textId="77777777" w:rsidR="009F6C41" w:rsidRDefault="009F6C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8D162B" w14:textId="77777777" w:rsidR="009F6C41" w:rsidRDefault="009F6C41">
      <w:pPr>
        <w:spacing w:line="160" w:lineRule="exact"/>
      </w:pPr>
    </w:p>
  </w:footnote>
  <w:footnote w:type="continuationSeparator" w:id="0">
    <w:p w14:paraId="458C026F" w14:textId="77777777" w:rsidR="009F6C41" w:rsidRDefault="009F6C41">
      <w:pPr>
        <w:pStyle w:val="rule"/>
      </w:pPr>
      <w:r>
        <w:t>–––––––––––––––––––––––––––</w:t>
      </w:r>
    </w:p>
    <w:p w14:paraId="274645E6" w14:textId="77777777" w:rsidR="009F6C41" w:rsidRDefault="009F6C41">
      <w:pPr>
        <w:pStyle w:val="noteseparator"/>
      </w:pPr>
    </w:p>
  </w:footnote>
  <w:footnote w:id="1">
    <w:p w14:paraId="4101A2AC" w14:textId="655FBF49" w:rsidR="00E0257C" w:rsidRPr="00E0257C" w:rsidRDefault="00E0257C">
      <w:pPr>
        <w:pStyle w:val="a7"/>
        <w:rPr>
          <w:rFonts w:ascii="Segoe UI" w:hAnsi="Segoe UI" w:cs="Segoe UI"/>
        </w:rPr>
      </w:pPr>
      <w:r w:rsidRPr="00E0257C">
        <w:rPr>
          <w:rStyle w:val="a6"/>
          <w:rFonts w:ascii="Segoe UI" w:hAnsi="Segoe UI" w:cs="Segoe UI"/>
          <w:sz w:val="20"/>
          <w:szCs w:val="20"/>
        </w:rPr>
        <w:footnoteRef/>
      </w:r>
      <w:r w:rsidRPr="00E0257C">
        <w:rPr>
          <w:rFonts w:ascii="Segoe UI" w:hAnsi="Segoe UI" w:cs="Segoe UI"/>
        </w:rPr>
        <w:t xml:space="preserve"> </w:t>
      </w:r>
      <w:r w:rsidRPr="001361C7">
        <w:rPr>
          <w:rFonts w:ascii="Segoe UI" w:hAnsi="Segoe UI" w:cs="Segoe UI"/>
        </w:rPr>
        <w:t>The absorption capacity ratio reflects the maximum possible decline in apartment sale prices that can occur without the bank incurring losses on the project.</w:t>
      </w:r>
    </w:p>
  </w:footnote>
  <w:footnote w:id="2">
    <w:p w14:paraId="2EC1B924" w14:textId="51E07E82" w:rsidR="00E0257C" w:rsidRPr="00E0257C" w:rsidRDefault="00E0257C">
      <w:pPr>
        <w:pStyle w:val="a7"/>
        <w:rPr>
          <w:rFonts w:ascii="Segoe UI" w:hAnsi="Segoe UI" w:cs="Segoe UI"/>
        </w:rPr>
      </w:pPr>
      <w:r w:rsidRPr="00E0257C">
        <w:rPr>
          <w:rStyle w:val="a6"/>
          <w:rFonts w:ascii="Segoe UI" w:hAnsi="Segoe UI" w:cs="Segoe UI"/>
          <w:sz w:val="20"/>
          <w:szCs w:val="20"/>
        </w:rPr>
        <w:footnoteRef/>
      </w:r>
      <w:r w:rsidRPr="00E0257C">
        <w:rPr>
          <w:rFonts w:ascii="Segoe UI" w:hAnsi="Segoe UI" w:cs="Segoe UI"/>
        </w:rPr>
        <w:t xml:space="preserve"> </w:t>
      </w:r>
      <w:r w:rsidRPr="001361C7">
        <w:rPr>
          <w:rFonts w:ascii="Segoe UI" w:hAnsi="Segoe UI" w:cs="Segoe UI"/>
        </w:rPr>
        <w:t>A gap between the pace of engineering execution and the pace of sales serves as an indicator of the level of risk in a construction project.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CA7D6" w14:textId="77777777" w:rsidR="00CE7A79" w:rsidRDefault="00CE7A79" w:rsidP="007A34C9">
    <w:pPr>
      <w:pStyle w:val="regpar"/>
      <w:spacing w:line="300" w:lineRule="atLeast"/>
      <w:ind w:firstLine="0"/>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decimal"/>
      <w:lvlText w:val="%1)"/>
      <w:lvlJc w:val="left"/>
      <w:pPr>
        <w:tabs>
          <w:tab w:val="num" w:pos="600"/>
        </w:tabs>
        <w:ind w:left="600" w:hanging="360"/>
      </w:pPr>
      <w:rPr>
        <w:rFonts w:hint="default"/>
      </w:rPr>
    </w:lvl>
  </w:abstractNum>
  <w:abstractNum w:abstractNumId="1" w15:restartNumberingAfterBreak="0">
    <w:nsid w:val="049565AB"/>
    <w:multiLevelType w:val="hybridMultilevel"/>
    <w:tmpl w:val="3AEE2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AD707B"/>
    <w:multiLevelType w:val="hybridMultilevel"/>
    <w:tmpl w:val="CED8D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1F1E76"/>
    <w:multiLevelType w:val="hybridMultilevel"/>
    <w:tmpl w:val="9B849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BA69E9"/>
    <w:multiLevelType w:val="hybridMultilevel"/>
    <w:tmpl w:val="A67A3D80"/>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5" w15:restartNumberingAfterBreak="0">
    <w:nsid w:val="3F003117"/>
    <w:multiLevelType w:val="hybridMultilevel"/>
    <w:tmpl w:val="FA1A5C1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0CE5350"/>
    <w:multiLevelType w:val="hybridMultilevel"/>
    <w:tmpl w:val="9AE26C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F544E1"/>
    <w:multiLevelType w:val="hybridMultilevel"/>
    <w:tmpl w:val="59661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8912EE"/>
    <w:multiLevelType w:val="hybridMultilevel"/>
    <w:tmpl w:val="58729F30"/>
    <w:lvl w:ilvl="0" w:tplc="0AA490D4">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9" w15:restartNumberingAfterBreak="0">
    <w:nsid w:val="45324FFB"/>
    <w:multiLevelType w:val="hybridMultilevel"/>
    <w:tmpl w:val="15D25D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541E8D"/>
    <w:multiLevelType w:val="hybridMultilevel"/>
    <w:tmpl w:val="84D08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C727CA"/>
    <w:multiLevelType w:val="hybridMultilevel"/>
    <w:tmpl w:val="D5F6F2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BB2FC6"/>
    <w:multiLevelType w:val="hybridMultilevel"/>
    <w:tmpl w:val="03E4B96C"/>
    <w:lvl w:ilvl="0" w:tplc="B814614C">
      <w:start w:val="7"/>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13" w15:restartNumberingAfterBreak="0">
    <w:nsid w:val="6B710D5A"/>
    <w:multiLevelType w:val="hybridMultilevel"/>
    <w:tmpl w:val="BA387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BA6614"/>
    <w:multiLevelType w:val="hybridMultilevel"/>
    <w:tmpl w:val="9A02D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8D7B23"/>
    <w:multiLevelType w:val="hybridMultilevel"/>
    <w:tmpl w:val="A5681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C2616CB"/>
    <w:multiLevelType w:val="hybridMultilevel"/>
    <w:tmpl w:val="11728488"/>
    <w:lvl w:ilvl="0" w:tplc="5802D0F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7" w15:restartNumberingAfterBreak="0">
    <w:nsid w:val="7D6B4A93"/>
    <w:multiLevelType w:val="multilevel"/>
    <w:tmpl w:val="47B20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DA0365C"/>
    <w:multiLevelType w:val="hybridMultilevel"/>
    <w:tmpl w:val="03D09186"/>
    <w:lvl w:ilvl="0" w:tplc="AC34D7F8">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5602F8"/>
    <w:multiLevelType w:val="hybridMultilevel"/>
    <w:tmpl w:val="3C26F5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8"/>
  </w:num>
  <w:num w:numId="3">
    <w:abstractNumId w:val="12"/>
  </w:num>
  <w:num w:numId="4">
    <w:abstractNumId w:val="15"/>
  </w:num>
  <w:num w:numId="5">
    <w:abstractNumId w:val="16"/>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7"/>
  </w:num>
  <w:num w:numId="9">
    <w:abstractNumId w:val="4"/>
  </w:num>
  <w:num w:numId="10">
    <w:abstractNumId w:val="18"/>
  </w:num>
  <w:num w:numId="11">
    <w:abstractNumId w:val="11"/>
  </w:num>
  <w:num w:numId="12">
    <w:abstractNumId w:val="9"/>
  </w:num>
  <w:num w:numId="13">
    <w:abstractNumId w:val="3"/>
  </w:num>
  <w:num w:numId="14">
    <w:abstractNumId w:val="2"/>
  </w:num>
  <w:num w:numId="15">
    <w:abstractNumId w:val="10"/>
  </w:num>
  <w:num w:numId="16">
    <w:abstractNumId w:val="1"/>
  </w:num>
  <w:num w:numId="17">
    <w:abstractNumId w:val="19"/>
  </w:num>
  <w:num w:numId="18">
    <w:abstractNumId w:val="6"/>
  </w:num>
  <w:num w:numId="19">
    <w:abstractNumId w:val="17"/>
  </w:num>
  <w:num w:numId="20">
    <w:abstractNumId w:val="13"/>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4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8193"/>
  </w:hdrShapeDefaults>
  <w:footnotePr>
    <w:footnote w:id="-1"/>
    <w:footnote w:id="0"/>
  </w:footnotePr>
  <w:endnotePr>
    <w:numFmt w:val="hebrew2"/>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D70"/>
    <w:rsid w:val="00002A48"/>
    <w:rsid w:val="00005737"/>
    <w:rsid w:val="00014291"/>
    <w:rsid w:val="00016929"/>
    <w:rsid w:val="00016E30"/>
    <w:rsid w:val="00017E04"/>
    <w:rsid w:val="000305B1"/>
    <w:rsid w:val="0004575D"/>
    <w:rsid w:val="000466C2"/>
    <w:rsid w:val="000502D1"/>
    <w:rsid w:val="00052610"/>
    <w:rsid w:val="000614E5"/>
    <w:rsid w:val="00066C5D"/>
    <w:rsid w:val="00067EAC"/>
    <w:rsid w:val="0007485B"/>
    <w:rsid w:val="00076856"/>
    <w:rsid w:val="00077915"/>
    <w:rsid w:val="00085E93"/>
    <w:rsid w:val="0009048D"/>
    <w:rsid w:val="00093619"/>
    <w:rsid w:val="00093A61"/>
    <w:rsid w:val="00094FFA"/>
    <w:rsid w:val="000A0AE8"/>
    <w:rsid w:val="000B2451"/>
    <w:rsid w:val="000B5143"/>
    <w:rsid w:val="000B6617"/>
    <w:rsid w:val="000C1242"/>
    <w:rsid w:val="000C4140"/>
    <w:rsid w:val="000C46E3"/>
    <w:rsid w:val="000D3201"/>
    <w:rsid w:val="000D3F79"/>
    <w:rsid w:val="000E08B9"/>
    <w:rsid w:val="000E2EB0"/>
    <w:rsid w:val="000F4D42"/>
    <w:rsid w:val="00104F58"/>
    <w:rsid w:val="0010545F"/>
    <w:rsid w:val="001116D7"/>
    <w:rsid w:val="00114F59"/>
    <w:rsid w:val="001172A8"/>
    <w:rsid w:val="00121BED"/>
    <w:rsid w:val="001239DD"/>
    <w:rsid w:val="00124970"/>
    <w:rsid w:val="00124AB5"/>
    <w:rsid w:val="00124ED8"/>
    <w:rsid w:val="00126370"/>
    <w:rsid w:val="00127549"/>
    <w:rsid w:val="00130460"/>
    <w:rsid w:val="001361C7"/>
    <w:rsid w:val="00143F0D"/>
    <w:rsid w:val="0014603A"/>
    <w:rsid w:val="001550A7"/>
    <w:rsid w:val="00160123"/>
    <w:rsid w:val="00161743"/>
    <w:rsid w:val="00162F9E"/>
    <w:rsid w:val="0016621D"/>
    <w:rsid w:val="00166ECD"/>
    <w:rsid w:val="0018444C"/>
    <w:rsid w:val="00187D68"/>
    <w:rsid w:val="00190909"/>
    <w:rsid w:val="00194F7F"/>
    <w:rsid w:val="001A2237"/>
    <w:rsid w:val="001A6127"/>
    <w:rsid w:val="001B0294"/>
    <w:rsid w:val="001C1743"/>
    <w:rsid w:val="001C209A"/>
    <w:rsid w:val="001C502E"/>
    <w:rsid w:val="001C5614"/>
    <w:rsid w:val="001D57CD"/>
    <w:rsid w:val="001D5EBA"/>
    <w:rsid w:val="001E2931"/>
    <w:rsid w:val="001E36DE"/>
    <w:rsid w:val="001E6D0C"/>
    <w:rsid w:val="001F28E6"/>
    <w:rsid w:val="001F51F4"/>
    <w:rsid w:val="00203B3D"/>
    <w:rsid w:val="00210F11"/>
    <w:rsid w:val="00212EBE"/>
    <w:rsid w:val="002245B4"/>
    <w:rsid w:val="00236391"/>
    <w:rsid w:val="00243044"/>
    <w:rsid w:val="00246FA7"/>
    <w:rsid w:val="00250C32"/>
    <w:rsid w:val="0025222B"/>
    <w:rsid w:val="00263AC9"/>
    <w:rsid w:val="00275B82"/>
    <w:rsid w:val="00276225"/>
    <w:rsid w:val="002803D5"/>
    <w:rsid w:val="00283C91"/>
    <w:rsid w:val="002878D8"/>
    <w:rsid w:val="00295684"/>
    <w:rsid w:val="002A325D"/>
    <w:rsid w:val="002A5EE7"/>
    <w:rsid w:val="002B172C"/>
    <w:rsid w:val="002C31A2"/>
    <w:rsid w:val="002D0B04"/>
    <w:rsid w:val="002D460E"/>
    <w:rsid w:val="002D6616"/>
    <w:rsid w:val="002D6644"/>
    <w:rsid w:val="002E2978"/>
    <w:rsid w:val="002E5259"/>
    <w:rsid w:val="002E77B6"/>
    <w:rsid w:val="002F02D1"/>
    <w:rsid w:val="002F761B"/>
    <w:rsid w:val="00302325"/>
    <w:rsid w:val="003121C6"/>
    <w:rsid w:val="0031394B"/>
    <w:rsid w:val="003140DF"/>
    <w:rsid w:val="00323D8C"/>
    <w:rsid w:val="00327BCD"/>
    <w:rsid w:val="00333620"/>
    <w:rsid w:val="00333F56"/>
    <w:rsid w:val="003370E3"/>
    <w:rsid w:val="003445F3"/>
    <w:rsid w:val="00347069"/>
    <w:rsid w:val="00347EEC"/>
    <w:rsid w:val="00350413"/>
    <w:rsid w:val="003514AB"/>
    <w:rsid w:val="00354C47"/>
    <w:rsid w:val="00357E66"/>
    <w:rsid w:val="003605C6"/>
    <w:rsid w:val="00362E73"/>
    <w:rsid w:val="00366DB8"/>
    <w:rsid w:val="00367A32"/>
    <w:rsid w:val="00376023"/>
    <w:rsid w:val="00376976"/>
    <w:rsid w:val="00380012"/>
    <w:rsid w:val="003814C4"/>
    <w:rsid w:val="0038232A"/>
    <w:rsid w:val="003938F8"/>
    <w:rsid w:val="00395D70"/>
    <w:rsid w:val="003A1107"/>
    <w:rsid w:val="003A3B39"/>
    <w:rsid w:val="003A6723"/>
    <w:rsid w:val="003B0942"/>
    <w:rsid w:val="003B2C70"/>
    <w:rsid w:val="003B4074"/>
    <w:rsid w:val="003B4DF1"/>
    <w:rsid w:val="003C3B6F"/>
    <w:rsid w:val="003C6E15"/>
    <w:rsid w:val="003D0E36"/>
    <w:rsid w:val="003D71F7"/>
    <w:rsid w:val="003E0432"/>
    <w:rsid w:val="003E107B"/>
    <w:rsid w:val="003F360E"/>
    <w:rsid w:val="00403AF2"/>
    <w:rsid w:val="00406562"/>
    <w:rsid w:val="00406709"/>
    <w:rsid w:val="00406809"/>
    <w:rsid w:val="00407252"/>
    <w:rsid w:val="00421E16"/>
    <w:rsid w:val="00423781"/>
    <w:rsid w:val="0042406A"/>
    <w:rsid w:val="00425894"/>
    <w:rsid w:val="004266FD"/>
    <w:rsid w:val="004307F0"/>
    <w:rsid w:val="00433224"/>
    <w:rsid w:val="004356C6"/>
    <w:rsid w:val="004361EA"/>
    <w:rsid w:val="00437FD7"/>
    <w:rsid w:val="00441DC9"/>
    <w:rsid w:val="004421CE"/>
    <w:rsid w:val="00445F3E"/>
    <w:rsid w:val="00452814"/>
    <w:rsid w:val="00454C06"/>
    <w:rsid w:val="00457687"/>
    <w:rsid w:val="004576AA"/>
    <w:rsid w:val="004655E8"/>
    <w:rsid w:val="004735EC"/>
    <w:rsid w:val="00477DE2"/>
    <w:rsid w:val="00482B8E"/>
    <w:rsid w:val="004839AA"/>
    <w:rsid w:val="00484A86"/>
    <w:rsid w:val="00492029"/>
    <w:rsid w:val="004A0A80"/>
    <w:rsid w:val="004A179B"/>
    <w:rsid w:val="004A2970"/>
    <w:rsid w:val="004C5B3B"/>
    <w:rsid w:val="004C7155"/>
    <w:rsid w:val="004D0449"/>
    <w:rsid w:val="004D55DA"/>
    <w:rsid w:val="004D7831"/>
    <w:rsid w:val="004E7032"/>
    <w:rsid w:val="004F5A85"/>
    <w:rsid w:val="00500F8B"/>
    <w:rsid w:val="00503622"/>
    <w:rsid w:val="00515681"/>
    <w:rsid w:val="00517461"/>
    <w:rsid w:val="005273A2"/>
    <w:rsid w:val="005317F2"/>
    <w:rsid w:val="00531AD1"/>
    <w:rsid w:val="00536575"/>
    <w:rsid w:val="0054053A"/>
    <w:rsid w:val="0054075A"/>
    <w:rsid w:val="005417D3"/>
    <w:rsid w:val="00543038"/>
    <w:rsid w:val="005504CF"/>
    <w:rsid w:val="00554AC0"/>
    <w:rsid w:val="0055658B"/>
    <w:rsid w:val="0056099E"/>
    <w:rsid w:val="00562B0B"/>
    <w:rsid w:val="005676E1"/>
    <w:rsid w:val="00572E97"/>
    <w:rsid w:val="00581AE6"/>
    <w:rsid w:val="00590949"/>
    <w:rsid w:val="00591171"/>
    <w:rsid w:val="00592585"/>
    <w:rsid w:val="00594895"/>
    <w:rsid w:val="005A5253"/>
    <w:rsid w:val="005B0C33"/>
    <w:rsid w:val="005B5BFC"/>
    <w:rsid w:val="005B6B00"/>
    <w:rsid w:val="005C1FAF"/>
    <w:rsid w:val="005C274D"/>
    <w:rsid w:val="005C5CA6"/>
    <w:rsid w:val="005C635F"/>
    <w:rsid w:val="005C76FF"/>
    <w:rsid w:val="005D175A"/>
    <w:rsid w:val="005D225E"/>
    <w:rsid w:val="005E1AD6"/>
    <w:rsid w:val="005E23D5"/>
    <w:rsid w:val="006031D8"/>
    <w:rsid w:val="00605EBE"/>
    <w:rsid w:val="0061268B"/>
    <w:rsid w:val="00612A07"/>
    <w:rsid w:val="00613B3E"/>
    <w:rsid w:val="0061431E"/>
    <w:rsid w:val="00617A39"/>
    <w:rsid w:val="00621D95"/>
    <w:rsid w:val="00621DB2"/>
    <w:rsid w:val="00624732"/>
    <w:rsid w:val="00632487"/>
    <w:rsid w:val="0063248B"/>
    <w:rsid w:val="00632812"/>
    <w:rsid w:val="00634A22"/>
    <w:rsid w:val="00636566"/>
    <w:rsid w:val="00641FBE"/>
    <w:rsid w:val="00644EC6"/>
    <w:rsid w:val="0064598C"/>
    <w:rsid w:val="00650B9A"/>
    <w:rsid w:val="00651EE8"/>
    <w:rsid w:val="00653813"/>
    <w:rsid w:val="006540CC"/>
    <w:rsid w:val="0065491B"/>
    <w:rsid w:val="00655D2E"/>
    <w:rsid w:val="00660075"/>
    <w:rsid w:val="00663562"/>
    <w:rsid w:val="0067374A"/>
    <w:rsid w:val="0067456C"/>
    <w:rsid w:val="00677C0C"/>
    <w:rsid w:val="00681BC1"/>
    <w:rsid w:val="00683C36"/>
    <w:rsid w:val="00684279"/>
    <w:rsid w:val="006918C1"/>
    <w:rsid w:val="00691E1E"/>
    <w:rsid w:val="00694066"/>
    <w:rsid w:val="00696506"/>
    <w:rsid w:val="006A29C7"/>
    <w:rsid w:val="006A2E45"/>
    <w:rsid w:val="006A36A4"/>
    <w:rsid w:val="006B03B7"/>
    <w:rsid w:val="006B39E9"/>
    <w:rsid w:val="006C17E0"/>
    <w:rsid w:val="006D10C5"/>
    <w:rsid w:val="006D738F"/>
    <w:rsid w:val="006E30C1"/>
    <w:rsid w:val="006E33B5"/>
    <w:rsid w:val="006E35F9"/>
    <w:rsid w:val="006E4E37"/>
    <w:rsid w:val="006F331D"/>
    <w:rsid w:val="006F4E23"/>
    <w:rsid w:val="007012E2"/>
    <w:rsid w:val="00701620"/>
    <w:rsid w:val="00706A01"/>
    <w:rsid w:val="0071317E"/>
    <w:rsid w:val="00714271"/>
    <w:rsid w:val="00730C23"/>
    <w:rsid w:val="00730F15"/>
    <w:rsid w:val="007342CE"/>
    <w:rsid w:val="007369BA"/>
    <w:rsid w:val="00740582"/>
    <w:rsid w:val="007414E1"/>
    <w:rsid w:val="00741B11"/>
    <w:rsid w:val="0074580C"/>
    <w:rsid w:val="00760F71"/>
    <w:rsid w:val="007617BD"/>
    <w:rsid w:val="00770D80"/>
    <w:rsid w:val="00772339"/>
    <w:rsid w:val="0078710E"/>
    <w:rsid w:val="00787F4C"/>
    <w:rsid w:val="007917B0"/>
    <w:rsid w:val="007A1A5F"/>
    <w:rsid w:val="007A34C9"/>
    <w:rsid w:val="007A6C5D"/>
    <w:rsid w:val="007A7425"/>
    <w:rsid w:val="007A7980"/>
    <w:rsid w:val="007B04FD"/>
    <w:rsid w:val="007B71B6"/>
    <w:rsid w:val="007C085F"/>
    <w:rsid w:val="007C1B58"/>
    <w:rsid w:val="007D41E1"/>
    <w:rsid w:val="007E1A57"/>
    <w:rsid w:val="007E616F"/>
    <w:rsid w:val="007E6D32"/>
    <w:rsid w:val="007F0611"/>
    <w:rsid w:val="007F2CA6"/>
    <w:rsid w:val="007F423C"/>
    <w:rsid w:val="007F71A7"/>
    <w:rsid w:val="0080149A"/>
    <w:rsid w:val="00801CA2"/>
    <w:rsid w:val="00802BFE"/>
    <w:rsid w:val="008052DA"/>
    <w:rsid w:val="00807431"/>
    <w:rsid w:val="00810763"/>
    <w:rsid w:val="00814968"/>
    <w:rsid w:val="008157BA"/>
    <w:rsid w:val="00817D8A"/>
    <w:rsid w:val="00820704"/>
    <w:rsid w:val="00821CB5"/>
    <w:rsid w:val="00826845"/>
    <w:rsid w:val="00836D7A"/>
    <w:rsid w:val="00841E41"/>
    <w:rsid w:val="0084331E"/>
    <w:rsid w:val="00843E13"/>
    <w:rsid w:val="00843F4B"/>
    <w:rsid w:val="0084597D"/>
    <w:rsid w:val="008503B3"/>
    <w:rsid w:val="00850D4E"/>
    <w:rsid w:val="00857394"/>
    <w:rsid w:val="008600E4"/>
    <w:rsid w:val="0086296B"/>
    <w:rsid w:val="008676DF"/>
    <w:rsid w:val="00867ECF"/>
    <w:rsid w:val="0087075D"/>
    <w:rsid w:val="00872CF4"/>
    <w:rsid w:val="00873E53"/>
    <w:rsid w:val="0087598A"/>
    <w:rsid w:val="00877C88"/>
    <w:rsid w:val="0088365D"/>
    <w:rsid w:val="008907C3"/>
    <w:rsid w:val="008920C9"/>
    <w:rsid w:val="008924D8"/>
    <w:rsid w:val="00892705"/>
    <w:rsid w:val="008965FF"/>
    <w:rsid w:val="00897D7D"/>
    <w:rsid w:val="008A0D61"/>
    <w:rsid w:val="008A117A"/>
    <w:rsid w:val="008A4E71"/>
    <w:rsid w:val="008B3910"/>
    <w:rsid w:val="008B564A"/>
    <w:rsid w:val="008C0767"/>
    <w:rsid w:val="008C2D26"/>
    <w:rsid w:val="008C671A"/>
    <w:rsid w:val="008D2340"/>
    <w:rsid w:val="008E2532"/>
    <w:rsid w:val="008E34E9"/>
    <w:rsid w:val="008F0C79"/>
    <w:rsid w:val="008F3DE8"/>
    <w:rsid w:val="008F4908"/>
    <w:rsid w:val="009055ED"/>
    <w:rsid w:val="00912CE3"/>
    <w:rsid w:val="009249B9"/>
    <w:rsid w:val="009269B2"/>
    <w:rsid w:val="00930D0F"/>
    <w:rsid w:val="00932779"/>
    <w:rsid w:val="009342BD"/>
    <w:rsid w:val="009345ED"/>
    <w:rsid w:val="00934ED3"/>
    <w:rsid w:val="00940505"/>
    <w:rsid w:val="00941183"/>
    <w:rsid w:val="00943EFE"/>
    <w:rsid w:val="00946CAD"/>
    <w:rsid w:val="00970925"/>
    <w:rsid w:val="00987141"/>
    <w:rsid w:val="00991A2A"/>
    <w:rsid w:val="009937AE"/>
    <w:rsid w:val="009A2328"/>
    <w:rsid w:val="009A374A"/>
    <w:rsid w:val="009B0072"/>
    <w:rsid w:val="009B01E1"/>
    <w:rsid w:val="009B5ABC"/>
    <w:rsid w:val="009B777C"/>
    <w:rsid w:val="009C2CE3"/>
    <w:rsid w:val="009D5B6B"/>
    <w:rsid w:val="009D6B3B"/>
    <w:rsid w:val="009D71A3"/>
    <w:rsid w:val="009E5610"/>
    <w:rsid w:val="009F3027"/>
    <w:rsid w:val="009F4C02"/>
    <w:rsid w:val="009F5C01"/>
    <w:rsid w:val="009F6C41"/>
    <w:rsid w:val="00A06CAC"/>
    <w:rsid w:val="00A10C60"/>
    <w:rsid w:val="00A176D5"/>
    <w:rsid w:val="00A2357F"/>
    <w:rsid w:val="00A2557F"/>
    <w:rsid w:val="00A27711"/>
    <w:rsid w:val="00A30E4A"/>
    <w:rsid w:val="00A339CF"/>
    <w:rsid w:val="00A362B4"/>
    <w:rsid w:val="00A41ECF"/>
    <w:rsid w:val="00A43D36"/>
    <w:rsid w:val="00A60D93"/>
    <w:rsid w:val="00A60E0E"/>
    <w:rsid w:val="00A61B62"/>
    <w:rsid w:val="00A72CBB"/>
    <w:rsid w:val="00A85159"/>
    <w:rsid w:val="00A87E8E"/>
    <w:rsid w:val="00A91D66"/>
    <w:rsid w:val="00AA4754"/>
    <w:rsid w:val="00AA4992"/>
    <w:rsid w:val="00AA4ED8"/>
    <w:rsid w:val="00AA71D5"/>
    <w:rsid w:val="00AB0EB8"/>
    <w:rsid w:val="00AB478D"/>
    <w:rsid w:val="00AC5B03"/>
    <w:rsid w:val="00AC5D5C"/>
    <w:rsid w:val="00AF535D"/>
    <w:rsid w:val="00B02AD8"/>
    <w:rsid w:val="00B02B42"/>
    <w:rsid w:val="00B03A12"/>
    <w:rsid w:val="00B06509"/>
    <w:rsid w:val="00B06C58"/>
    <w:rsid w:val="00B158CF"/>
    <w:rsid w:val="00B23E71"/>
    <w:rsid w:val="00B26143"/>
    <w:rsid w:val="00B269CD"/>
    <w:rsid w:val="00B3068E"/>
    <w:rsid w:val="00B3103B"/>
    <w:rsid w:val="00B37BBE"/>
    <w:rsid w:val="00B46F7B"/>
    <w:rsid w:val="00B476CC"/>
    <w:rsid w:val="00B52957"/>
    <w:rsid w:val="00B552D1"/>
    <w:rsid w:val="00B5736D"/>
    <w:rsid w:val="00B57F69"/>
    <w:rsid w:val="00B6764F"/>
    <w:rsid w:val="00B76579"/>
    <w:rsid w:val="00B81305"/>
    <w:rsid w:val="00B9723D"/>
    <w:rsid w:val="00BA3A63"/>
    <w:rsid w:val="00BA589A"/>
    <w:rsid w:val="00BA78B9"/>
    <w:rsid w:val="00BC05E1"/>
    <w:rsid w:val="00BC46DE"/>
    <w:rsid w:val="00BC6BBA"/>
    <w:rsid w:val="00BD570C"/>
    <w:rsid w:val="00BE50DA"/>
    <w:rsid w:val="00BF0276"/>
    <w:rsid w:val="00BF78A3"/>
    <w:rsid w:val="00C00CE9"/>
    <w:rsid w:val="00C042B1"/>
    <w:rsid w:val="00C178D0"/>
    <w:rsid w:val="00C2256F"/>
    <w:rsid w:val="00C23F8F"/>
    <w:rsid w:val="00C24EB5"/>
    <w:rsid w:val="00C25A28"/>
    <w:rsid w:val="00C26787"/>
    <w:rsid w:val="00C3065F"/>
    <w:rsid w:val="00C34862"/>
    <w:rsid w:val="00C34F28"/>
    <w:rsid w:val="00C3506B"/>
    <w:rsid w:val="00C36FE1"/>
    <w:rsid w:val="00C40F50"/>
    <w:rsid w:val="00C4244A"/>
    <w:rsid w:val="00C5022D"/>
    <w:rsid w:val="00C52A97"/>
    <w:rsid w:val="00C62AC4"/>
    <w:rsid w:val="00C63A99"/>
    <w:rsid w:val="00C64770"/>
    <w:rsid w:val="00C6484A"/>
    <w:rsid w:val="00C67CCF"/>
    <w:rsid w:val="00C701EA"/>
    <w:rsid w:val="00C76EFC"/>
    <w:rsid w:val="00C773B3"/>
    <w:rsid w:val="00C80C62"/>
    <w:rsid w:val="00C81F0F"/>
    <w:rsid w:val="00C82902"/>
    <w:rsid w:val="00C839A9"/>
    <w:rsid w:val="00C870AA"/>
    <w:rsid w:val="00C96635"/>
    <w:rsid w:val="00C97616"/>
    <w:rsid w:val="00CA4BB8"/>
    <w:rsid w:val="00CA68B3"/>
    <w:rsid w:val="00CB474B"/>
    <w:rsid w:val="00CC0F35"/>
    <w:rsid w:val="00CC493C"/>
    <w:rsid w:val="00CC598E"/>
    <w:rsid w:val="00CC59FC"/>
    <w:rsid w:val="00CC65CD"/>
    <w:rsid w:val="00CD51D2"/>
    <w:rsid w:val="00CE1CDD"/>
    <w:rsid w:val="00CE65D4"/>
    <w:rsid w:val="00CE7A79"/>
    <w:rsid w:val="00CF4492"/>
    <w:rsid w:val="00D00CF7"/>
    <w:rsid w:val="00D038A8"/>
    <w:rsid w:val="00D0407A"/>
    <w:rsid w:val="00D043CC"/>
    <w:rsid w:val="00D14E29"/>
    <w:rsid w:val="00D25B51"/>
    <w:rsid w:val="00D33F84"/>
    <w:rsid w:val="00D3751C"/>
    <w:rsid w:val="00D424D1"/>
    <w:rsid w:val="00D44CFE"/>
    <w:rsid w:val="00D463F8"/>
    <w:rsid w:val="00D54F0D"/>
    <w:rsid w:val="00D56394"/>
    <w:rsid w:val="00D56CA9"/>
    <w:rsid w:val="00D56FEA"/>
    <w:rsid w:val="00D61443"/>
    <w:rsid w:val="00D621C1"/>
    <w:rsid w:val="00D6747A"/>
    <w:rsid w:val="00D776C6"/>
    <w:rsid w:val="00D77FC6"/>
    <w:rsid w:val="00D84B62"/>
    <w:rsid w:val="00D85592"/>
    <w:rsid w:val="00D866ED"/>
    <w:rsid w:val="00D907F6"/>
    <w:rsid w:val="00D93E87"/>
    <w:rsid w:val="00D94C50"/>
    <w:rsid w:val="00DA4139"/>
    <w:rsid w:val="00DA5C83"/>
    <w:rsid w:val="00DA6F1C"/>
    <w:rsid w:val="00DC192C"/>
    <w:rsid w:val="00DD0AB5"/>
    <w:rsid w:val="00DD1273"/>
    <w:rsid w:val="00DD20B4"/>
    <w:rsid w:val="00DE121E"/>
    <w:rsid w:val="00DE76BB"/>
    <w:rsid w:val="00E0257C"/>
    <w:rsid w:val="00E03DAD"/>
    <w:rsid w:val="00E042D4"/>
    <w:rsid w:val="00E1087D"/>
    <w:rsid w:val="00E305A3"/>
    <w:rsid w:val="00E3258A"/>
    <w:rsid w:val="00E33F37"/>
    <w:rsid w:val="00E37EA3"/>
    <w:rsid w:val="00E40792"/>
    <w:rsid w:val="00E448BF"/>
    <w:rsid w:val="00E50A6B"/>
    <w:rsid w:val="00E52DD0"/>
    <w:rsid w:val="00E645EE"/>
    <w:rsid w:val="00E6497E"/>
    <w:rsid w:val="00E65CA7"/>
    <w:rsid w:val="00E67A70"/>
    <w:rsid w:val="00E701BC"/>
    <w:rsid w:val="00E74B20"/>
    <w:rsid w:val="00E878FC"/>
    <w:rsid w:val="00E9221F"/>
    <w:rsid w:val="00E927A6"/>
    <w:rsid w:val="00EA1D70"/>
    <w:rsid w:val="00EA2EEA"/>
    <w:rsid w:val="00EA2FB0"/>
    <w:rsid w:val="00EA3CE9"/>
    <w:rsid w:val="00EB1022"/>
    <w:rsid w:val="00EB2AB7"/>
    <w:rsid w:val="00EC6A3B"/>
    <w:rsid w:val="00ED1987"/>
    <w:rsid w:val="00ED1A90"/>
    <w:rsid w:val="00ED576F"/>
    <w:rsid w:val="00ED6F4E"/>
    <w:rsid w:val="00EE4F43"/>
    <w:rsid w:val="00EF3B27"/>
    <w:rsid w:val="00EF5815"/>
    <w:rsid w:val="00F0557B"/>
    <w:rsid w:val="00F110FE"/>
    <w:rsid w:val="00F13C80"/>
    <w:rsid w:val="00F14FC5"/>
    <w:rsid w:val="00F17BE5"/>
    <w:rsid w:val="00F217C5"/>
    <w:rsid w:val="00F23C43"/>
    <w:rsid w:val="00F2605B"/>
    <w:rsid w:val="00F26C5D"/>
    <w:rsid w:val="00F32332"/>
    <w:rsid w:val="00F35D37"/>
    <w:rsid w:val="00F41E74"/>
    <w:rsid w:val="00F433E4"/>
    <w:rsid w:val="00F454A2"/>
    <w:rsid w:val="00F5404C"/>
    <w:rsid w:val="00F56652"/>
    <w:rsid w:val="00F573B0"/>
    <w:rsid w:val="00F6266E"/>
    <w:rsid w:val="00F74B4E"/>
    <w:rsid w:val="00F74CC8"/>
    <w:rsid w:val="00F863B6"/>
    <w:rsid w:val="00F9199C"/>
    <w:rsid w:val="00F92BBC"/>
    <w:rsid w:val="00F95623"/>
    <w:rsid w:val="00F96CE5"/>
    <w:rsid w:val="00FA0F55"/>
    <w:rsid w:val="00FA1547"/>
    <w:rsid w:val="00FA16BE"/>
    <w:rsid w:val="00FA18C6"/>
    <w:rsid w:val="00FA427D"/>
    <w:rsid w:val="00FA46BE"/>
    <w:rsid w:val="00FA4BC3"/>
    <w:rsid w:val="00FA5FFA"/>
    <w:rsid w:val="00FA67CD"/>
    <w:rsid w:val="00FC1161"/>
    <w:rsid w:val="00FC7294"/>
    <w:rsid w:val="00FD0223"/>
    <w:rsid w:val="00FE0A60"/>
    <w:rsid w:val="00FE4890"/>
    <w:rsid w:val="00FF5F8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EFD3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New York" w:eastAsia="Times New Roman" w:hAnsi="New York" w:cs="Times New Roman"/>
        <w:lang w:val="en-US" w:eastAsia="en-US" w:bidi="he-I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regpar"/>
    <w:qFormat/>
    <w:pPr>
      <w:spacing w:line="300" w:lineRule="exact"/>
      <w:jc w:val="both"/>
    </w:pPr>
    <w:rPr>
      <w:rFonts w:ascii="Times" w:hAnsi="Times" w:cs="Times"/>
      <w:sz w:val="24"/>
      <w:szCs w:val="24"/>
    </w:rPr>
  </w:style>
  <w:style w:type="paragraph" w:styleId="3">
    <w:name w:val="heading 3"/>
    <w:basedOn w:val="a"/>
    <w:link w:val="30"/>
    <w:uiPriority w:val="9"/>
    <w:qFormat/>
    <w:rsid w:val="00445F3E"/>
    <w:pPr>
      <w:spacing w:before="100" w:beforeAutospacing="1" w:after="100" w:afterAutospacing="1" w:line="240" w:lineRule="auto"/>
      <w:jc w:val="left"/>
      <w:outlineLvl w:val="2"/>
    </w:pPr>
    <w:rPr>
      <w:rFonts w:ascii="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egpar">
    <w:name w:val="regpar"/>
    <w:basedOn w:val="a"/>
    <w:pPr>
      <w:ind w:firstLine="240"/>
    </w:pPr>
  </w:style>
  <w:style w:type="paragraph" w:styleId="a3">
    <w:name w:val="footer"/>
    <w:basedOn w:val="a"/>
    <w:link w:val="a4"/>
    <w:uiPriority w:val="99"/>
    <w:pPr>
      <w:tabs>
        <w:tab w:val="center" w:pos="4320"/>
        <w:tab w:val="right" w:pos="8640"/>
      </w:tabs>
    </w:pPr>
  </w:style>
  <w:style w:type="paragraph" w:styleId="a5">
    <w:name w:val="header"/>
    <w:basedOn w:val="a"/>
    <w:pPr>
      <w:tabs>
        <w:tab w:val="center" w:pos="4200"/>
        <w:tab w:val="right" w:pos="8400"/>
      </w:tabs>
    </w:pPr>
  </w:style>
  <w:style w:type="character" w:styleId="a6">
    <w:name w:val="footnote reference"/>
    <w:rPr>
      <w:position w:val="6"/>
      <w:sz w:val="14"/>
      <w:szCs w:val="14"/>
    </w:rPr>
  </w:style>
  <w:style w:type="paragraph" w:styleId="a7">
    <w:name w:val="footnote text"/>
    <w:basedOn w:val="regpar"/>
    <w:link w:val="a8"/>
    <w:pPr>
      <w:spacing w:line="240" w:lineRule="exact"/>
    </w:pPr>
    <w:rPr>
      <w:sz w:val="20"/>
      <w:szCs w:val="20"/>
    </w:rPr>
  </w:style>
  <w:style w:type="character" w:styleId="a9">
    <w:name w:val="page number"/>
    <w:basedOn w:val="a0"/>
  </w:style>
  <w:style w:type="paragraph" w:customStyle="1" w:styleId="ER-text86">
    <w:name w:val="*ER-text 86%"/>
    <w:basedOn w:val="a"/>
  </w:style>
  <w:style w:type="paragraph" w:customStyle="1" w:styleId="abstract">
    <w:name w:val="abstract"/>
    <w:basedOn w:val="a"/>
    <w:next w:val="a"/>
    <w:pPr>
      <w:spacing w:line="260" w:lineRule="exact"/>
      <w:ind w:left="480" w:right="480"/>
    </w:pPr>
    <w:rPr>
      <w:sz w:val="22"/>
      <w:szCs w:val="22"/>
    </w:rPr>
  </w:style>
  <w:style w:type="paragraph" w:customStyle="1" w:styleId="author">
    <w:name w:val="author"/>
    <w:basedOn w:val="a"/>
    <w:next w:val="abstract"/>
    <w:pPr>
      <w:jc w:val="center"/>
    </w:pPr>
    <w:rPr>
      <w:smallCaps/>
    </w:rPr>
  </w:style>
  <w:style w:type="paragraph" w:customStyle="1" w:styleId="1">
    <w:name w:val="כותרת טקסט1"/>
    <w:basedOn w:val="a"/>
    <w:next w:val="author"/>
    <w:pPr>
      <w:jc w:val="center"/>
    </w:pPr>
    <w:rPr>
      <w:caps/>
      <w:sz w:val="28"/>
      <w:szCs w:val="28"/>
    </w:rPr>
  </w:style>
  <w:style w:type="paragraph" w:customStyle="1" w:styleId="Ahead">
    <w:name w:val="A head"/>
    <w:basedOn w:val="a"/>
    <w:next w:val="a"/>
    <w:pPr>
      <w:jc w:val="left"/>
    </w:pPr>
    <w:rPr>
      <w:caps/>
      <w:sz w:val="22"/>
      <w:szCs w:val="22"/>
    </w:rPr>
  </w:style>
  <w:style w:type="paragraph" w:customStyle="1" w:styleId="Bhead">
    <w:name w:val="B head"/>
    <w:basedOn w:val="a"/>
    <w:next w:val="a"/>
    <w:rPr>
      <w:b/>
      <w:bCs/>
    </w:rPr>
  </w:style>
  <w:style w:type="paragraph" w:customStyle="1" w:styleId="rule">
    <w:name w:val="rule"/>
    <w:basedOn w:val="a"/>
    <w:pPr>
      <w:spacing w:line="120" w:lineRule="exact"/>
      <w:jc w:val="left"/>
    </w:pPr>
    <w:rPr>
      <w:spacing w:val="-20"/>
      <w:sz w:val="12"/>
      <w:szCs w:val="12"/>
    </w:rPr>
  </w:style>
  <w:style w:type="paragraph" w:customStyle="1" w:styleId="noteseparator">
    <w:name w:val="note separator"/>
    <w:basedOn w:val="a"/>
    <w:next w:val="a7"/>
    <w:pPr>
      <w:spacing w:line="160" w:lineRule="exact"/>
    </w:pPr>
  </w:style>
  <w:style w:type="paragraph" w:customStyle="1" w:styleId="runninghead">
    <w:name w:val="running head"/>
    <w:basedOn w:val="a5"/>
    <w:rPr>
      <w:smallCaps/>
    </w:rPr>
  </w:style>
  <w:style w:type="paragraph" w:customStyle="1" w:styleId="eq">
    <w:name w:val="eq"/>
    <w:basedOn w:val="a"/>
    <w:pPr>
      <w:tabs>
        <w:tab w:val="center" w:pos="4320"/>
        <w:tab w:val="right" w:pos="8400"/>
      </w:tabs>
      <w:spacing w:line="300" w:lineRule="atLeast"/>
    </w:pPr>
  </w:style>
  <w:style w:type="paragraph" w:customStyle="1" w:styleId="Chead">
    <w:name w:val="C head"/>
    <w:basedOn w:val="a"/>
    <w:next w:val="a"/>
    <w:rPr>
      <w:i/>
      <w:iCs/>
    </w:rPr>
  </w:style>
  <w:style w:type="paragraph" w:customStyle="1" w:styleId="ARtext">
    <w:name w:val="*AR text"/>
    <w:basedOn w:val="a"/>
  </w:style>
  <w:style w:type="paragraph" w:customStyle="1" w:styleId="quotes">
    <w:name w:val="quotes"/>
    <w:basedOn w:val="a"/>
    <w:next w:val="a"/>
    <w:pPr>
      <w:spacing w:line="260" w:lineRule="exact"/>
      <w:ind w:left="480" w:right="480"/>
    </w:pPr>
    <w:rPr>
      <w:sz w:val="22"/>
      <w:szCs w:val="22"/>
    </w:rPr>
  </w:style>
  <w:style w:type="paragraph" w:customStyle="1" w:styleId="chapter">
    <w:name w:val="chapter"/>
    <w:basedOn w:val="a"/>
    <w:next w:val="1"/>
    <w:pPr>
      <w:spacing w:line="560" w:lineRule="atLeast"/>
    </w:pPr>
    <w:rPr>
      <w:i/>
      <w:iCs/>
      <w:sz w:val="36"/>
      <w:szCs w:val="36"/>
    </w:rPr>
  </w:style>
  <w:style w:type="paragraph" w:styleId="aa">
    <w:name w:val="Body Text Indent"/>
    <w:basedOn w:val="a"/>
    <w:pPr>
      <w:widowControl w:val="0"/>
      <w:ind w:left="284" w:hanging="284"/>
    </w:pPr>
  </w:style>
  <w:style w:type="character" w:styleId="Hyperlink">
    <w:name w:val="Hyperlink"/>
    <w:rPr>
      <w:color w:val="0000FF"/>
      <w:u w:val="single"/>
    </w:rPr>
  </w:style>
  <w:style w:type="paragraph" w:styleId="ab">
    <w:name w:val="Date"/>
    <w:basedOn w:val="a"/>
    <w:next w:val="a"/>
    <w:rsid w:val="00E03DAD"/>
  </w:style>
  <w:style w:type="table" w:styleId="ac">
    <w:name w:val="Table Grid"/>
    <w:basedOn w:val="a1"/>
    <w:rsid w:val="00E03DAD"/>
    <w:pPr>
      <w:spacing w:line="30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CE7A79"/>
    <w:rPr>
      <w:color w:val="800080"/>
      <w:u w:val="single"/>
    </w:rPr>
  </w:style>
  <w:style w:type="paragraph" w:styleId="ad">
    <w:name w:val="Balloon Text"/>
    <w:basedOn w:val="a"/>
    <w:link w:val="ae"/>
    <w:uiPriority w:val="99"/>
    <w:semiHidden/>
    <w:unhideWhenUsed/>
    <w:rsid w:val="00EC6A3B"/>
    <w:pPr>
      <w:spacing w:line="240" w:lineRule="auto"/>
    </w:pPr>
    <w:rPr>
      <w:rFonts w:ascii="Tahoma" w:hAnsi="Tahoma" w:cs="Tahoma"/>
      <w:sz w:val="16"/>
      <w:szCs w:val="16"/>
    </w:rPr>
  </w:style>
  <w:style w:type="character" w:customStyle="1" w:styleId="ae">
    <w:name w:val="טקסט בלונים תו"/>
    <w:link w:val="ad"/>
    <w:uiPriority w:val="99"/>
    <w:semiHidden/>
    <w:rsid w:val="00EC6A3B"/>
    <w:rPr>
      <w:rFonts w:ascii="Tahoma" w:hAnsi="Tahoma" w:cs="Tahoma"/>
      <w:sz w:val="16"/>
      <w:szCs w:val="16"/>
    </w:rPr>
  </w:style>
  <w:style w:type="paragraph" w:styleId="af">
    <w:name w:val="Revision"/>
    <w:hidden/>
    <w:uiPriority w:val="99"/>
    <w:semiHidden/>
    <w:rsid w:val="00C81F0F"/>
    <w:rPr>
      <w:rFonts w:ascii="Times" w:hAnsi="Times" w:cs="Times"/>
      <w:sz w:val="24"/>
      <w:szCs w:val="24"/>
    </w:rPr>
  </w:style>
  <w:style w:type="paragraph" w:styleId="af0">
    <w:name w:val="Plain Text"/>
    <w:basedOn w:val="a"/>
    <w:link w:val="af1"/>
    <w:uiPriority w:val="99"/>
    <w:semiHidden/>
    <w:unhideWhenUsed/>
    <w:rsid w:val="00E52DD0"/>
    <w:pPr>
      <w:spacing w:line="240" w:lineRule="auto"/>
      <w:jc w:val="left"/>
    </w:pPr>
    <w:rPr>
      <w:rFonts w:ascii="Calibri" w:eastAsia="Calibri" w:hAnsi="Calibri" w:cs="Arial"/>
      <w:sz w:val="22"/>
      <w:szCs w:val="21"/>
    </w:rPr>
  </w:style>
  <w:style w:type="character" w:customStyle="1" w:styleId="af1">
    <w:name w:val="טקסט רגיל תו"/>
    <w:link w:val="af0"/>
    <w:uiPriority w:val="99"/>
    <w:semiHidden/>
    <w:rsid w:val="00E52DD0"/>
    <w:rPr>
      <w:rFonts w:ascii="Calibri" w:eastAsia="Calibri" w:hAnsi="Calibri" w:cs="Arial"/>
      <w:sz w:val="22"/>
      <w:szCs w:val="21"/>
    </w:rPr>
  </w:style>
  <w:style w:type="paragraph" w:styleId="af2">
    <w:name w:val="List Paragraph"/>
    <w:basedOn w:val="a"/>
    <w:uiPriority w:val="34"/>
    <w:qFormat/>
    <w:rsid w:val="00C96635"/>
    <w:pPr>
      <w:ind w:left="720"/>
      <w:contextualSpacing/>
    </w:pPr>
  </w:style>
  <w:style w:type="character" w:customStyle="1" w:styleId="a4">
    <w:name w:val="כותרת תחתונה תו"/>
    <w:basedOn w:val="a0"/>
    <w:link w:val="a3"/>
    <w:uiPriority w:val="99"/>
    <w:rsid w:val="008F0C79"/>
    <w:rPr>
      <w:rFonts w:ascii="Times" w:hAnsi="Times" w:cs="Times"/>
      <w:sz w:val="24"/>
      <w:szCs w:val="24"/>
    </w:rPr>
  </w:style>
  <w:style w:type="character" w:customStyle="1" w:styleId="a8">
    <w:name w:val="טקסט הערת שוליים תו"/>
    <w:basedOn w:val="a0"/>
    <w:link w:val="a7"/>
    <w:rsid w:val="00A27711"/>
    <w:rPr>
      <w:rFonts w:ascii="Times" w:hAnsi="Times" w:cs="Times"/>
    </w:rPr>
  </w:style>
  <w:style w:type="character" w:styleId="af3">
    <w:name w:val="annotation reference"/>
    <w:basedOn w:val="a0"/>
    <w:uiPriority w:val="99"/>
    <w:semiHidden/>
    <w:unhideWhenUsed/>
    <w:rsid w:val="008D2340"/>
    <w:rPr>
      <w:sz w:val="16"/>
      <w:szCs w:val="16"/>
    </w:rPr>
  </w:style>
  <w:style w:type="paragraph" w:styleId="af4">
    <w:name w:val="annotation text"/>
    <w:basedOn w:val="a"/>
    <w:link w:val="af5"/>
    <w:uiPriority w:val="99"/>
    <w:semiHidden/>
    <w:unhideWhenUsed/>
    <w:rsid w:val="008D2340"/>
    <w:pPr>
      <w:spacing w:line="240" w:lineRule="auto"/>
    </w:pPr>
    <w:rPr>
      <w:sz w:val="20"/>
      <w:szCs w:val="20"/>
    </w:rPr>
  </w:style>
  <w:style w:type="character" w:customStyle="1" w:styleId="af5">
    <w:name w:val="טקסט הערה תו"/>
    <w:basedOn w:val="a0"/>
    <w:link w:val="af4"/>
    <w:uiPriority w:val="99"/>
    <w:semiHidden/>
    <w:rsid w:val="008D2340"/>
    <w:rPr>
      <w:rFonts w:ascii="Times" w:hAnsi="Times" w:cs="Times"/>
    </w:rPr>
  </w:style>
  <w:style w:type="paragraph" w:styleId="af6">
    <w:name w:val="annotation subject"/>
    <w:basedOn w:val="af4"/>
    <w:next w:val="af4"/>
    <w:link w:val="af7"/>
    <w:uiPriority w:val="99"/>
    <w:semiHidden/>
    <w:unhideWhenUsed/>
    <w:rsid w:val="008D2340"/>
    <w:rPr>
      <w:b/>
      <w:bCs/>
    </w:rPr>
  </w:style>
  <w:style w:type="character" w:customStyle="1" w:styleId="af7">
    <w:name w:val="נושא הערה תו"/>
    <w:basedOn w:val="af5"/>
    <w:link w:val="af6"/>
    <w:uiPriority w:val="99"/>
    <w:semiHidden/>
    <w:rsid w:val="008D2340"/>
    <w:rPr>
      <w:rFonts w:ascii="Times" w:hAnsi="Times" w:cs="Times"/>
      <w:b/>
      <w:bCs/>
    </w:rPr>
  </w:style>
  <w:style w:type="paragraph" w:styleId="NormalWeb">
    <w:name w:val="Normal (Web)"/>
    <w:basedOn w:val="a"/>
    <w:uiPriority w:val="99"/>
    <w:semiHidden/>
    <w:unhideWhenUsed/>
    <w:rsid w:val="000C46E3"/>
    <w:pPr>
      <w:spacing w:before="100" w:beforeAutospacing="1" w:after="100" w:afterAutospacing="1" w:line="240" w:lineRule="auto"/>
      <w:jc w:val="left"/>
    </w:pPr>
    <w:rPr>
      <w:rFonts w:ascii="Times New Roman" w:eastAsiaTheme="minorEastAsia" w:hAnsi="Times New Roman" w:cs="Times New Roman"/>
    </w:rPr>
  </w:style>
  <w:style w:type="character" w:customStyle="1" w:styleId="30">
    <w:name w:val="כותרת 3 תו"/>
    <w:basedOn w:val="a0"/>
    <w:link w:val="3"/>
    <w:uiPriority w:val="9"/>
    <w:rsid w:val="00445F3E"/>
    <w:rPr>
      <w:rFonts w:ascii="Times New Roman" w:hAnsi="Times New Roman"/>
      <w:b/>
      <w:bCs/>
      <w:sz w:val="27"/>
      <w:szCs w:val="27"/>
    </w:rPr>
  </w:style>
  <w:style w:type="character" w:styleId="af8">
    <w:name w:val="Strong"/>
    <w:basedOn w:val="a0"/>
    <w:uiPriority w:val="22"/>
    <w:qFormat/>
    <w:rsid w:val="00445F3E"/>
    <w:rPr>
      <w:b/>
      <w:bCs/>
    </w:rPr>
  </w:style>
  <w:style w:type="character" w:styleId="af9">
    <w:name w:val="Emphasis"/>
    <w:basedOn w:val="a0"/>
    <w:uiPriority w:val="20"/>
    <w:qFormat/>
    <w:rsid w:val="00445F3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12841">
      <w:bodyDiv w:val="1"/>
      <w:marLeft w:val="0"/>
      <w:marRight w:val="0"/>
      <w:marTop w:val="0"/>
      <w:marBottom w:val="0"/>
      <w:divBdr>
        <w:top w:val="none" w:sz="0" w:space="0" w:color="auto"/>
        <w:left w:val="none" w:sz="0" w:space="0" w:color="auto"/>
        <w:bottom w:val="none" w:sz="0" w:space="0" w:color="auto"/>
        <w:right w:val="none" w:sz="0" w:space="0" w:color="auto"/>
      </w:divBdr>
    </w:div>
    <w:div w:id="601887596">
      <w:bodyDiv w:val="1"/>
      <w:marLeft w:val="0"/>
      <w:marRight w:val="0"/>
      <w:marTop w:val="0"/>
      <w:marBottom w:val="0"/>
      <w:divBdr>
        <w:top w:val="none" w:sz="0" w:space="0" w:color="auto"/>
        <w:left w:val="none" w:sz="0" w:space="0" w:color="auto"/>
        <w:bottom w:val="none" w:sz="0" w:space="0" w:color="auto"/>
        <w:right w:val="none" w:sz="0" w:space="0" w:color="auto"/>
      </w:divBdr>
    </w:div>
    <w:div w:id="1170020195">
      <w:bodyDiv w:val="1"/>
      <w:marLeft w:val="0"/>
      <w:marRight w:val="0"/>
      <w:marTop w:val="0"/>
      <w:marBottom w:val="0"/>
      <w:divBdr>
        <w:top w:val="none" w:sz="0" w:space="0" w:color="auto"/>
        <w:left w:val="none" w:sz="0" w:space="0" w:color="auto"/>
        <w:bottom w:val="none" w:sz="0" w:space="0" w:color="auto"/>
        <w:right w:val="none" w:sz="0" w:space="0" w:color="auto"/>
      </w:divBdr>
    </w:div>
    <w:div w:id="1213811366">
      <w:bodyDiv w:val="1"/>
      <w:marLeft w:val="0"/>
      <w:marRight w:val="0"/>
      <w:marTop w:val="0"/>
      <w:marBottom w:val="0"/>
      <w:divBdr>
        <w:top w:val="none" w:sz="0" w:space="0" w:color="auto"/>
        <w:left w:val="none" w:sz="0" w:space="0" w:color="auto"/>
        <w:bottom w:val="none" w:sz="0" w:space="0" w:color="auto"/>
        <w:right w:val="none" w:sz="0" w:space="0" w:color="auto"/>
      </w:divBdr>
    </w:div>
    <w:div w:id="1545095028">
      <w:bodyDiv w:val="1"/>
      <w:marLeft w:val="0"/>
      <w:marRight w:val="0"/>
      <w:marTop w:val="0"/>
      <w:marBottom w:val="0"/>
      <w:divBdr>
        <w:top w:val="none" w:sz="0" w:space="0" w:color="auto"/>
        <w:left w:val="none" w:sz="0" w:space="0" w:color="auto"/>
        <w:bottom w:val="none" w:sz="0" w:space="0" w:color="auto"/>
        <w:right w:val="none" w:sz="0" w:space="0" w:color="auto"/>
      </w:divBdr>
    </w:div>
    <w:div w:id="1884975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WaveListOrderValu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EE9343D4987C6478DC1BE6EDC107D2A" ma:contentTypeVersion="2" ma:contentTypeDescription="Create a new document." ma:contentTypeScope="" ma:versionID="accf42b3bcc0c5f4f4cd3f70261d3e4a">
  <xsd:schema xmlns:xsd="http://www.w3.org/2001/XMLSchema" xmlns:xs="http://www.w3.org/2001/XMLSchema" xmlns:p="http://schemas.microsoft.com/office/2006/metadata/properties" xmlns:ns1="http://schemas.microsoft.com/sharepoint/v3" targetNamespace="http://schemas.microsoft.com/office/2006/metadata/properties" ma:root="true" ma:fieldsID="77402afa3d4ca2a94263dbb7393923a8"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eWaveListOrderValu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element name="eWaveListOrderValue" ma:index="10" nillable="true" ma:displayName="סידור" ma:decimals="2" ma:internalName="eWaveListOrderValue" ma:readOnly="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D70AE1-37F1-4A16-B90F-7D9393E12D42}">
  <ds:schemaRefs>
    <ds:schemaRef ds:uri="http://schemas.microsoft.com/sharepoint/v3/contenttype/forms"/>
  </ds:schemaRefs>
</ds:datastoreItem>
</file>

<file path=customXml/itemProps2.xml><?xml version="1.0" encoding="utf-8"?>
<ds:datastoreItem xmlns:ds="http://schemas.openxmlformats.org/officeDocument/2006/customXml" ds:itemID="{37CB3AD7-C05B-4FB1-A8D2-B75B3DAE7EF1}">
  <ds:schemaRefs>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3FDC8C08-DE6D-4052-A05A-FF43BF3130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DC0043-5D21-424C-A426-D390CDF5C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409</Words>
  <Characters>2158</Characters>
  <Application>Microsoft Office Word</Application>
  <DocSecurity>4</DocSecurity>
  <Lines>17</Lines>
  <Paragraphs>5</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LinksUpToDate>false</LinksUpToDate>
  <CharactersWithSpaces>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2026-05-13T10:32:00Z</dcterms:created>
  <dcterms:modified xsi:type="dcterms:W3CDTF">2026-05-13T10:32:00Z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0x010100BEE9343D4987C6478DC1BE6EDC107D2A</vt:lpwstr>
  </property>
</Properties>
</file>