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1140B3" w14:textId="0105E584" w:rsidR="00650B9A" w:rsidRDefault="00125AB8" w:rsidP="00A60E0E">
      <w:pPr>
        <w:pStyle w:val="regpar"/>
        <w:spacing w:line="300" w:lineRule="atLeast"/>
        <w:ind w:firstLine="0"/>
        <w:jc w:val="center"/>
        <w:rPr>
          <w:rFonts w:ascii="Times New Roman" w:hAnsi="Times New Roman" w:cs="David"/>
          <w:bCs/>
        </w:rPr>
      </w:pPr>
      <w:r>
        <w:rPr>
          <w:noProof/>
        </w:rPr>
        <w:drawing>
          <wp:inline distT="0" distB="0" distL="0" distR="0" wp14:anchorId="48CFD75F" wp14:editId="68863E03">
            <wp:extent cx="2924175" cy="9715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4175" cy="971550"/>
                    </a:xfrm>
                    <a:prstGeom prst="rect">
                      <a:avLst/>
                    </a:prstGeom>
                    <a:noFill/>
                    <a:ln>
                      <a:noFill/>
                    </a:ln>
                  </pic:spPr>
                </pic:pic>
              </a:graphicData>
            </a:graphic>
          </wp:inline>
        </w:drawing>
      </w:r>
    </w:p>
    <w:p w14:paraId="5A42A60F" w14:textId="77777777" w:rsidR="00125AB8" w:rsidRDefault="00125AB8" w:rsidP="00A60E0E">
      <w:pPr>
        <w:pStyle w:val="regpar"/>
        <w:spacing w:line="300" w:lineRule="atLeast"/>
        <w:ind w:firstLine="0"/>
        <w:jc w:val="center"/>
        <w:rPr>
          <w:rFonts w:ascii="Times New Roman" w:hAnsi="Times New Roman" w:cs="David"/>
          <w:bCs/>
        </w:rPr>
      </w:pPr>
    </w:p>
    <w:p w14:paraId="5FEC0092" w14:textId="77777777" w:rsidR="00650B9A" w:rsidRPr="0012431B" w:rsidRDefault="00650B9A" w:rsidP="00A60E0E">
      <w:pPr>
        <w:pStyle w:val="regpar"/>
        <w:spacing w:line="300" w:lineRule="atLeast"/>
        <w:ind w:firstLine="0"/>
        <w:jc w:val="center"/>
        <w:rPr>
          <w:rFonts w:ascii="Segoe UI" w:hAnsi="Segoe UI" w:cs="Segoe UI"/>
          <w:bCs/>
          <w:sz w:val="22"/>
          <w:szCs w:val="22"/>
        </w:rPr>
      </w:pPr>
      <w:r w:rsidRPr="0012431B">
        <w:rPr>
          <w:rFonts w:ascii="Segoe UI" w:hAnsi="Segoe UI" w:cs="Segoe UI"/>
          <w:bCs/>
          <w:sz w:val="22"/>
          <w:szCs w:val="22"/>
        </w:rPr>
        <w:t>BANK OF ISRAEL</w:t>
      </w:r>
    </w:p>
    <w:p w14:paraId="7BDED074" w14:textId="1F140308" w:rsidR="00650B9A" w:rsidRPr="0012431B" w:rsidRDefault="00650B9A"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 xml:space="preserve">Office of the </w:t>
      </w:r>
      <w:r w:rsidR="0009048D" w:rsidRPr="0012431B">
        <w:rPr>
          <w:rFonts w:ascii="Segoe UI" w:hAnsi="Segoe UI" w:cs="Segoe UI"/>
          <w:sz w:val="22"/>
          <w:szCs w:val="22"/>
        </w:rPr>
        <w:t>Spokesperson and Economic Information</w:t>
      </w:r>
    </w:p>
    <w:p w14:paraId="5DC516B5" w14:textId="6D04FE8F" w:rsidR="0009048D" w:rsidRPr="0012431B" w:rsidRDefault="0009048D" w:rsidP="0009048D">
      <w:pPr>
        <w:pStyle w:val="regpar"/>
        <w:spacing w:line="300" w:lineRule="atLeast"/>
        <w:ind w:firstLine="0"/>
        <w:jc w:val="center"/>
        <w:rPr>
          <w:rFonts w:ascii="Segoe UI" w:hAnsi="Segoe UI" w:cs="Segoe UI"/>
          <w:sz w:val="22"/>
          <w:szCs w:val="22"/>
        </w:rPr>
      </w:pPr>
    </w:p>
    <w:p w14:paraId="73A6A7DC" w14:textId="3569AD15" w:rsidR="0009048D" w:rsidRPr="0012431B" w:rsidRDefault="0009048D" w:rsidP="0009048D">
      <w:pPr>
        <w:pStyle w:val="regpar"/>
        <w:spacing w:line="300" w:lineRule="atLeast"/>
        <w:ind w:firstLine="0"/>
        <w:jc w:val="center"/>
        <w:rPr>
          <w:rFonts w:ascii="Segoe UI" w:hAnsi="Segoe UI" w:cs="Segoe UI"/>
          <w:sz w:val="22"/>
          <w:szCs w:val="22"/>
        </w:rPr>
      </w:pPr>
      <w:r w:rsidRPr="0012431B">
        <w:rPr>
          <w:rFonts w:ascii="Segoe UI" w:hAnsi="Segoe UI" w:cs="Segoe UI"/>
          <w:sz w:val="22"/>
          <w:szCs w:val="22"/>
        </w:rPr>
        <w:t>Press release</w:t>
      </w:r>
    </w:p>
    <w:p w14:paraId="2DEFF62A" w14:textId="77777777" w:rsidR="00DD0AB5" w:rsidRPr="0012431B" w:rsidRDefault="00DD0AB5" w:rsidP="00A60E0E">
      <w:pPr>
        <w:pStyle w:val="regpar"/>
        <w:spacing w:line="300" w:lineRule="atLeast"/>
        <w:ind w:firstLine="0"/>
        <w:jc w:val="center"/>
        <w:rPr>
          <w:rFonts w:ascii="Segoe UI" w:hAnsi="Segoe UI" w:cs="Segoe UI"/>
          <w:b/>
          <w:sz w:val="22"/>
          <w:szCs w:val="22"/>
        </w:rPr>
      </w:pPr>
    </w:p>
    <w:p w14:paraId="0CD9A423" w14:textId="05E87B83" w:rsidR="007617BD" w:rsidRPr="0012431B" w:rsidRDefault="008C2ED0" w:rsidP="00651EE8">
      <w:pPr>
        <w:pStyle w:val="regpar"/>
        <w:jc w:val="right"/>
        <w:rPr>
          <w:rFonts w:ascii="Segoe UI" w:hAnsi="Segoe UI" w:cs="Segoe UI"/>
          <w:sz w:val="22"/>
          <w:szCs w:val="22"/>
        </w:rPr>
      </w:pPr>
      <w:r>
        <w:rPr>
          <w:rFonts w:ascii="Segoe UI" w:hAnsi="Segoe UI" w:cs="Segoe UI" w:hint="cs"/>
          <w:sz w:val="22"/>
          <w:szCs w:val="22"/>
        </w:rPr>
        <w:t>M</w:t>
      </w:r>
      <w:r>
        <w:rPr>
          <w:rFonts w:ascii="Segoe UI" w:hAnsi="Segoe UI" w:cs="Segoe UI"/>
          <w:sz w:val="22"/>
          <w:szCs w:val="22"/>
        </w:rPr>
        <w:t>arch 30</w:t>
      </w:r>
      <w:r w:rsidR="00443EB3">
        <w:rPr>
          <w:rFonts w:ascii="Segoe UI" w:hAnsi="Segoe UI" w:cs="Segoe UI"/>
          <w:sz w:val="22"/>
          <w:szCs w:val="22"/>
        </w:rPr>
        <w:t>, 2025</w:t>
      </w:r>
    </w:p>
    <w:p w14:paraId="22D7AE78" w14:textId="3BEA9B84" w:rsidR="00F23C43" w:rsidRPr="0012431B" w:rsidRDefault="00F23C43" w:rsidP="00F23C43">
      <w:pPr>
        <w:pStyle w:val="regpar"/>
        <w:rPr>
          <w:rFonts w:ascii="Segoe UI" w:hAnsi="Segoe UI" w:cs="Segoe UI"/>
          <w:sz w:val="22"/>
          <w:szCs w:val="22"/>
        </w:rPr>
      </w:pPr>
    </w:p>
    <w:p w14:paraId="325CE029" w14:textId="30104A21" w:rsidR="00D00CF7" w:rsidRPr="0012431B" w:rsidRDefault="00D00CF7" w:rsidP="00D00CF7">
      <w:pPr>
        <w:pStyle w:val="regpar"/>
        <w:jc w:val="center"/>
        <w:rPr>
          <w:rFonts w:ascii="Segoe UI" w:hAnsi="Segoe UI" w:cs="Segoe UI"/>
          <w:b/>
          <w:bCs/>
          <w:sz w:val="22"/>
          <w:szCs w:val="22"/>
        </w:rPr>
      </w:pPr>
    </w:p>
    <w:p w14:paraId="7BF8A788" w14:textId="12D8F77A" w:rsidR="00D00CF7" w:rsidRPr="007064D7" w:rsidRDefault="008C2ED0" w:rsidP="008C2ED0">
      <w:pPr>
        <w:pStyle w:val="regpar"/>
        <w:ind w:firstLine="0"/>
        <w:jc w:val="center"/>
        <w:rPr>
          <w:rFonts w:ascii="Segoe UI" w:hAnsi="Segoe UI" w:cs="Segoe UI"/>
          <w:b/>
          <w:bCs/>
        </w:rPr>
      </w:pPr>
      <w:r>
        <w:rPr>
          <w:rFonts w:ascii="Segoe UI" w:hAnsi="Segoe UI" w:cs="Segoe UI"/>
          <w:b/>
          <w:bCs/>
        </w:rPr>
        <w:t>The Bank of Israel announces the formulation and implementation of a NIS 3 billion financial relief plan for customers of the banking system</w:t>
      </w:r>
    </w:p>
    <w:p w14:paraId="57364676" w14:textId="31A5CF0C" w:rsidR="00477DE2" w:rsidRPr="00443EB3" w:rsidRDefault="00477DE2" w:rsidP="00477DE2">
      <w:pPr>
        <w:pStyle w:val="regpar"/>
        <w:ind w:firstLine="0"/>
        <w:jc w:val="center"/>
        <w:rPr>
          <w:rFonts w:ascii="Segoe UI" w:hAnsi="Segoe UI" w:cs="Segoe UI"/>
          <w:b/>
          <w:bCs/>
          <w:sz w:val="22"/>
          <w:szCs w:val="22"/>
        </w:rPr>
      </w:pPr>
    </w:p>
    <w:p w14:paraId="2A35FCA8" w14:textId="34659EC3" w:rsidR="008C2ED0" w:rsidRPr="008C2ED0" w:rsidRDefault="008C2ED0" w:rsidP="008C2ED0">
      <w:pPr>
        <w:spacing w:before="100" w:beforeAutospacing="1" w:after="100" w:afterAutospacing="1"/>
        <w:rPr>
          <w:rFonts w:ascii="Segoe UI" w:hAnsi="Segoe UI" w:cs="Segoe UI"/>
          <w:sz w:val="22"/>
          <w:szCs w:val="22"/>
        </w:rPr>
      </w:pPr>
      <w:r w:rsidRPr="008C2ED0">
        <w:rPr>
          <w:rFonts w:ascii="Segoe UI" w:hAnsi="Segoe UI" w:cs="Segoe UI"/>
          <w:sz w:val="22"/>
          <w:szCs w:val="22"/>
        </w:rPr>
        <w:t>Further to the Bank of Israel</w:t>
      </w:r>
      <w:r w:rsidR="009E349C">
        <w:rPr>
          <w:rFonts w:ascii="Segoe UI" w:hAnsi="Segoe UI" w:cs="Segoe UI"/>
          <w:sz w:val="22"/>
          <w:szCs w:val="22"/>
        </w:rPr>
        <w:t>’</w:t>
      </w:r>
      <w:r w:rsidRPr="008C2ED0">
        <w:rPr>
          <w:rFonts w:ascii="Segoe UI" w:hAnsi="Segoe UI" w:cs="Segoe UI"/>
          <w:sz w:val="22"/>
          <w:szCs w:val="22"/>
        </w:rPr>
        <w:t xml:space="preserve">s announcement regarding the intention to formulate a financial relief plan for customers of the banking system, the Bank of Israel now announces the completion of the process and the publication of the final </w:t>
      </w:r>
      <w:r>
        <w:rPr>
          <w:rFonts w:ascii="Segoe UI" w:hAnsi="Segoe UI" w:cs="Segoe UI"/>
          <w:sz w:val="22"/>
          <w:szCs w:val="22"/>
        </w:rPr>
        <w:t>plan</w:t>
      </w:r>
      <w:r w:rsidRPr="008C2ED0">
        <w:rPr>
          <w:rFonts w:ascii="Segoe UI" w:hAnsi="Segoe UI" w:cs="Segoe UI"/>
          <w:sz w:val="22"/>
          <w:szCs w:val="22"/>
        </w:rPr>
        <w:t xml:space="preserve">. Under this </w:t>
      </w:r>
      <w:r>
        <w:rPr>
          <w:rFonts w:ascii="Segoe UI" w:hAnsi="Segoe UI" w:cs="Segoe UI"/>
          <w:sz w:val="22"/>
          <w:szCs w:val="22"/>
        </w:rPr>
        <w:t>plan</w:t>
      </w:r>
      <w:r w:rsidRPr="008C2ED0">
        <w:rPr>
          <w:rFonts w:ascii="Segoe UI" w:hAnsi="Segoe UI" w:cs="Segoe UI"/>
          <w:sz w:val="22"/>
          <w:szCs w:val="22"/>
        </w:rPr>
        <w:t xml:space="preserve">, the banking system will allocate a cumulative amount of </w:t>
      </w:r>
      <w:r>
        <w:rPr>
          <w:rFonts w:ascii="Segoe UI" w:hAnsi="Segoe UI" w:cs="Segoe UI"/>
          <w:sz w:val="22"/>
          <w:szCs w:val="22"/>
        </w:rPr>
        <w:t xml:space="preserve">NIS </w:t>
      </w:r>
      <w:r w:rsidRPr="008C2ED0">
        <w:rPr>
          <w:rFonts w:ascii="Segoe UI" w:hAnsi="Segoe UI" w:cs="Segoe UI"/>
          <w:sz w:val="22"/>
          <w:szCs w:val="22"/>
        </w:rPr>
        <w:t xml:space="preserve">3 billion, consisting of </w:t>
      </w:r>
      <w:r>
        <w:rPr>
          <w:rFonts w:ascii="Segoe UI" w:hAnsi="Segoe UI" w:cs="Segoe UI"/>
          <w:sz w:val="22"/>
          <w:szCs w:val="22"/>
        </w:rPr>
        <w:t xml:space="preserve">NIS </w:t>
      </w:r>
      <w:r w:rsidRPr="008C2ED0">
        <w:rPr>
          <w:rFonts w:ascii="Segoe UI" w:hAnsi="Segoe UI" w:cs="Segoe UI"/>
          <w:sz w:val="22"/>
          <w:szCs w:val="22"/>
        </w:rPr>
        <w:t xml:space="preserve">1.5 billion each year, starting from the second quarter of 2025 </w:t>
      </w:r>
      <w:r>
        <w:rPr>
          <w:rFonts w:ascii="Segoe UI" w:hAnsi="Segoe UI" w:cs="Segoe UI"/>
          <w:sz w:val="22"/>
          <w:szCs w:val="22"/>
        </w:rPr>
        <w:t xml:space="preserve">and lasting </w:t>
      </w:r>
      <w:r w:rsidRPr="008C2ED0">
        <w:rPr>
          <w:rFonts w:ascii="Segoe UI" w:hAnsi="Segoe UI" w:cs="Segoe UI"/>
          <w:sz w:val="22"/>
          <w:szCs w:val="22"/>
        </w:rPr>
        <w:t>until the first quarter of 2027. As part of the voluntary plan, various commercial banks</w:t>
      </w:r>
      <w:r>
        <w:rPr>
          <w:rStyle w:val="FootnoteReference"/>
          <w:rFonts w:ascii="Segoe UI" w:hAnsi="Segoe UI" w:cs="Segoe UI"/>
        </w:rPr>
        <w:footnoteReference w:id="1"/>
      </w:r>
      <w:r w:rsidRPr="008C2ED0">
        <w:rPr>
          <w:rFonts w:ascii="Segoe UI" w:hAnsi="Segoe UI" w:cs="Segoe UI"/>
          <w:sz w:val="22"/>
          <w:szCs w:val="22"/>
        </w:rPr>
        <w:t xml:space="preserve"> will provide a range of financial relief</w:t>
      </w:r>
      <w:r>
        <w:rPr>
          <w:rFonts w:ascii="Segoe UI" w:hAnsi="Segoe UI" w:cs="Segoe UI"/>
          <w:sz w:val="22"/>
          <w:szCs w:val="22"/>
        </w:rPr>
        <w:t xml:space="preserve"> components</w:t>
      </w:r>
      <w:r w:rsidRPr="008C2ED0">
        <w:rPr>
          <w:rFonts w:ascii="Segoe UI" w:hAnsi="Segoe UI" w:cs="Segoe UI"/>
          <w:sz w:val="22"/>
          <w:szCs w:val="22"/>
        </w:rPr>
        <w:t xml:space="preserve"> and direct refunds to millions of retail banking customers.</w:t>
      </w:r>
      <w:r>
        <w:rPr>
          <w:rStyle w:val="FootnoteReference"/>
          <w:rFonts w:ascii="Segoe UI" w:hAnsi="Segoe UI" w:cs="Segoe UI"/>
        </w:rPr>
        <w:footnoteReference w:id="2"/>
      </w:r>
    </w:p>
    <w:p w14:paraId="64D0DF07" w14:textId="65DFACCF" w:rsidR="008C2ED0" w:rsidRPr="008C2ED0" w:rsidRDefault="008C2ED0" w:rsidP="009E349C">
      <w:pPr>
        <w:spacing w:before="100" w:beforeAutospacing="1" w:after="100" w:afterAutospacing="1"/>
        <w:rPr>
          <w:rFonts w:ascii="Segoe UI" w:hAnsi="Segoe UI" w:cs="Segoe UI"/>
          <w:sz w:val="22"/>
          <w:szCs w:val="22"/>
        </w:rPr>
      </w:pPr>
      <w:bookmarkStart w:id="0" w:name="_GoBack"/>
      <w:bookmarkEnd w:id="0"/>
      <w:r w:rsidRPr="008C2ED0">
        <w:rPr>
          <w:rFonts w:ascii="Segoe UI" w:hAnsi="Segoe UI" w:cs="Segoe UI"/>
          <w:sz w:val="22"/>
          <w:szCs w:val="22"/>
        </w:rPr>
        <w:t xml:space="preserve">Bank of Israel Governor Prof. Amir Yaron: </w:t>
      </w:r>
      <w:r w:rsidR="009E349C">
        <w:rPr>
          <w:rFonts w:ascii="Segoe UI" w:hAnsi="Segoe UI" w:cs="Segoe UI"/>
          <w:sz w:val="22"/>
          <w:szCs w:val="22"/>
        </w:rPr>
        <w:t>“</w:t>
      </w:r>
      <w:r w:rsidRPr="008C2ED0">
        <w:rPr>
          <w:rFonts w:ascii="Segoe UI" w:hAnsi="Segoe UI" w:cs="Segoe UI"/>
          <w:sz w:val="22"/>
          <w:szCs w:val="22"/>
        </w:rPr>
        <w:t xml:space="preserve">The well-being of households and small businesses is always at the forefront of our considerations. The optimal path to improving customer welfare in the banking system is through removing barriers and increasing competition. Accordingly, the Bank of Israel has consistently led a series of measures in recent years to </w:t>
      </w:r>
      <w:r w:rsidR="009E349C">
        <w:rPr>
          <w:rFonts w:ascii="Segoe UI" w:hAnsi="Segoe UI" w:cs="Segoe UI"/>
          <w:sz w:val="22"/>
          <w:szCs w:val="22"/>
        </w:rPr>
        <w:t>enhance</w:t>
      </w:r>
      <w:r w:rsidRPr="008C2ED0">
        <w:rPr>
          <w:rFonts w:ascii="Segoe UI" w:hAnsi="Segoe UI" w:cs="Segoe UI"/>
          <w:sz w:val="22"/>
          <w:szCs w:val="22"/>
        </w:rPr>
        <w:t xml:space="preserve"> customer power and </w:t>
      </w:r>
      <w:r w:rsidR="009E349C">
        <w:rPr>
          <w:rFonts w:ascii="Segoe UI" w:hAnsi="Segoe UI" w:cs="Segoe UI"/>
          <w:sz w:val="22"/>
          <w:szCs w:val="22"/>
        </w:rPr>
        <w:t>increase</w:t>
      </w:r>
      <w:r w:rsidRPr="008C2ED0">
        <w:rPr>
          <w:rFonts w:ascii="Segoe UI" w:hAnsi="Segoe UI" w:cs="Segoe UI"/>
          <w:sz w:val="22"/>
          <w:szCs w:val="22"/>
        </w:rPr>
        <w:t xml:space="preserve"> transparency. Naturally, this is a process. Some measures are already </w:t>
      </w:r>
      <w:r w:rsidR="009E349C">
        <w:rPr>
          <w:rFonts w:ascii="Segoe UI" w:hAnsi="Segoe UI" w:cs="Segoe UI"/>
          <w:sz w:val="22"/>
          <w:szCs w:val="22"/>
        </w:rPr>
        <w:t xml:space="preserve">being reflected </w:t>
      </w:r>
      <w:r w:rsidRPr="008C2ED0">
        <w:rPr>
          <w:rFonts w:ascii="Segoe UI" w:hAnsi="Segoe UI" w:cs="Segoe UI"/>
          <w:sz w:val="22"/>
          <w:szCs w:val="22"/>
        </w:rPr>
        <w:t xml:space="preserve">in improved competition, while others still need time to mature. In addition, given the high profitability of the banking system in recent years and the challenging impacts of the Swords of Iron </w:t>
      </w:r>
      <w:r w:rsidR="009E349C">
        <w:rPr>
          <w:rFonts w:ascii="Segoe UI" w:hAnsi="Segoe UI" w:cs="Segoe UI"/>
          <w:sz w:val="22"/>
          <w:szCs w:val="22"/>
        </w:rPr>
        <w:t>W</w:t>
      </w:r>
      <w:r w:rsidRPr="008C2ED0">
        <w:rPr>
          <w:rFonts w:ascii="Segoe UI" w:hAnsi="Segoe UI" w:cs="Segoe UI"/>
          <w:sz w:val="22"/>
          <w:szCs w:val="22"/>
        </w:rPr>
        <w:t>ar on households and small businesses, the Bank of Israel has formulated a financial relief plan to provide immediate assistance to the public. According to the plan, banks will provide significant financial relief to the public, and a large portion of banking system customers are expected to feel these reliefs in practice. I commend the banking system for its responsiveness in joining the plan. The Bank of Israel will continue to work to increase competition and improve the welfare of banking system customers.</w:t>
      </w:r>
      <w:r w:rsidR="009E349C">
        <w:rPr>
          <w:rFonts w:ascii="Segoe UI" w:hAnsi="Segoe UI" w:cs="Segoe UI"/>
          <w:sz w:val="22"/>
          <w:szCs w:val="22"/>
        </w:rPr>
        <w:t>”</w:t>
      </w:r>
    </w:p>
    <w:p w14:paraId="3C08F30C" w14:textId="6210F1D0" w:rsidR="008C2ED0" w:rsidRPr="008C2ED0" w:rsidRDefault="008C2ED0" w:rsidP="009E349C">
      <w:pPr>
        <w:spacing w:before="100" w:beforeAutospacing="1" w:after="100" w:afterAutospacing="1"/>
        <w:rPr>
          <w:rFonts w:ascii="Segoe UI" w:hAnsi="Segoe UI" w:cs="Segoe UI"/>
          <w:sz w:val="22"/>
          <w:szCs w:val="22"/>
        </w:rPr>
      </w:pPr>
      <w:r w:rsidRPr="008C2ED0">
        <w:rPr>
          <w:rFonts w:ascii="Segoe UI" w:hAnsi="Segoe UI" w:cs="Segoe UI"/>
          <w:sz w:val="22"/>
          <w:szCs w:val="22"/>
        </w:rPr>
        <w:t xml:space="preserve">Supervisor of Banks, Mr. Daniel </w:t>
      </w:r>
      <w:proofErr w:type="spellStart"/>
      <w:r w:rsidRPr="008C2ED0">
        <w:rPr>
          <w:rFonts w:ascii="Segoe UI" w:hAnsi="Segoe UI" w:cs="Segoe UI"/>
          <w:sz w:val="22"/>
          <w:szCs w:val="22"/>
        </w:rPr>
        <w:t>Hahi</w:t>
      </w:r>
      <w:r w:rsidR="009E349C">
        <w:rPr>
          <w:rFonts w:ascii="Segoe UI" w:hAnsi="Segoe UI" w:cs="Segoe UI"/>
          <w:sz w:val="22"/>
          <w:szCs w:val="22"/>
        </w:rPr>
        <w:t>a</w:t>
      </w:r>
      <w:r w:rsidRPr="008C2ED0">
        <w:rPr>
          <w:rFonts w:ascii="Segoe UI" w:hAnsi="Segoe UI" w:cs="Segoe UI"/>
          <w:sz w:val="22"/>
          <w:szCs w:val="22"/>
        </w:rPr>
        <w:t>shvili</w:t>
      </w:r>
      <w:proofErr w:type="spellEnd"/>
      <w:r w:rsidRPr="008C2ED0">
        <w:rPr>
          <w:rFonts w:ascii="Segoe UI" w:hAnsi="Segoe UI" w:cs="Segoe UI"/>
          <w:sz w:val="22"/>
          <w:szCs w:val="22"/>
        </w:rPr>
        <w:t xml:space="preserve">: </w:t>
      </w:r>
      <w:r w:rsidR="009E349C">
        <w:rPr>
          <w:rFonts w:ascii="Segoe UI" w:hAnsi="Segoe UI" w:cs="Segoe UI"/>
          <w:sz w:val="22"/>
          <w:szCs w:val="22"/>
        </w:rPr>
        <w:t>“</w:t>
      </w:r>
      <w:r w:rsidRPr="008C2ED0">
        <w:rPr>
          <w:rFonts w:ascii="Segoe UI" w:hAnsi="Segoe UI" w:cs="Segoe UI"/>
          <w:sz w:val="22"/>
          <w:szCs w:val="22"/>
        </w:rPr>
        <w:t>The significant financial relief plan we have formulated, against the backdrop of the high profitability of the banking system, will benefit banking system customers, with a focus on households and small</w:t>
      </w:r>
      <w:r w:rsidR="009E349C">
        <w:rPr>
          <w:rFonts w:ascii="Segoe UI" w:hAnsi="Segoe UI" w:cs="Segoe UI"/>
          <w:sz w:val="22"/>
          <w:szCs w:val="22"/>
        </w:rPr>
        <w:t xml:space="preserve"> and micro</w:t>
      </w:r>
      <w:r w:rsidRPr="008C2ED0">
        <w:rPr>
          <w:rFonts w:ascii="Segoe UI" w:hAnsi="Segoe UI" w:cs="Segoe UI"/>
          <w:sz w:val="22"/>
          <w:szCs w:val="22"/>
        </w:rPr>
        <w:t xml:space="preserve"> businesses. </w:t>
      </w:r>
      <w:r w:rsidR="009E349C">
        <w:rPr>
          <w:rFonts w:ascii="Segoe UI" w:hAnsi="Segoe UI" w:cs="Segoe UI"/>
          <w:sz w:val="22"/>
          <w:szCs w:val="22"/>
        </w:rPr>
        <w:t>W</w:t>
      </w:r>
      <w:r w:rsidRPr="008C2ED0">
        <w:rPr>
          <w:rFonts w:ascii="Segoe UI" w:hAnsi="Segoe UI" w:cs="Segoe UI"/>
          <w:sz w:val="22"/>
          <w:szCs w:val="22"/>
        </w:rPr>
        <w:t xml:space="preserve">e emphasized </w:t>
      </w:r>
      <w:r w:rsidR="009E349C">
        <w:rPr>
          <w:rFonts w:ascii="Segoe UI" w:hAnsi="Segoe UI" w:cs="Segoe UI"/>
          <w:sz w:val="22"/>
          <w:szCs w:val="22"/>
        </w:rPr>
        <w:t xml:space="preserve">in the plan </w:t>
      </w:r>
      <w:r w:rsidRPr="008C2ED0">
        <w:rPr>
          <w:rFonts w:ascii="Segoe UI" w:hAnsi="Segoe UI" w:cs="Segoe UI"/>
          <w:sz w:val="22"/>
          <w:szCs w:val="22"/>
        </w:rPr>
        <w:t>that most of the financial relief</w:t>
      </w:r>
      <w:r w:rsidR="009E349C">
        <w:rPr>
          <w:rFonts w:ascii="Segoe UI" w:hAnsi="Segoe UI" w:cs="Segoe UI"/>
          <w:sz w:val="22"/>
          <w:szCs w:val="22"/>
        </w:rPr>
        <w:t xml:space="preserve"> element</w:t>
      </w:r>
      <w:r w:rsidRPr="008C2ED0">
        <w:rPr>
          <w:rFonts w:ascii="Segoe UI" w:hAnsi="Segoe UI" w:cs="Segoe UI"/>
          <w:sz w:val="22"/>
          <w:szCs w:val="22"/>
        </w:rPr>
        <w:t xml:space="preserve">s in the various packages will be given directly to customers without the need to submit a request, while allowing the banks discretion to act according to their business focuses and customer mix. I commend the banking system for adopting the plan and expect it to work toward promoting additional relief for customers, even beyond what is stipulated in the plan. This step is parallel to the </w:t>
      </w:r>
      <w:r w:rsidRPr="008C2ED0">
        <w:rPr>
          <w:rFonts w:ascii="Segoe UI" w:hAnsi="Segoe UI" w:cs="Segoe UI"/>
          <w:sz w:val="22"/>
          <w:szCs w:val="22"/>
        </w:rPr>
        <w:lastRenderedPageBreak/>
        <w:t xml:space="preserve">infrastructural measures we are leading to increase fairness, competition, and innovation, which ultimately will </w:t>
      </w:r>
      <w:r w:rsidR="009E349C">
        <w:rPr>
          <w:rFonts w:ascii="Segoe UI" w:hAnsi="Segoe UI" w:cs="Segoe UI"/>
          <w:sz w:val="22"/>
          <w:szCs w:val="22"/>
        </w:rPr>
        <w:t>enhance</w:t>
      </w:r>
      <w:r w:rsidRPr="008C2ED0">
        <w:rPr>
          <w:rFonts w:ascii="Segoe UI" w:hAnsi="Segoe UI" w:cs="Segoe UI"/>
          <w:sz w:val="22"/>
          <w:szCs w:val="22"/>
        </w:rPr>
        <w:t xml:space="preserve"> customer bargaining power and public trust.</w:t>
      </w:r>
      <w:r w:rsidR="009E349C">
        <w:rPr>
          <w:rFonts w:ascii="Segoe UI" w:hAnsi="Segoe UI" w:cs="Segoe UI"/>
          <w:sz w:val="22"/>
          <w:szCs w:val="22"/>
        </w:rPr>
        <w:t>”</w:t>
      </w:r>
    </w:p>
    <w:p w14:paraId="3E60F597" w14:textId="310102C4" w:rsidR="008C2ED0" w:rsidRPr="008C2ED0" w:rsidRDefault="008C2ED0" w:rsidP="009E349C">
      <w:pPr>
        <w:spacing w:before="100" w:beforeAutospacing="1" w:after="100" w:afterAutospacing="1"/>
        <w:rPr>
          <w:rFonts w:ascii="Segoe UI" w:hAnsi="Segoe UI" w:cs="Segoe UI"/>
          <w:sz w:val="22"/>
          <w:szCs w:val="22"/>
        </w:rPr>
      </w:pPr>
      <w:r w:rsidRPr="008C2ED0">
        <w:rPr>
          <w:rFonts w:ascii="Segoe UI" w:hAnsi="Segoe UI" w:cs="Segoe UI"/>
          <w:sz w:val="22"/>
          <w:szCs w:val="22"/>
        </w:rPr>
        <w:t>The plan formulated and adopted by the banks is for two years, and the amounts will be distributed and transferred to customers on a quarterly basis. However, as noted during the presentation of the plan</w:t>
      </w:r>
      <w:r w:rsidR="009E349C">
        <w:rPr>
          <w:rFonts w:ascii="Segoe UI" w:hAnsi="Segoe UI" w:cs="Segoe UI"/>
          <w:sz w:val="22"/>
          <w:szCs w:val="22"/>
        </w:rPr>
        <w:t>’</w:t>
      </w:r>
      <w:r w:rsidRPr="008C2ED0">
        <w:rPr>
          <w:rFonts w:ascii="Segoe UI" w:hAnsi="Segoe UI" w:cs="Segoe UI"/>
          <w:sz w:val="22"/>
          <w:szCs w:val="22"/>
        </w:rPr>
        <w:t xml:space="preserve">s principles, the plan period may be </w:t>
      </w:r>
      <w:r w:rsidR="009E349C">
        <w:rPr>
          <w:rFonts w:ascii="Segoe UI" w:hAnsi="Segoe UI" w:cs="Segoe UI"/>
          <w:sz w:val="22"/>
          <w:szCs w:val="22"/>
        </w:rPr>
        <w:t>revised</w:t>
      </w:r>
      <w:r w:rsidRPr="008C2ED0">
        <w:rPr>
          <w:rFonts w:ascii="Segoe UI" w:hAnsi="Segoe UI" w:cs="Segoe UI"/>
          <w:sz w:val="22"/>
          <w:szCs w:val="22"/>
        </w:rPr>
        <w:t xml:space="preserve"> in certain cases, such as significant changes in geopolitical uncertainty, banking system profitability, and market conditions in which </w:t>
      </w:r>
      <w:r w:rsidR="009E349C">
        <w:rPr>
          <w:rFonts w:ascii="Segoe UI" w:hAnsi="Segoe UI" w:cs="Segoe UI"/>
          <w:sz w:val="22"/>
          <w:szCs w:val="22"/>
        </w:rPr>
        <w:t>the system</w:t>
      </w:r>
      <w:r w:rsidRPr="008C2ED0">
        <w:rPr>
          <w:rFonts w:ascii="Segoe UI" w:hAnsi="Segoe UI" w:cs="Segoe UI"/>
          <w:sz w:val="22"/>
          <w:szCs w:val="22"/>
        </w:rPr>
        <w:t xml:space="preserve"> operates. From the Bank of Israel</w:t>
      </w:r>
      <w:r w:rsidR="009E349C">
        <w:rPr>
          <w:rFonts w:ascii="Segoe UI" w:hAnsi="Segoe UI" w:cs="Segoe UI"/>
          <w:sz w:val="22"/>
          <w:szCs w:val="22"/>
        </w:rPr>
        <w:t>’</w:t>
      </w:r>
      <w:r w:rsidRPr="008C2ED0">
        <w:rPr>
          <w:rFonts w:ascii="Segoe UI" w:hAnsi="Segoe UI" w:cs="Segoe UI"/>
          <w:sz w:val="22"/>
          <w:szCs w:val="22"/>
        </w:rPr>
        <w:t>s perspective, the significant plan formulated is more suitable for the needs of banking system customers than specific taxation processes and legislative processes that propose intervening in the pricing of banking products and current account</w:t>
      </w:r>
      <w:r w:rsidR="009E349C">
        <w:rPr>
          <w:rFonts w:ascii="Segoe UI" w:hAnsi="Segoe UI" w:cs="Segoe UI"/>
          <w:sz w:val="22"/>
          <w:szCs w:val="22"/>
        </w:rPr>
        <w:t xml:space="preserve"> management,</w:t>
      </w:r>
      <w:r w:rsidRPr="008C2ED0">
        <w:rPr>
          <w:rFonts w:ascii="Segoe UI" w:hAnsi="Segoe UI" w:cs="Segoe UI"/>
          <w:sz w:val="22"/>
          <w:szCs w:val="22"/>
        </w:rPr>
        <w:t xml:space="preserve"> yield-generating paths</w:t>
      </w:r>
      <w:r w:rsidR="009E349C">
        <w:rPr>
          <w:rFonts w:ascii="Segoe UI" w:hAnsi="Segoe UI" w:cs="Segoe UI"/>
          <w:sz w:val="22"/>
          <w:szCs w:val="22"/>
        </w:rPr>
        <w:t>,</w:t>
      </w:r>
      <w:r w:rsidRPr="008C2ED0">
        <w:rPr>
          <w:rFonts w:ascii="Segoe UI" w:hAnsi="Segoe UI" w:cs="Segoe UI"/>
          <w:sz w:val="22"/>
          <w:szCs w:val="22"/>
        </w:rPr>
        <w:t xml:space="preserve"> or increasing the transmission from the Bank of Israel</w:t>
      </w:r>
      <w:r w:rsidR="009E349C">
        <w:rPr>
          <w:rFonts w:ascii="Segoe UI" w:hAnsi="Segoe UI" w:cs="Segoe UI"/>
          <w:sz w:val="22"/>
          <w:szCs w:val="22"/>
        </w:rPr>
        <w:t>’</w:t>
      </w:r>
      <w:r w:rsidRPr="008C2ED0">
        <w:rPr>
          <w:rFonts w:ascii="Segoe UI" w:hAnsi="Segoe UI" w:cs="Segoe UI"/>
          <w:sz w:val="22"/>
          <w:szCs w:val="22"/>
        </w:rPr>
        <w:t>s interest rate to interest-bearing deposits.</w:t>
      </w:r>
    </w:p>
    <w:p w14:paraId="28BA80B7" w14:textId="44CF2D89" w:rsidR="008C2ED0" w:rsidRPr="008C2ED0" w:rsidRDefault="008C2ED0" w:rsidP="009E349C">
      <w:pPr>
        <w:spacing w:before="100" w:beforeAutospacing="1" w:after="100" w:afterAutospacing="1"/>
        <w:rPr>
          <w:rFonts w:ascii="Segoe UI" w:hAnsi="Segoe UI" w:cs="Segoe UI"/>
          <w:sz w:val="22"/>
          <w:szCs w:val="22"/>
        </w:rPr>
      </w:pPr>
      <w:r w:rsidRPr="008C2ED0">
        <w:rPr>
          <w:rFonts w:ascii="Segoe UI" w:hAnsi="Segoe UI" w:cs="Segoe UI"/>
          <w:sz w:val="22"/>
          <w:szCs w:val="22"/>
        </w:rPr>
        <w:t>The relief plan will take effect during the second quarter of 2025, starting from April 1, 2025. Following this announcement, each commercial bank will publish the details of the financial reliefs it provides and the relevant customer grou</w:t>
      </w:r>
      <w:r w:rsidR="009E349C">
        <w:rPr>
          <w:rFonts w:ascii="Segoe UI" w:hAnsi="Segoe UI" w:cs="Segoe UI"/>
          <w:sz w:val="22"/>
          <w:szCs w:val="22"/>
        </w:rPr>
        <w:t xml:space="preserve">ps prominently on its website. Each bank’s </w:t>
      </w:r>
      <w:r w:rsidRPr="008C2ED0">
        <w:rPr>
          <w:rFonts w:ascii="Segoe UI" w:hAnsi="Segoe UI" w:cs="Segoe UI"/>
          <w:sz w:val="22"/>
          <w:szCs w:val="22"/>
        </w:rPr>
        <w:t>financial scope in the first year of the plan is derived from its relative profitability for the years 2023</w:t>
      </w:r>
      <w:r w:rsidR="009E349C">
        <w:rPr>
          <w:rFonts w:ascii="Segoe UI" w:hAnsi="Segoe UI" w:cs="Segoe UI"/>
          <w:sz w:val="22"/>
          <w:szCs w:val="22"/>
        </w:rPr>
        <w:t>–</w:t>
      </w:r>
      <w:r w:rsidRPr="008C2ED0">
        <w:rPr>
          <w:rFonts w:ascii="Segoe UI" w:hAnsi="Segoe UI" w:cs="Segoe UI"/>
          <w:sz w:val="22"/>
          <w:szCs w:val="22"/>
        </w:rPr>
        <w:t>2024 as of the date of</w:t>
      </w:r>
      <w:r w:rsidR="009E349C">
        <w:rPr>
          <w:rFonts w:ascii="Segoe UI" w:hAnsi="Segoe UI" w:cs="Segoe UI"/>
          <w:sz w:val="22"/>
          <w:szCs w:val="22"/>
        </w:rPr>
        <w:t xml:space="preserve"> publication of</w:t>
      </w:r>
      <w:r w:rsidRPr="008C2ED0">
        <w:rPr>
          <w:rFonts w:ascii="Segoe UI" w:hAnsi="Segoe UI" w:cs="Segoe UI"/>
          <w:sz w:val="22"/>
          <w:szCs w:val="22"/>
        </w:rPr>
        <w:t xml:space="preserve"> the plan</w:t>
      </w:r>
      <w:r w:rsidR="009E349C">
        <w:rPr>
          <w:rFonts w:ascii="Segoe UI" w:hAnsi="Segoe UI" w:cs="Segoe UI"/>
          <w:sz w:val="22"/>
          <w:szCs w:val="22"/>
        </w:rPr>
        <w:t>’</w:t>
      </w:r>
      <w:r w:rsidRPr="008C2ED0">
        <w:rPr>
          <w:rFonts w:ascii="Segoe UI" w:hAnsi="Segoe UI" w:cs="Segoe UI"/>
          <w:sz w:val="22"/>
          <w:szCs w:val="22"/>
        </w:rPr>
        <w:t>s principles. Additionally, the plan includes various reliefs that banks will provide to population</w:t>
      </w:r>
      <w:r w:rsidR="009E349C">
        <w:rPr>
          <w:rFonts w:ascii="Segoe UI" w:hAnsi="Segoe UI" w:cs="Segoe UI"/>
          <w:sz w:val="22"/>
          <w:szCs w:val="22"/>
        </w:rPr>
        <w:t xml:space="preserve"> group</w:t>
      </w:r>
      <w:r w:rsidRPr="008C2ED0">
        <w:rPr>
          <w:rFonts w:ascii="Segoe UI" w:hAnsi="Segoe UI" w:cs="Segoe UI"/>
          <w:sz w:val="22"/>
          <w:szCs w:val="22"/>
        </w:rPr>
        <w:t xml:space="preserve">s included in the Swords of Iron </w:t>
      </w:r>
      <w:r w:rsidR="009E349C">
        <w:rPr>
          <w:rFonts w:ascii="Segoe UI" w:hAnsi="Segoe UI" w:cs="Segoe UI"/>
          <w:sz w:val="22"/>
          <w:szCs w:val="22"/>
        </w:rPr>
        <w:t>W</w:t>
      </w:r>
      <w:r w:rsidRPr="008C2ED0">
        <w:rPr>
          <w:rFonts w:ascii="Segoe UI" w:hAnsi="Segoe UI" w:cs="Segoe UI"/>
          <w:sz w:val="22"/>
          <w:szCs w:val="22"/>
        </w:rPr>
        <w:t xml:space="preserve">ar </w:t>
      </w:r>
      <w:r w:rsidR="009E349C">
        <w:rPr>
          <w:rFonts w:ascii="Segoe UI" w:hAnsi="Segoe UI" w:cs="Segoe UI"/>
          <w:sz w:val="22"/>
          <w:szCs w:val="22"/>
        </w:rPr>
        <w:t>program</w:t>
      </w:r>
      <w:r w:rsidR="003268AD">
        <w:rPr>
          <w:rStyle w:val="FootnoteReference"/>
          <w:rFonts w:ascii="Segoe UI" w:hAnsi="Segoe UI" w:cs="Segoe UI"/>
        </w:rPr>
        <w:footnoteReference w:id="3"/>
      </w:r>
      <w:r w:rsidRPr="008C2ED0">
        <w:rPr>
          <w:rFonts w:ascii="Segoe UI" w:hAnsi="Segoe UI" w:cs="Segoe UI"/>
          <w:sz w:val="22"/>
          <w:szCs w:val="22"/>
        </w:rPr>
        <w:t>, including reservists.</w:t>
      </w:r>
    </w:p>
    <w:p w14:paraId="15E8C4AD" w14:textId="0100F3D5" w:rsidR="008C2ED0" w:rsidRPr="008C2ED0" w:rsidRDefault="008C2ED0" w:rsidP="003268AD">
      <w:pPr>
        <w:spacing w:before="100" w:beforeAutospacing="1" w:after="100" w:afterAutospacing="1"/>
        <w:rPr>
          <w:rFonts w:ascii="Segoe UI" w:hAnsi="Segoe UI" w:cs="Segoe UI"/>
          <w:sz w:val="22"/>
          <w:szCs w:val="22"/>
        </w:rPr>
      </w:pPr>
      <w:r w:rsidRPr="008C2ED0">
        <w:rPr>
          <w:rFonts w:ascii="Segoe UI" w:hAnsi="Segoe UI" w:cs="Segoe UI"/>
          <w:sz w:val="22"/>
          <w:szCs w:val="22"/>
        </w:rPr>
        <w:t xml:space="preserve">The Bank of Israel will closely monitor the implementation of the plan, including the publication of the scope and mix of benefits each bank provides in practice, which will be published in its financial reports according to an accounting reporting format defined by the </w:t>
      </w:r>
      <w:r w:rsidR="003268AD">
        <w:rPr>
          <w:rFonts w:ascii="Segoe UI" w:hAnsi="Segoe UI" w:cs="Segoe UI"/>
          <w:sz w:val="22"/>
          <w:szCs w:val="22"/>
        </w:rPr>
        <w:t>Banking Supervision Department</w:t>
      </w:r>
      <w:r w:rsidRPr="008C2ED0">
        <w:rPr>
          <w:rFonts w:ascii="Segoe UI" w:hAnsi="Segoe UI" w:cs="Segoe UI"/>
          <w:sz w:val="22"/>
          <w:szCs w:val="22"/>
        </w:rPr>
        <w:t>. Concurrently, the Bank of Israel will continue to promote a range of infrastructural measures to increase transparency and competition among banks.</w:t>
      </w:r>
    </w:p>
    <w:p w14:paraId="1DCDCC4F" w14:textId="1D666C63" w:rsidR="008C2ED0" w:rsidRPr="008C2ED0" w:rsidRDefault="003268AD" w:rsidP="003268AD">
      <w:pPr>
        <w:spacing w:before="100" w:beforeAutospacing="1" w:after="100" w:afterAutospacing="1"/>
        <w:rPr>
          <w:rFonts w:ascii="Segoe UI" w:hAnsi="Segoe UI" w:cs="Segoe UI"/>
          <w:sz w:val="22"/>
          <w:szCs w:val="22"/>
        </w:rPr>
      </w:pPr>
      <w:proofErr w:type="spellStart"/>
      <w:r>
        <w:rPr>
          <w:rFonts w:ascii="Segoe UI" w:hAnsi="Segoe UI" w:cs="Segoe UI"/>
          <w:sz w:val="22"/>
          <w:szCs w:val="22"/>
        </w:rPr>
        <w:t>The</w:t>
      </w:r>
      <w:proofErr w:type="spellEnd"/>
      <w:r>
        <w:rPr>
          <w:rFonts w:ascii="Segoe UI" w:hAnsi="Segoe UI" w:cs="Segoe UI"/>
          <w:sz w:val="22"/>
          <w:szCs w:val="22"/>
        </w:rPr>
        <w:t xml:space="preserve"> following</w:t>
      </w:r>
      <w:r w:rsidR="008C2ED0" w:rsidRPr="008C2ED0">
        <w:rPr>
          <w:rFonts w:ascii="Segoe UI" w:hAnsi="Segoe UI" w:cs="Segoe UI"/>
          <w:sz w:val="22"/>
          <w:szCs w:val="22"/>
        </w:rPr>
        <w:t xml:space="preserve"> are the main financial reliefs that </w:t>
      </w:r>
      <w:r>
        <w:rPr>
          <w:rFonts w:ascii="Segoe UI" w:hAnsi="Segoe UI" w:cs="Segoe UI"/>
          <w:sz w:val="22"/>
          <w:szCs w:val="22"/>
        </w:rPr>
        <w:t xml:space="preserve">the banks </w:t>
      </w:r>
      <w:r w:rsidR="008C2ED0" w:rsidRPr="008C2ED0">
        <w:rPr>
          <w:rFonts w:ascii="Segoe UI" w:hAnsi="Segoe UI" w:cs="Segoe UI"/>
          <w:sz w:val="22"/>
          <w:szCs w:val="22"/>
        </w:rPr>
        <w:t>will</w:t>
      </w:r>
      <w:r>
        <w:rPr>
          <w:rFonts w:ascii="Segoe UI" w:hAnsi="Segoe UI" w:cs="Segoe UI"/>
          <w:sz w:val="22"/>
          <w:szCs w:val="22"/>
        </w:rPr>
        <w:t xml:space="preserve"> </w:t>
      </w:r>
      <w:r w:rsidR="008C2ED0" w:rsidRPr="008C2ED0">
        <w:rPr>
          <w:rFonts w:ascii="Segoe UI" w:hAnsi="Segoe UI" w:cs="Segoe UI"/>
          <w:sz w:val="22"/>
          <w:szCs w:val="22"/>
        </w:rPr>
        <w:t>provide to their customers, according to the steps each bank has formulated for its customers</w:t>
      </w:r>
      <w:r>
        <w:rPr>
          <w:rStyle w:val="FootnoteReference"/>
          <w:rFonts w:ascii="Segoe UI" w:hAnsi="Segoe UI" w:cs="Segoe UI"/>
        </w:rPr>
        <w:footnoteReference w:id="4"/>
      </w:r>
      <w:r w:rsidR="008C2ED0" w:rsidRPr="008C2ED0">
        <w:rPr>
          <w:rFonts w:ascii="Segoe UI" w:hAnsi="Segoe UI" w:cs="Segoe UI"/>
          <w:sz w:val="22"/>
          <w:szCs w:val="22"/>
        </w:rPr>
        <w:t>, divided into different packages:</w:t>
      </w:r>
    </w:p>
    <w:p w14:paraId="7B23B3A9" w14:textId="255DC0E1" w:rsidR="008C2ED0" w:rsidRPr="008C2ED0" w:rsidRDefault="008C2ED0" w:rsidP="003268AD">
      <w:pPr>
        <w:numPr>
          <w:ilvl w:val="0"/>
          <w:numId w:val="19"/>
        </w:numPr>
        <w:spacing w:before="100" w:beforeAutospacing="1" w:after="100" w:afterAutospacing="1"/>
        <w:rPr>
          <w:rFonts w:ascii="Segoe UI" w:hAnsi="Segoe UI" w:cs="Segoe UI"/>
          <w:sz w:val="22"/>
          <w:szCs w:val="22"/>
        </w:rPr>
      </w:pPr>
      <w:r w:rsidRPr="008C2ED0">
        <w:rPr>
          <w:rFonts w:ascii="Segoe UI" w:hAnsi="Segoe UI" w:cs="Segoe UI"/>
          <w:b/>
          <w:bCs/>
          <w:sz w:val="22"/>
          <w:szCs w:val="22"/>
        </w:rPr>
        <w:t>Providing interest or benefits in the area of positive current account</w:t>
      </w:r>
      <w:r w:rsidR="003268AD" w:rsidRPr="003268AD">
        <w:rPr>
          <w:rFonts w:ascii="Segoe UI" w:hAnsi="Segoe UI" w:cs="Segoe UI"/>
          <w:b/>
          <w:bCs/>
          <w:sz w:val="22"/>
          <w:szCs w:val="22"/>
        </w:rPr>
        <w:t xml:space="preserve"> </w:t>
      </w:r>
      <w:r w:rsidR="003268AD" w:rsidRPr="008C2ED0">
        <w:rPr>
          <w:rFonts w:ascii="Segoe UI" w:hAnsi="Segoe UI" w:cs="Segoe UI"/>
          <w:b/>
          <w:bCs/>
          <w:sz w:val="22"/>
          <w:szCs w:val="22"/>
        </w:rPr>
        <w:t xml:space="preserve">balances </w:t>
      </w:r>
      <w:r w:rsidRPr="008C2ED0">
        <w:rPr>
          <w:rFonts w:ascii="Segoe UI" w:hAnsi="Segoe UI" w:cs="Segoe UI"/>
          <w:b/>
          <w:bCs/>
          <w:sz w:val="22"/>
          <w:szCs w:val="22"/>
        </w:rPr>
        <w:t xml:space="preserve">and </w:t>
      </w:r>
      <w:r w:rsidRPr="008C2ED0">
        <w:rPr>
          <w:rFonts w:ascii="Segoe UI" w:hAnsi="Segoe UI" w:cs="Segoe UI"/>
          <w:b/>
          <w:bCs/>
          <w:sz w:val="22"/>
          <w:szCs w:val="22"/>
          <w:u w:val="single"/>
        </w:rPr>
        <w:t>proven</w:t>
      </w:r>
      <w:r w:rsidRPr="008C2ED0">
        <w:rPr>
          <w:rFonts w:ascii="Segoe UI" w:hAnsi="Segoe UI" w:cs="Segoe UI"/>
          <w:b/>
          <w:bCs/>
          <w:sz w:val="22"/>
          <w:szCs w:val="22"/>
        </w:rPr>
        <w:t xml:space="preserve"> improvement in interest rates paid on short-term deposits.</w:t>
      </w:r>
      <w:r w:rsidRPr="008C2ED0">
        <w:rPr>
          <w:rFonts w:ascii="Segoe UI" w:hAnsi="Segoe UI" w:cs="Segoe UI"/>
          <w:sz w:val="22"/>
          <w:szCs w:val="22"/>
        </w:rPr>
        <w:t xml:space="preserve"> Examples: Providing interest on positive balances in current accounts, increasing the interest rate paid on existing deposits, financial benefits, and more.</w:t>
      </w:r>
    </w:p>
    <w:p w14:paraId="23B046BE" w14:textId="77777777" w:rsidR="008C2ED0" w:rsidRPr="008C2ED0" w:rsidRDefault="008C2ED0" w:rsidP="008C2ED0">
      <w:pPr>
        <w:numPr>
          <w:ilvl w:val="0"/>
          <w:numId w:val="19"/>
        </w:numPr>
        <w:spacing w:before="100" w:beforeAutospacing="1" w:after="100" w:afterAutospacing="1"/>
        <w:rPr>
          <w:rFonts w:ascii="Segoe UI" w:hAnsi="Segoe UI" w:cs="Segoe UI"/>
          <w:sz w:val="22"/>
          <w:szCs w:val="22"/>
        </w:rPr>
      </w:pPr>
      <w:r w:rsidRPr="008C2ED0">
        <w:rPr>
          <w:rFonts w:ascii="Segoe UI" w:hAnsi="Segoe UI" w:cs="Segoe UI"/>
          <w:b/>
          <w:bCs/>
          <w:sz w:val="22"/>
          <w:szCs w:val="22"/>
        </w:rPr>
        <w:t>Reducing interest rates on overdraft balances.</w:t>
      </w:r>
      <w:r w:rsidRPr="008C2ED0">
        <w:rPr>
          <w:rFonts w:ascii="Segoe UI" w:hAnsi="Segoe UI" w:cs="Segoe UI"/>
          <w:sz w:val="22"/>
          <w:szCs w:val="22"/>
        </w:rPr>
        <w:t xml:space="preserve"> Examples: Lowering the interest rate charged at different levels, offsetting positive balances with overdraft balances to reduce the total interest charge, providing full exemption from interest charges up to defined amounts, refunding interest charged on overdraft balances up to capped amounts, and more.</w:t>
      </w:r>
    </w:p>
    <w:p w14:paraId="3C96B3AD" w14:textId="3205A3B7" w:rsidR="008C2ED0" w:rsidRPr="008C2ED0" w:rsidRDefault="008C2ED0" w:rsidP="003268AD">
      <w:pPr>
        <w:numPr>
          <w:ilvl w:val="0"/>
          <w:numId w:val="19"/>
        </w:numPr>
        <w:spacing w:before="100" w:beforeAutospacing="1" w:after="100" w:afterAutospacing="1"/>
        <w:rPr>
          <w:rFonts w:ascii="Segoe UI" w:hAnsi="Segoe UI" w:cs="Segoe UI"/>
          <w:sz w:val="22"/>
          <w:szCs w:val="22"/>
        </w:rPr>
      </w:pPr>
      <w:r w:rsidRPr="008C2ED0">
        <w:rPr>
          <w:rFonts w:ascii="Segoe UI" w:hAnsi="Segoe UI" w:cs="Segoe UI"/>
          <w:b/>
          <w:bCs/>
          <w:sz w:val="22"/>
          <w:szCs w:val="22"/>
        </w:rPr>
        <w:t>Providing fee exemptions or significant discounts to specific population groups.</w:t>
      </w:r>
      <w:r w:rsidRPr="008C2ED0">
        <w:rPr>
          <w:rFonts w:ascii="Segoe UI" w:hAnsi="Segoe UI" w:cs="Segoe UI"/>
          <w:sz w:val="22"/>
          <w:szCs w:val="22"/>
        </w:rPr>
        <w:t xml:space="preserve"> Examples: Exempti</w:t>
      </w:r>
      <w:r w:rsidR="003268AD">
        <w:rPr>
          <w:rFonts w:ascii="Segoe UI" w:hAnsi="Segoe UI" w:cs="Segoe UI"/>
          <w:sz w:val="22"/>
          <w:szCs w:val="22"/>
        </w:rPr>
        <w:t>o</w:t>
      </w:r>
      <w:r w:rsidRPr="008C2ED0">
        <w:rPr>
          <w:rFonts w:ascii="Segoe UI" w:hAnsi="Segoe UI" w:cs="Segoe UI"/>
          <w:sz w:val="22"/>
          <w:szCs w:val="22"/>
        </w:rPr>
        <w:t>n</w:t>
      </w:r>
      <w:r w:rsidR="003268AD">
        <w:rPr>
          <w:rFonts w:ascii="Segoe UI" w:hAnsi="Segoe UI" w:cs="Segoe UI"/>
          <w:sz w:val="22"/>
          <w:szCs w:val="22"/>
        </w:rPr>
        <w:t>s</w:t>
      </w:r>
      <w:r w:rsidRPr="008C2ED0">
        <w:rPr>
          <w:rFonts w:ascii="Segoe UI" w:hAnsi="Segoe UI" w:cs="Segoe UI"/>
          <w:sz w:val="22"/>
          <w:szCs w:val="22"/>
        </w:rPr>
        <w:t xml:space="preserve"> from </w:t>
      </w:r>
      <w:r w:rsidR="003268AD">
        <w:rPr>
          <w:rFonts w:ascii="Segoe UI" w:hAnsi="Segoe UI" w:cs="Segoe UI"/>
          <w:sz w:val="22"/>
          <w:szCs w:val="22"/>
        </w:rPr>
        <w:t>current account</w:t>
      </w:r>
      <w:r w:rsidRPr="008C2ED0">
        <w:rPr>
          <w:rFonts w:ascii="Segoe UI" w:hAnsi="Segoe UI" w:cs="Segoe UI"/>
          <w:sz w:val="22"/>
          <w:szCs w:val="22"/>
        </w:rPr>
        <w:t xml:space="preserve"> manag</w:t>
      </w:r>
      <w:r w:rsidR="003268AD">
        <w:rPr>
          <w:rFonts w:ascii="Segoe UI" w:hAnsi="Segoe UI" w:cs="Segoe UI"/>
          <w:sz w:val="22"/>
          <w:szCs w:val="22"/>
        </w:rPr>
        <w:t>ement fees</w:t>
      </w:r>
      <w:r w:rsidRPr="008C2ED0">
        <w:rPr>
          <w:rFonts w:ascii="Segoe UI" w:hAnsi="Segoe UI" w:cs="Segoe UI"/>
          <w:sz w:val="22"/>
          <w:szCs w:val="22"/>
        </w:rPr>
        <w:t>, benefits on fees charged for securities activities, refunding fees charged up to capped amounts, and more.</w:t>
      </w:r>
    </w:p>
    <w:p w14:paraId="7C77C6B7" w14:textId="77777777" w:rsidR="008C2ED0" w:rsidRPr="008C2ED0" w:rsidRDefault="008C2ED0" w:rsidP="008C2ED0">
      <w:pPr>
        <w:numPr>
          <w:ilvl w:val="0"/>
          <w:numId w:val="19"/>
        </w:numPr>
        <w:spacing w:before="100" w:beforeAutospacing="1" w:after="100" w:afterAutospacing="1"/>
        <w:rPr>
          <w:rFonts w:ascii="Segoe UI" w:hAnsi="Segoe UI" w:cs="Segoe UI"/>
          <w:sz w:val="22"/>
          <w:szCs w:val="22"/>
        </w:rPr>
      </w:pPr>
      <w:r w:rsidRPr="008C2ED0">
        <w:rPr>
          <w:rFonts w:ascii="Segoe UI" w:hAnsi="Segoe UI" w:cs="Segoe UI"/>
          <w:b/>
          <w:bCs/>
          <w:sz w:val="22"/>
          <w:szCs w:val="22"/>
        </w:rPr>
        <w:t xml:space="preserve">Providing partial or full exemption for a defined period from monthly repayment or reducing the interest rate charged on existing credit during the </w:t>
      </w:r>
      <w:r w:rsidRPr="008C2ED0">
        <w:rPr>
          <w:rFonts w:ascii="Segoe UI" w:hAnsi="Segoe UI" w:cs="Segoe UI"/>
          <w:b/>
          <w:bCs/>
          <w:sz w:val="22"/>
          <w:szCs w:val="22"/>
        </w:rPr>
        <w:lastRenderedPageBreak/>
        <w:t>plan period.</w:t>
      </w:r>
      <w:r w:rsidRPr="008C2ED0">
        <w:rPr>
          <w:rFonts w:ascii="Segoe UI" w:hAnsi="Segoe UI" w:cs="Segoe UI"/>
          <w:sz w:val="22"/>
          <w:szCs w:val="22"/>
        </w:rPr>
        <w:t xml:space="preserve"> Examples: Refunding up to 100% of interest paid on loans up to capped amounts, refunding monthly mortgage payments up to capped amounts, and more.</w:t>
      </w:r>
    </w:p>
    <w:p w14:paraId="1A0F56A4" w14:textId="380ECA86" w:rsidR="008C2ED0" w:rsidRPr="008C2ED0" w:rsidRDefault="008C2ED0" w:rsidP="0044341B">
      <w:pPr>
        <w:spacing w:before="100" w:beforeAutospacing="1" w:after="100" w:afterAutospacing="1"/>
        <w:rPr>
          <w:rFonts w:ascii="Segoe UI" w:hAnsi="Segoe UI" w:cs="Segoe UI"/>
          <w:sz w:val="22"/>
          <w:szCs w:val="22"/>
        </w:rPr>
      </w:pPr>
      <w:r w:rsidRPr="008C2ED0">
        <w:rPr>
          <w:rFonts w:ascii="Segoe UI" w:hAnsi="Segoe UI" w:cs="Segoe UI"/>
          <w:b/>
          <w:bCs/>
          <w:sz w:val="22"/>
          <w:szCs w:val="22"/>
        </w:rPr>
        <w:t>A</w:t>
      </w:r>
      <w:r w:rsidR="003268AD" w:rsidRPr="003268AD">
        <w:rPr>
          <w:rFonts w:ascii="Segoe UI" w:hAnsi="Segoe UI" w:cs="Segoe UI"/>
          <w:b/>
          <w:bCs/>
          <w:sz w:val="22"/>
          <w:szCs w:val="22"/>
        </w:rPr>
        <w:t>dditionally, as part of the</w:t>
      </w:r>
      <w:r w:rsidRPr="008C2ED0">
        <w:rPr>
          <w:rFonts w:ascii="Segoe UI" w:hAnsi="Segoe UI" w:cs="Segoe UI"/>
          <w:b/>
          <w:bCs/>
          <w:sz w:val="22"/>
          <w:szCs w:val="22"/>
        </w:rPr>
        <w:t xml:space="preserve"> formulation</w:t>
      </w:r>
      <w:r w:rsidR="003268AD" w:rsidRPr="003268AD">
        <w:rPr>
          <w:rFonts w:ascii="Segoe UI" w:hAnsi="Segoe UI" w:cs="Segoe UI"/>
          <w:b/>
          <w:bCs/>
          <w:sz w:val="22"/>
          <w:szCs w:val="22"/>
        </w:rPr>
        <w:t xml:space="preserve"> of the plan</w:t>
      </w:r>
      <w:r w:rsidRPr="008C2ED0">
        <w:rPr>
          <w:rFonts w:ascii="Segoe UI" w:hAnsi="Segoe UI" w:cs="Segoe UI"/>
          <w:b/>
          <w:bCs/>
          <w:sz w:val="22"/>
          <w:szCs w:val="22"/>
        </w:rPr>
        <w:t xml:space="preserve">, it was agreed that the banks would work to promote the development of an automatic fund transfer mechanism for balances exceeding a predefined minimum balance from current accounts to yield-generating paths (Sweep Account). </w:t>
      </w:r>
      <w:r w:rsidRPr="008C2ED0">
        <w:rPr>
          <w:rFonts w:ascii="Segoe UI" w:hAnsi="Segoe UI" w:cs="Segoe UI"/>
          <w:sz w:val="22"/>
          <w:szCs w:val="22"/>
        </w:rPr>
        <w:t xml:space="preserve">This involves adopting a financial instrument offered by the commercial bank to customers with a balance in the current account, defining a desired minimum balance in the current account. The excess amount will be automatically transferred to a short-term interest-bearing deposit and returned if the amount </w:t>
      </w:r>
      <w:r w:rsidR="0044341B">
        <w:rPr>
          <w:rFonts w:ascii="Segoe UI" w:hAnsi="Segoe UI" w:cs="Segoe UI"/>
          <w:sz w:val="22"/>
          <w:szCs w:val="22"/>
        </w:rPr>
        <w:t xml:space="preserve">in the current account </w:t>
      </w:r>
      <w:r w:rsidRPr="008C2ED0">
        <w:rPr>
          <w:rFonts w:ascii="Segoe UI" w:hAnsi="Segoe UI" w:cs="Segoe UI"/>
          <w:sz w:val="22"/>
          <w:szCs w:val="22"/>
        </w:rPr>
        <w:t>falls below the defined balance. From the Bank of Israel</w:t>
      </w:r>
      <w:r w:rsidR="009E349C">
        <w:rPr>
          <w:rFonts w:ascii="Segoe UI" w:hAnsi="Segoe UI" w:cs="Segoe UI"/>
          <w:sz w:val="22"/>
          <w:szCs w:val="22"/>
        </w:rPr>
        <w:t>’</w:t>
      </w:r>
      <w:r w:rsidRPr="008C2ED0">
        <w:rPr>
          <w:rFonts w:ascii="Segoe UI" w:hAnsi="Segoe UI" w:cs="Segoe UI"/>
          <w:sz w:val="22"/>
          <w:szCs w:val="22"/>
        </w:rPr>
        <w:t xml:space="preserve">s perspective, this is an infrastructural product that improves the transmission mechanism between non-yielding funds and yielding funds. Due to the complexity of the development and required </w:t>
      </w:r>
      <w:r w:rsidR="0044341B">
        <w:rPr>
          <w:rFonts w:ascii="Segoe UI" w:hAnsi="Segoe UI" w:cs="Segoe UI"/>
          <w:sz w:val="22"/>
          <w:szCs w:val="22"/>
        </w:rPr>
        <w:t>specification</w:t>
      </w:r>
      <w:r w:rsidRPr="008C2ED0">
        <w:rPr>
          <w:rFonts w:ascii="Segoe UI" w:hAnsi="Segoe UI" w:cs="Segoe UI"/>
          <w:sz w:val="22"/>
          <w:szCs w:val="22"/>
        </w:rPr>
        <w:t>, an update on the timelines for implementation and the format in which this step will be applied will be provided later.</w:t>
      </w:r>
    </w:p>
    <w:p w14:paraId="597B844E" w14:textId="2FCCC243" w:rsidR="008C2ED0" w:rsidRPr="008C2ED0" w:rsidRDefault="008C2ED0" w:rsidP="003268AD">
      <w:pPr>
        <w:spacing w:before="100" w:beforeAutospacing="1" w:after="100" w:afterAutospacing="1"/>
        <w:rPr>
          <w:rFonts w:ascii="Segoe UI" w:hAnsi="Segoe UI" w:cs="Segoe UI"/>
          <w:sz w:val="22"/>
          <w:szCs w:val="22"/>
        </w:rPr>
      </w:pPr>
    </w:p>
    <w:p w14:paraId="051A1B42" w14:textId="77777777" w:rsidR="008C2ED0" w:rsidRPr="008C2ED0" w:rsidRDefault="008C2ED0" w:rsidP="008C2ED0">
      <w:pPr>
        <w:pStyle w:val="regpar"/>
        <w:rPr>
          <w:rFonts w:ascii="Segoe UI" w:hAnsi="Segoe UI" w:cs="Segoe UI"/>
          <w:sz w:val="22"/>
          <w:szCs w:val="22"/>
        </w:rPr>
      </w:pPr>
    </w:p>
    <w:sectPr w:rsidR="008C2ED0" w:rsidRPr="008C2ED0" w:rsidSect="004F5A85">
      <w:headerReference w:type="default" r:id="rId12"/>
      <w:endnotePr>
        <w:numFmt w:val="hebrew2"/>
      </w:endnotePr>
      <w:pgSz w:w="11880" w:h="16820"/>
      <w:pgMar w:top="624" w:right="1390" w:bottom="567" w:left="1418" w:header="57" w:footer="283" w:gutter="0"/>
      <w:cols w:space="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79C285" w14:textId="77777777" w:rsidR="00903FB7" w:rsidRDefault="00903FB7">
      <w:r>
        <w:separator/>
      </w:r>
    </w:p>
  </w:endnote>
  <w:endnote w:type="continuationSeparator" w:id="0">
    <w:p w14:paraId="12BAD078" w14:textId="77777777" w:rsidR="00903FB7" w:rsidRDefault="00903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845C3" w14:textId="77777777" w:rsidR="00903FB7" w:rsidRDefault="00903FB7">
      <w:pPr>
        <w:spacing w:line="160" w:lineRule="exact"/>
      </w:pPr>
    </w:p>
  </w:footnote>
  <w:footnote w:type="continuationSeparator" w:id="0">
    <w:p w14:paraId="523AAC70" w14:textId="77777777" w:rsidR="00903FB7" w:rsidRDefault="00903FB7">
      <w:pPr>
        <w:pStyle w:val="rule"/>
      </w:pPr>
      <w:r>
        <w:t>–––––––––––––––––––––––––––</w:t>
      </w:r>
    </w:p>
    <w:p w14:paraId="2FF6147D" w14:textId="77777777" w:rsidR="00903FB7" w:rsidRDefault="00903FB7">
      <w:pPr>
        <w:pStyle w:val="noteseparator"/>
      </w:pPr>
    </w:p>
  </w:footnote>
  <w:footnote w:id="1">
    <w:p w14:paraId="0B58BB87" w14:textId="44516649" w:rsidR="008C2ED0" w:rsidRPr="003268AD" w:rsidRDefault="008C2ED0" w:rsidP="008C2ED0">
      <w:pPr>
        <w:pStyle w:val="FootnoteText"/>
        <w:spacing w:line="240" w:lineRule="auto"/>
        <w:rPr>
          <w:rFonts w:asciiTheme="minorHAnsi" w:hAnsiTheme="minorHAnsi" w:cstheme="minorHAnsi"/>
        </w:rPr>
      </w:pPr>
      <w:r w:rsidRPr="003268AD">
        <w:rPr>
          <w:rStyle w:val="FootnoteReference"/>
          <w:rFonts w:asciiTheme="minorHAnsi" w:hAnsiTheme="minorHAnsi" w:cstheme="minorHAnsi"/>
          <w:sz w:val="20"/>
          <w:szCs w:val="20"/>
        </w:rPr>
        <w:footnoteRef/>
      </w:r>
      <w:r w:rsidRPr="003268AD">
        <w:rPr>
          <w:rFonts w:asciiTheme="minorHAnsi" w:hAnsiTheme="minorHAnsi" w:cstheme="minorHAnsi"/>
        </w:rPr>
        <w:t xml:space="preserve"> </w:t>
      </w:r>
      <w:r w:rsidRPr="008C2ED0">
        <w:rPr>
          <w:rFonts w:asciiTheme="minorHAnsi" w:hAnsiTheme="minorHAnsi" w:cstheme="minorHAnsi"/>
        </w:rPr>
        <w:t xml:space="preserve">The participating banks include Bank </w:t>
      </w:r>
      <w:proofErr w:type="spellStart"/>
      <w:r w:rsidRPr="008C2ED0">
        <w:rPr>
          <w:rFonts w:asciiTheme="minorHAnsi" w:hAnsiTheme="minorHAnsi" w:cstheme="minorHAnsi"/>
        </w:rPr>
        <w:t>Leumi</w:t>
      </w:r>
      <w:proofErr w:type="spellEnd"/>
      <w:r w:rsidRPr="008C2ED0">
        <w:rPr>
          <w:rFonts w:asciiTheme="minorHAnsi" w:hAnsiTheme="minorHAnsi" w:cstheme="minorHAnsi"/>
        </w:rPr>
        <w:t xml:space="preserve">, Bank </w:t>
      </w:r>
      <w:proofErr w:type="spellStart"/>
      <w:r w:rsidRPr="008C2ED0">
        <w:rPr>
          <w:rFonts w:asciiTheme="minorHAnsi" w:hAnsiTheme="minorHAnsi" w:cstheme="minorHAnsi"/>
        </w:rPr>
        <w:t>Hapoalim</w:t>
      </w:r>
      <w:proofErr w:type="spellEnd"/>
      <w:r w:rsidRPr="008C2ED0">
        <w:rPr>
          <w:rFonts w:asciiTheme="minorHAnsi" w:hAnsiTheme="minorHAnsi" w:cstheme="minorHAnsi"/>
        </w:rPr>
        <w:t xml:space="preserve">, Mizrahi </w:t>
      </w:r>
      <w:proofErr w:type="spellStart"/>
      <w:r w:rsidRPr="008C2ED0">
        <w:rPr>
          <w:rFonts w:asciiTheme="minorHAnsi" w:hAnsiTheme="minorHAnsi" w:cstheme="minorHAnsi"/>
        </w:rPr>
        <w:t>Tefahot</w:t>
      </w:r>
      <w:proofErr w:type="spellEnd"/>
      <w:r w:rsidRPr="008C2ED0">
        <w:rPr>
          <w:rFonts w:asciiTheme="minorHAnsi" w:hAnsiTheme="minorHAnsi" w:cstheme="minorHAnsi"/>
        </w:rPr>
        <w:t xml:space="preserve"> Bank, Discount Bank, First International Bank, Mercantile Bank, </w:t>
      </w:r>
      <w:r w:rsidRPr="003268AD">
        <w:rPr>
          <w:rFonts w:asciiTheme="minorHAnsi" w:hAnsiTheme="minorHAnsi" w:cstheme="minorHAnsi"/>
        </w:rPr>
        <w:t xml:space="preserve">Bank </w:t>
      </w:r>
      <w:proofErr w:type="spellStart"/>
      <w:r w:rsidRPr="008C2ED0">
        <w:rPr>
          <w:rFonts w:asciiTheme="minorHAnsi" w:hAnsiTheme="minorHAnsi" w:cstheme="minorHAnsi"/>
        </w:rPr>
        <w:t>Yahav</w:t>
      </w:r>
      <w:proofErr w:type="spellEnd"/>
      <w:r w:rsidRPr="008C2ED0">
        <w:rPr>
          <w:rFonts w:asciiTheme="minorHAnsi" w:hAnsiTheme="minorHAnsi" w:cstheme="minorHAnsi"/>
        </w:rPr>
        <w:t>, and</w:t>
      </w:r>
      <w:r w:rsidRPr="003268AD">
        <w:rPr>
          <w:rFonts w:asciiTheme="minorHAnsi" w:hAnsiTheme="minorHAnsi" w:cstheme="minorHAnsi"/>
        </w:rPr>
        <w:t xml:space="preserve"> Bank</w:t>
      </w:r>
      <w:r w:rsidRPr="008C2ED0">
        <w:rPr>
          <w:rFonts w:asciiTheme="minorHAnsi" w:hAnsiTheme="minorHAnsi" w:cstheme="minorHAnsi"/>
        </w:rPr>
        <w:t xml:space="preserve"> </w:t>
      </w:r>
      <w:proofErr w:type="spellStart"/>
      <w:r w:rsidRPr="008C2ED0">
        <w:rPr>
          <w:rFonts w:asciiTheme="minorHAnsi" w:hAnsiTheme="minorHAnsi" w:cstheme="minorHAnsi"/>
        </w:rPr>
        <w:t>Masad</w:t>
      </w:r>
      <w:proofErr w:type="spellEnd"/>
      <w:r w:rsidRPr="003268AD">
        <w:rPr>
          <w:rFonts w:asciiTheme="minorHAnsi" w:hAnsiTheme="minorHAnsi" w:cstheme="minorHAnsi"/>
        </w:rPr>
        <w:t>.</w:t>
      </w:r>
    </w:p>
  </w:footnote>
  <w:footnote w:id="2">
    <w:p w14:paraId="5059B9F3" w14:textId="4D402FE6" w:rsidR="008C2ED0" w:rsidRPr="003268AD" w:rsidRDefault="008C2ED0" w:rsidP="009E349C">
      <w:pPr>
        <w:ind w:firstLine="240"/>
        <w:rPr>
          <w:rFonts w:asciiTheme="minorHAnsi" w:hAnsiTheme="minorHAnsi" w:cstheme="minorHAnsi"/>
          <w:sz w:val="20"/>
          <w:szCs w:val="20"/>
        </w:rPr>
      </w:pPr>
      <w:r w:rsidRPr="003268AD">
        <w:rPr>
          <w:rStyle w:val="FootnoteReference"/>
          <w:rFonts w:asciiTheme="minorHAnsi" w:hAnsiTheme="minorHAnsi" w:cstheme="minorHAnsi"/>
          <w:sz w:val="20"/>
          <w:szCs w:val="20"/>
        </w:rPr>
        <w:footnoteRef/>
      </w:r>
      <w:r w:rsidRPr="003268AD">
        <w:rPr>
          <w:rFonts w:asciiTheme="minorHAnsi" w:hAnsiTheme="minorHAnsi" w:cstheme="minorHAnsi"/>
          <w:sz w:val="20"/>
          <w:szCs w:val="20"/>
        </w:rPr>
        <w:t xml:space="preserve"> </w:t>
      </w:r>
      <w:r w:rsidRPr="008C2ED0">
        <w:rPr>
          <w:rFonts w:asciiTheme="minorHAnsi" w:hAnsiTheme="minorHAnsi" w:cstheme="minorHAnsi"/>
          <w:sz w:val="20"/>
          <w:szCs w:val="20"/>
        </w:rPr>
        <w:t>Further details on the distribution of the relief will be provided later in the announcement.</w:t>
      </w:r>
    </w:p>
  </w:footnote>
  <w:footnote w:id="3">
    <w:p w14:paraId="5B12AD58" w14:textId="3434FB2F" w:rsidR="003268AD" w:rsidRPr="003268AD" w:rsidRDefault="003268AD" w:rsidP="003268AD">
      <w:pPr>
        <w:pStyle w:val="FootnoteText"/>
        <w:spacing w:line="240" w:lineRule="auto"/>
        <w:rPr>
          <w:rFonts w:asciiTheme="minorHAnsi" w:hAnsiTheme="minorHAnsi" w:cstheme="minorHAnsi"/>
        </w:rPr>
      </w:pPr>
      <w:r w:rsidRPr="003268AD">
        <w:rPr>
          <w:rStyle w:val="FootnoteReference"/>
          <w:rFonts w:asciiTheme="minorHAnsi" w:hAnsiTheme="minorHAnsi" w:cstheme="minorHAnsi"/>
          <w:sz w:val="20"/>
          <w:szCs w:val="20"/>
        </w:rPr>
        <w:footnoteRef/>
      </w:r>
      <w:r w:rsidRPr="003268AD">
        <w:rPr>
          <w:rFonts w:asciiTheme="minorHAnsi" w:hAnsiTheme="minorHAnsi" w:cstheme="minorHAnsi"/>
        </w:rPr>
        <w:t xml:space="preserve"> </w:t>
      </w:r>
      <w:r w:rsidRPr="008C2ED0">
        <w:rPr>
          <w:rFonts w:asciiTheme="minorHAnsi" w:hAnsiTheme="minorHAnsi" w:cstheme="minorHAnsi"/>
        </w:rPr>
        <w:t>The Swords of Iron</w:t>
      </w:r>
      <w:r w:rsidRPr="003268AD">
        <w:rPr>
          <w:rFonts w:asciiTheme="minorHAnsi" w:hAnsiTheme="minorHAnsi" w:cstheme="minorHAnsi"/>
        </w:rPr>
        <w:t xml:space="preserve"> program</w:t>
      </w:r>
      <w:r w:rsidRPr="008C2ED0">
        <w:rPr>
          <w:rFonts w:asciiTheme="minorHAnsi" w:hAnsiTheme="minorHAnsi" w:cstheme="minorHAnsi"/>
        </w:rPr>
        <w:t xml:space="preserve"> will end at the end of March 2025.</w:t>
      </w:r>
    </w:p>
  </w:footnote>
  <w:footnote w:id="4">
    <w:p w14:paraId="7D58E1AF" w14:textId="7CA277C0" w:rsidR="003268AD" w:rsidRPr="003268AD" w:rsidRDefault="003268AD" w:rsidP="003268AD">
      <w:pPr>
        <w:ind w:firstLine="240"/>
        <w:rPr>
          <w:rFonts w:asciiTheme="minorHAnsi" w:hAnsiTheme="minorHAnsi" w:cstheme="minorHAnsi"/>
          <w:sz w:val="20"/>
          <w:szCs w:val="20"/>
        </w:rPr>
      </w:pPr>
      <w:r w:rsidRPr="003268AD">
        <w:rPr>
          <w:rStyle w:val="FootnoteReference"/>
          <w:rFonts w:asciiTheme="minorHAnsi" w:hAnsiTheme="minorHAnsi" w:cstheme="minorHAnsi"/>
          <w:sz w:val="20"/>
          <w:szCs w:val="20"/>
        </w:rPr>
        <w:footnoteRef/>
      </w:r>
      <w:r w:rsidRPr="003268AD">
        <w:rPr>
          <w:rFonts w:asciiTheme="minorHAnsi" w:hAnsiTheme="minorHAnsi" w:cstheme="minorHAnsi"/>
          <w:sz w:val="20"/>
          <w:szCs w:val="20"/>
        </w:rPr>
        <w:t xml:space="preserve"> </w:t>
      </w:r>
      <w:r w:rsidRPr="008C2ED0">
        <w:rPr>
          <w:rFonts w:asciiTheme="minorHAnsi" w:hAnsiTheme="minorHAnsi" w:cstheme="minorHAnsi"/>
          <w:sz w:val="20"/>
          <w:szCs w:val="20"/>
        </w:rPr>
        <w:t>It should be noted that commercial banks are given flexibility to update the mix and nature of reliefs in the various packages each quarter, provided they are in accordance with the plan</w:t>
      </w:r>
      <w:r w:rsidRPr="003268AD">
        <w:rPr>
          <w:rFonts w:asciiTheme="minorHAnsi" w:hAnsiTheme="minorHAnsi" w:cstheme="minorHAnsi"/>
          <w:sz w:val="20"/>
          <w:szCs w:val="20"/>
        </w:rPr>
        <w:t>’</w:t>
      </w:r>
      <w:r w:rsidRPr="008C2ED0">
        <w:rPr>
          <w:rFonts w:asciiTheme="minorHAnsi" w:hAnsiTheme="minorHAnsi" w:cstheme="minorHAnsi"/>
          <w:sz w:val="20"/>
          <w:szCs w:val="20"/>
        </w:rPr>
        <w:t>s principles, published to their customers, and the total amount transferred to the bank</w:t>
      </w:r>
      <w:r w:rsidRPr="003268AD">
        <w:rPr>
          <w:rFonts w:asciiTheme="minorHAnsi" w:hAnsiTheme="minorHAnsi" w:cstheme="minorHAnsi"/>
          <w:sz w:val="20"/>
          <w:szCs w:val="20"/>
        </w:rPr>
        <w:t>’</w:t>
      </w:r>
      <w:r w:rsidRPr="008C2ED0">
        <w:rPr>
          <w:rFonts w:asciiTheme="minorHAnsi" w:hAnsiTheme="minorHAnsi" w:cstheme="minorHAnsi"/>
          <w:sz w:val="20"/>
          <w:szCs w:val="20"/>
        </w:rPr>
        <w:t>s customers is in line with the bank</w:t>
      </w:r>
      <w:r w:rsidRPr="003268AD">
        <w:rPr>
          <w:rFonts w:asciiTheme="minorHAnsi" w:hAnsiTheme="minorHAnsi" w:cstheme="minorHAnsi"/>
          <w:sz w:val="20"/>
          <w:szCs w:val="20"/>
        </w:rPr>
        <w:t>’</w:t>
      </w:r>
      <w:r w:rsidRPr="008C2ED0">
        <w:rPr>
          <w:rFonts w:asciiTheme="minorHAnsi" w:hAnsiTheme="minorHAnsi" w:cstheme="minorHAnsi"/>
          <w:sz w:val="20"/>
          <w:szCs w:val="20"/>
        </w:rPr>
        <w:t>s share in the plan.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CA7D6" w14:textId="77777777" w:rsidR="00CE7A79" w:rsidRDefault="00CE7A79" w:rsidP="007A34C9">
    <w:pPr>
      <w:pStyle w:val="regpar"/>
      <w:spacing w:line="300" w:lineRule="atLeast"/>
      <w:ind w:firstLine="0"/>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lvlText w:val="%1)"/>
      <w:lvlJc w:val="left"/>
      <w:pPr>
        <w:tabs>
          <w:tab w:val="num" w:pos="600"/>
        </w:tabs>
        <w:ind w:left="600" w:hanging="360"/>
      </w:pPr>
      <w:rPr>
        <w:rFonts w:hint="default"/>
      </w:rPr>
    </w:lvl>
  </w:abstractNum>
  <w:abstractNum w:abstractNumId="1" w15:restartNumberingAfterBreak="0">
    <w:nsid w:val="049565AB"/>
    <w:multiLevelType w:val="hybridMultilevel"/>
    <w:tmpl w:val="3AEE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D707B"/>
    <w:multiLevelType w:val="hybridMultilevel"/>
    <w:tmpl w:val="CED8D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C94D85"/>
    <w:multiLevelType w:val="multilevel"/>
    <w:tmpl w:val="36942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1F1E76"/>
    <w:multiLevelType w:val="hybridMultilevel"/>
    <w:tmpl w:val="9B849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A69E9"/>
    <w:multiLevelType w:val="hybridMultilevel"/>
    <w:tmpl w:val="A67A3D80"/>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6" w15:restartNumberingAfterBreak="0">
    <w:nsid w:val="3F003117"/>
    <w:multiLevelType w:val="hybridMultilevel"/>
    <w:tmpl w:val="FA1A5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0CE5350"/>
    <w:multiLevelType w:val="hybridMultilevel"/>
    <w:tmpl w:val="9AE26C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544E1"/>
    <w:multiLevelType w:val="hybridMultilevel"/>
    <w:tmpl w:val="59661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8912EE"/>
    <w:multiLevelType w:val="hybridMultilevel"/>
    <w:tmpl w:val="58729F30"/>
    <w:lvl w:ilvl="0" w:tplc="0AA490D4">
      <w:start w:val="1"/>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0" w15:restartNumberingAfterBreak="0">
    <w:nsid w:val="45324FFB"/>
    <w:multiLevelType w:val="hybridMultilevel"/>
    <w:tmpl w:val="15D25D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541E8D"/>
    <w:multiLevelType w:val="hybridMultilevel"/>
    <w:tmpl w:val="84D08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C727CA"/>
    <w:multiLevelType w:val="hybridMultilevel"/>
    <w:tmpl w:val="D5F6F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BB2FC6"/>
    <w:multiLevelType w:val="hybridMultilevel"/>
    <w:tmpl w:val="03E4B96C"/>
    <w:lvl w:ilvl="0" w:tplc="B814614C">
      <w:start w:val="7"/>
      <w:numFmt w:val="decimal"/>
      <w:lvlText w:val="%1."/>
      <w:lvlJc w:val="left"/>
      <w:pPr>
        <w:ind w:left="359" w:hanging="360"/>
      </w:pPr>
      <w:rPr>
        <w:rFonts w:hint="default"/>
      </w:rPr>
    </w:lvl>
    <w:lvl w:ilvl="1" w:tplc="04090019" w:tentative="1">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14" w15:restartNumberingAfterBreak="0">
    <w:nsid w:val="718D7B23"/>
    <w:multiLevelType w:val="hybridMultilevel"/>
    <w:tmpl w:val="A5681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616CB"/>
    <w:multiLevelType w:val="hybridMultilevel"/>
    <w:tmpl w:val="11728488"/>
    <w:lvl w:ilvl="0" w:tplc="5802D0FC">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7DA0365C"/>
    <w:multiLevelType w:val="hybridMultilevel"/>
    <w:tmpl w:val="03D09186"/>
    <w:lvl w:ilvl="0" w:tplc="AC34D7F8">
      <w:numFmt w:val="bullet"/>
      <w:lvlText w:val="-"/>
      <w:lvlJc w:val="left"/>
      <w:pPr>
        <w:ind w:left="720" w:hanging="360"/>
      </w:pPr>
      <w:rPr>
        <w:rFonts w:ascii="Times" w:eastAsia="Times New Roman" w:hAnsi="Times" w:cs="Time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5602F8"/>
    <w:multiLevelType w:val="hybridMultilevel"/>
    <w:tmpl w:val="3C26F5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4"/>
  </w:num>
  <w:num w:numId="5">
    <w:abstractNumId w:val="1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8"/>
  </w:num>
  <w:num w:numId="9">
    <w:abstractNumId w:val="5"/>
  </w:num>
  <w:num w:numId="10">
    <w:abstractNumId w:val="16"/>
  </w:num>
  <w:num w:numId="11">
    <w:abstractNumId w:val="12"/>
  </w:num>
  <w:num w:numId="12">
    <w:abstractNumId w:val="10"/>
  </w:num>
  <w:num w:numId="13">
    <w:abstractNumId w:val="4"/>
  </w:num>
  <w:num w:numId="14">
    <w:abstractNumId w:val="2"/>
  </w:num>
  <w:num w:numId="15">
    <w:abstractNumId w:val="11"/>
  </w:num>
  <w:num w:numId="16">
    <w:abstractNumId w:val="1"/>
  </w:num>
  <w:num w:numId="17">
    <w:abstractNumId w:val="17"/>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hebrew2"/>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D70"/>
    <w:rsid w:val="00002A48"/>
    <w:rsid w:val="00005737"/>
    <w:rsid w:val="00014291"/>
    <w:rsid w:val="00016929"/>
    <w:rsid w:val="00016E30"/>
    <w:rsid w:val="00017E04"/>
    <w:rsid w:val="000305B1"/>
    <w:rsid w:val="0004575D"/>
    <w:rsid w:val="000466C2"/>
    <w:rsid w:val="000502D1"/>
    <w:rsid w:val="00052610"/>
    <w:rsid w:val="000614E5"/>
    <w:rsid w:val="00066C5D"/>
    <w:rsid w:val="00067EAC"/>
    <w:rsid w:val="0007485B"/>
    <w:rsid w:val="00076856"/>
    <w:rsid w:val="00077915"/>
    <w:rsid w:val="00085E93"/>
    <w:rsid w:val="0009048D"/>
    <w:rsid w:val="00093619"/>
    <w:rsid w:val="00093A61"/>
    <w:rsid w:val="00094FFA"/>
    <w:rsid w:val="000A0AE8"/>
    <w:rsid w:val="000B13FB"/>
    <w:rsid w:val="000B2451"/>
    <w:rsid w:val="000B5143"/>
    <w:rsid w:val="000B6617"/>
    <w:rsid w:val="000C1242"/>
    <w:rsid w:val="000C4140"/>
    <w:rsid w:val="000C46E3"/>
    <w:rsid w:val="000D3201"/>
    <w:rsid w:val="000D3F79"/>
    <w:rsid w:val="000E08B9"/>
    <w:rsid w:val="000E2EB0"/>
    <w:rsid w:val="000F4D42"/>
    <w:rsid w:val="00104F58"/>
    <w:rsid w:val="0010545F"/>
    <w:rsid w:val="001116D7"/>
    <w:rsid w:val="00114F59"/>
    <w:rsid w:val="001172A8"/>
    <w:rsid w:val="00121BED"/>
    <w:rsid w:val="001239DD"/>
    <w:rsid w:val="0012431B"/>
    <w:rsid w:val="00124970"/>
    <w:rsid w:val="00124AB5"/>
    <w:rsid w:val="00124ED8"/>
    <w:rsid w:val="00125AB8"/>
    <w:rsid w:val="00126370"/>
    <w:rsid w:val="00127549"/>
    <w:rsid w:val="00130460"/>
    <w:rsid w:val="00143F0D"/>
    <w:rsid w:val="0014603A"/>
    <w:rsid w:val="001550A7"/>
    <w:rsid w:val="00160123"/>
    <w:rsid w:val="00161743"/>
    <w:rsid w:val="00162F9E"/>
    <w:rsid w:val="0016621D"/>
    <w:rsid w:val="00166ECD"/>
    <w:rsid w:val="00181A09"/>
    <w:rsid w:val="0018444C"/>
    <w:rsid w:val="00187D68"/>
    <w:rsid w:val="00190909"/>
    <w:rsid w:val="00194F7F"/>
    <w:rsid w:val="001A2237"/>
    <w:rsid w:val="001A6127"/>
    <w:rsid w:val="001B0294"/>
    <w:rsid w:val="001C1743"/>
    <w:rsid w:val="001C209A"/>
    <w:rsid w:val="001C502E"/>
    <w:rsid w:val="001C5614"/>
    <w:rsid w:val="001D57CD"/>
    <w:rsid w:val="001D5EBA"/>
    <w:rsid w:val="001E2931"/>
    <w:rsid w:val="001E6D0C"/>
    <w:rsid w:val="001F28E6"/>
    <w:rsid w:val="001F51F4"/>
    <w:rsid w:val="00203B3D"/>
    <w:rsid w:val="00210F11"/>
    <w:rsid w:val="00212EBE"/>
    <w:rsid w:val="00236391"/>
    <w:rsid w:val="00243044"/>
    <w:rsid w:val="00246FA7"/>
    <w:rsid w:val="00250C32"/>
    <w:rsid w:val="0025222B"/>
    <w:rsid w:val="00263AC9"/>
    <w:rsid w:val="00275B82"/>
    <w:rsid w:val="00276225"/>
    <w:rsid w:val="002803D5"/>
    <w:rsid w:val="00283C91"/>
    <w:rsid w:val="002878D8"/>
    <w:rsid w:val="00295684"/>
    <w:rsid w:val="002A325D"/>
    <w:rsid w:val="002A5EE7"/>
    <w:rsid w:val="002B172C"/>
    <w:rsid w:val="002C31A2"/>
    <w:rsid w:val="002D0B04"/>
    <w:rsid w:val="002D460E"/>
    <w:rsid w:val="002D6616"/>
    <w:rsid w:val="002D6644"/>
    <w:rsid w:val="002E2978"/>
    <w:rsid w:val="002E5259"/>
    <w:rsid w:val="002E77B6"/>
    <w:rsid w:val="002F02D1"/>
    <w:rsid w:val="002F761B"/>
    <w:rsid w:val="00302325"/>
    <w:rsid w:val="003121C6"/>
    <w:rsid w:val="0031394B"/>
    <w:rsid w:val="003140DF"/>
    <w:rsid w:val="00323D8C"/>
    <w:rsid w:val="003268AD"/>
    <w:rsid w:val="00327BCD"/>
    <w:rsid w:val="00333620"/>
    <w:rsid w:val="00333F56"/>
    <w:rsid w:val="003370E3"/>
    <w:rsid w:val="003445F3"/>
    <w:rsid w:val="00347069"/>
    <w:rsid w:val="00347EEC"/>
    <w:rsid w:val="00350413"/>
    <w:rsid w:val="003514AB"/>
    <w:rsid w:val="00354C47"/>
    <w:rsid w:val="00357E66"/>
    <w:rsid w:val="003605C6"/>
    <w:rsid w:val="00366DB8"/>
    <w:rsid w:val="00367A32"/>
    <w:rsid w:val="00376023"/>
    <w:rsid w:val="00376976"/>
    <w:rsid w:val="00380012"/>
    <w:rsid w:val="003814C4"/>
    <w:rsid w:val="0038232A"/>
    <w:rsid w:val="003938F8"/>
    <w:rsid w:val="00395D70"/>
    <w:rsid w:val="003A1107"/>
    <w:rsid w:val="003A3B39"/>
    <w:rsid w:val="003A6723"/>
    <w:rsid w:val="003B0942"/>
    <w:rsid w:val="003B2C70"/>
    <w:rsid w:val="003B4074"/>
    <w:rsid w:val="003B4DF1"/>
    <w:rsid w:val="003C3B6F"/>
    <w:rsid w:val="003C6E15"/>
    <w:rsid w:val="003D0E36"/>
    <w:rsid w:val="003D71F7"/>
    <w:rsid w:val="003E0432"/>
    <w:rsid w:val="003E107B"/>
    <w:rsid w:val="003F360E"/>
    <w:rsid w:val="00403AF2"/>
    <w:rsid w:val="00406562"/>
    <w:rsid w:val="00406709"/>
    <w:rsid w:val="00406809"/>
    <w:rsid w:val="00407252"/>
    <w:rsid w:val="00421E16"/>
    <w:rsid w:val="00423781"/>
    <w:rsid w:val="0042406A"/>
    <w:rsid w:val="00425894"/>
    <w:rsid w:val="004266FD"/>
    <w:rsid w:val="004307F0"/>
    <w:rsid w:val="004356C6"/>
    <w:rsid w:val="004361EA"/>
    <w:rsid w:val="00437FD7"/>
    <w:rsid w:val="00441DC9"/>
    <w:rsid w:val="004421CE"/>
    <w:rsid w:val="0044341B"/>
    <w:rsid w:val="00443EB3"/>
    <w:rsid w:val="00452814"/>
    <w:rsid w:val="00454C06"/>
    <w:rsid w:val="00457687"/>
    <w:rsid w:val="004576AA"/>
    <w:rsid w:val="004655E8"/>
    <w:rsid w:val="004735EC"/>
    <w:rsid w:val="00477DE2"/>
    <w:rsid w:val="00482B8E"/>
    <w:rsid w:val="004839AA"/>
    <w:rsid w:val="00484A86"/>
    <w:rsid w:val="00492029"/>
    <w:rsid w:val="004A0A80"/>
    <w:rsid w:val="004A179B"/>
    <w:rsid w:val="004A2970"/>
    <w:rsid w:val="004C5B3B"/>
    <w:rsid w:val="004C7155"/>
    <w:rsid w:val="004D0449"/>
    <w:rsid w:val="004D55DA"/>
    <w:rsid w:val="004E7032"/>
    <w:rsid w:val="004F5A85"/>
    <w:rsid w:val="00500F8B"/>
    <w:rsid w:val="00503622"/>
    <w:rsid w:val="00515681"/>
    <w:rsid w:val="00517461"/>
    <w:rsid w:val="005273A2"/>
    <w:rsid w:val="005317F2"/>
    <w:rsid w:val="00531AD1"/>
    <w:rsid w:val="00536575"/>
    <w:rsid w:val="0054053A"/>
    <w:rsid w:val="0054075A"/>
    <w:rsid w:val="005417D3"/>
    <w:rsid w:val="00543038"/>
    <w:rsid w:val="005504CF"/>
    <w:rsid w:val="00554AC0"/>
    <w:rsid w:val="0055658B"/>
    <w:rsid w:val="0056099E"/>
    <w:rsid w:val="00562B0B"/>
    <w:rsid w:val="005676E1"/>
    <w:rsid w:val="00572E97"/>
    <w:rsid w:val="00581AE6"/>
    <w:rsid w:val="00590949"/>
    <w:rsid w:val="00591171"/>
    <w:rsid w:val="00592585"/>
    <w:rsid w:val="00594895"/>
    <w:rsid w:val="005A5253"/>
    <w:rsid w:val="005B0C33"/>
    <w:rsid w:val="005B5BFC"/>
    <w:rsid w:val="005B6B00"/>
    <w:rsid w:val="005C1FAF"/>
    <w:rsid w:val="005C274D"/>
    <w:rsid w:val="005C5CA6"/>
    <w:rsid w:val="005C635F"/>
    <w:rsid w:val="005C76FF"/>
    <w:rsid w:val="005D175A"/>
    <w:rsid w:val="005D225E"/>
    <w:rsid w:val="005E1AD6"/>
    <w:rsid w:val="005E23D5"/>
    <w:rsid w:val="006031D8"/>
    <w:rsid w:val="00605EBE"/>
    <w:rsid w:val="0061268B"/>
    <w:rsid w:val="00612A07"/>
    <w:rsid w:val="00613B3E"/>
    <w:rsid w:val="00617A39"/>
    <w:rsid w:val="00621D95"/>
    <w:rsid w:val="00621DB2"/>
    <w:rsid w:val="00624732"/>
    <w:rsid w:val="00632487"/>
    <w:rsid w:val="0063248B"/>
    <w:rsid w:val="00632812"/>
    <w:rsid w:val="00634A22"/>
    <w:rsid w:val="00636566"/>
    <w:rsid w:val="00641FBE"/>
    <w:rsid w:val="00644EC6"/>
    <w:rsid w:val="0064598C"/>
    <w:rsid w:val="00650B9A"/>
    <w:rsid w:val="00651EE8"/>
    <w:rsid w:val="00653813"/>
    <w:rsid w:val="006540CC"/>
    <w:rsid w:val="0065491B"/>
    <w:rsid w:val="00655D2E"/>
    <w:rsid w:val="00660075"/>
    <w:rsid w:val="00663562"/>
    <w:rsid w:val="0067374A"/>
    <w:rsid w:val="0067456C"/>
    <w:rsid w:val="00677C0C"/>
    <w:rsid w:val="00681BC1"/>
    <w:rsid w:val="00683C36"/>
    <w:rsid w:val="00684279"/>
    <w:rsid w:val="006918C1"/>
    <w:rsid w:val="00694066"/>
    <w:rsid w:val="00696506"/>
    <w:rsid w:val="006A29C7"/>
    <w:rsid w:val="006A2E45"/>
    <w:rsid w:val="006A36A4"/>
    <w:rsid w:val="006B03B7"/>
    <w:rsid w:val="006B39E9"/>
    <w:rsid w:val="006C17E0"/>
    <w:rsid w:val="006D10C5"/>
    <w:rsid w:val="006D738F"/>
    <w:rsid w:val="006E30C1"/>
    <w:rsid w:val="006E33B5"/>
    <w:rsid w:val="006E35F9"/>
    <w:rsid w:val="006E4E37"/>
    <w:rsid w:val="006F331D"/>
    <w:rsid w:val="007012E2"/>
    <w:rsid w:val="00701620"/>
    <w:rsid w:val="007064D7"/>
    <w:rsid w:val="00706A01"/>
    <w:rsid w:val="0071317E"/>
    <w:rsid w:val="00730C23"/>
    <w:rsid w:val="00730F15"/>
    <w:rsid w:val="007342CE"/>
    <w:rsid w:val="007369BA"/>
    <w:rsid w:val="00740582"/>
    <w:rsid w:val="007414E1"/>
    <w:rsid w:val="00741B11"/>
    <w:rsid w:val="0074580C"/>
    <w:rsid w:val="00760F71"/>
    <w:rsid w:val="007617BD"/>
    <w:rsid w:val="00770D80"/>
    <w:rsid w:val="00772339"/>
    <w:rsid w:val="0078710E"/>
    <w:rsid w:val="00787F4C"/>
    <w:rsid w:val="007917B0"/>
    <w:rsid w:val="007A1A5F"/>
    <w:rsid w:val="007A34C9"/>
    <w:rsid w:val="007A6C5D"/>
    <w:rsid w:val="007A7425"/>
    <w:rsid w:val="007A7980"/>
    <w:rsid w:val="007B04FD"/>
    <w:rsid w:val="007B59CC"/>
    <w:rsid w:val="007B71B6"/>
    <w:rsid w:val="007C085F"/>
    <w:rsid w:val="007C1B58"/>
    <w:rsid w:val="007D41E1"/>
    <w:rsid w:val="007E1A57"/>
    <w:rsid w:val="007E616F"/>
    <w:rsid w:val="007E6D32"/>
    <w:rsid w:val="007F0611"/>
    <w:rsid w:val="007F2CA6"/>
    <w:rsid w:val="007F423C"/>
    <w:rsid w:val="007F71A7"/>
    <w:rsid w:val="0080149A"/>
    <w:rsid w:val="00801CA2"/>
    <w:rsid w:val="00802BFE"/>
    <w:rsid w:val="008052DA"/>
    <w:rsid w:val="00807431"/>
    <w:rsid w:val="00810763"/>
    <w:rsid w:val="00814968"/>
    <w:rsid w:val="008157BA"/>
    <w:rsid w:val="00817D8A"/>
    <w:rsid w:val="00820704"/>
    <w:rsid w:val="00826845"/>
    <w:rsid w:val="00836D7A"/>
    <w:rsid w:val="00841E41"/>
    <w:rsid w:val="0084331E"/>
    <w:rsid w:val="00843E13"/>
    <w:rsid w:val="00843F4B"/>
    <w:rsid w:val="0084597D"/>
    <w:rsid w:val="00850D4E"/>
    <w:rsid w:val="00857394"/>
    <w:rsid w:val="008600E4"/>
    <w:rsid w:val="0086296B"/>
    <w:rsid w:val="008676DF"/>
    <w:rsid w:val="00867ECF"/>
    <w:rsid w:val="0087075D"/>
    <w:rsid w:val="00872CF4"/>
    <w:rsid w:val="00873E53"/>
    <w:rsid w:val="0087598A"/>
    <w:rsid w:val="00877C88"/>
    <w:rsid w:val="0088365D"/>
    <w:rsid w:val="008907C3"/>
    <w:rsid w:val="008920C9"/>
    <w:rsid w:val="008924D8"/>
    <w:rsid w:val="00892705"/>
    <w:rsid w:val="008965FF"/>
    <w:rsid w:val="00897D7D"/>
    <w:rsid w:val="008A0D61"/>
    <w:rsid w:val="008A117A"/>
    <w:rsid w:val="008A4E71"/>
    <w:rsid w:val="008B3910"/>
    <w:rsid w:val="008B564A"/>
    <w:rsid w:val="008C0767"/>
    <w:rsid w:val="008C2D26"/>
    <w:rsid w:val="008C2ED0"/>
    <w:rsid w:val="008C671A"/>
    <w:rsid w:val="008D0CD2"/>
    <w:rsid w:val="008D2340"/>
    <w:rsid w:val="008E2532"/>
    <w:rsid w:val="008E34E9"/>
    <w:rsid w:val="008F0C79"/>
    <w:rsid w:val="008F3DE8"/>
    <w:rsid w:val="008F4908"/>
    <w:rsid w:val="00903FB7"/>
    <w:rsid w:val="009055ED"/>
    <w:rsid w:val="00912CE3"/>
    <w:rsid w:val="009249B9"/>
    <w:rsid w:val="009269B2"/>
    <w:rsid w:val="00930D0F"/>
    <w:rsid w:val="00932779"/>
    <w:rsid w:val="009342BD"/>
    <w:rsid w:val="009345ED"/>
    <w:rsid w:val="00934ED3"/>
    <w:rsid w:val="00940505"/>
    <w:rsid w:val="00941183"/>
    <w:rsid w:val="00943EFE"/>
    <w:rsid w:val="00944ECF"/>
    <w:rsid w:val="00946CAD"/>
    <w:rsid w:val="00951190"/>
    <w:rsid w:val="00970925"/>
    <w:rsid w:val="00987141"/>
    <w:rsid w:val="00991A2A"/>
    <w:rsid w:val="009937AE"/>
    <w:rsid w:val="009A2328"/>
    <w:rsid w:val="009A374A"/>
    <w:rsid w:val="009B0072"/>
    <w:rsid w:val="009B01E1"/>
    <w:rsid w:val="009B5ABC"/>
    <w:rsid w:val="009C2CE3"/>
    <w:rsid w:val="009D5B6B"/>
    <w:rsid w:val="009D6B3B"/>
    <w:rsid w:val="009D71A3"/>
    <w:rsid w:val="009E349C"/>
    <w:rsid w:val="009E5610"/>
    <w:rsid w:val="009F3027"/>
    <w:rsid w:val="009F4C02"/>
    <w:rsid w:val="009F5C01"/>
    <w:rsid w:val="00A06CAC"/>
    <w:rsid w:val="00A10C60"/>
    <w:rsid w:val="00A176D5"/>
    <w:rsid w:val="00A2357F"/>
    <w:rsid w:val="00A2557F"/>
    <w:rsid w:val="00A27711"/>
    <w:rsid w:val="00A30E4A"/>
    <w:rsid w:val="00A326F3"/>
    <w:rsid w:val="00A339CF"/>
    <w:rsid w:val="00A362B4"/>
    <w:rsid w:val="00A41ECF"/>
    <w:rsid w:val="00A43D36"/>
    <w:rsid w:val="00A60D93"/>
    <w:rsid w:val="00A60E0E"/>
    <w:rsid w:val="00A61B62"/>
    <w:rsid w:val="00A72CBB"/>
    <w:rsid w:val="00A85159"/>
    <w:rsid w:val="00A87E8E"/>
    <w:rsid w:val="00A91D66"/>
    <w:rsid w:val="00AA4754"/>
    <w:rsid w:val="00AA4992"/>
    <w:rsid w:val="00AA4ED8"/>
    <w:rsid w:val="00AA71D5"/>
    <w:rsid w:val="00AB0EB8"/>
    <w:rsid w:val="00AB478D"/>
    <w:rsid w:val="00AC5B03"/>
    <w:rsid w:val="00AC5D5C"/>
    <w:rsid w:val="00AF535D"/>
    <w:rsid w:val="00B02AD8"/>
    <w:rsid w:val="00B02B42"/>
    <w:rsid w:val="00B03A12"/>
    <w:rsid w:val="00B06509"/>
    <w:rsid w:val="00B06C58"/>
    <w:rsid w:val="00B14655"/>
    <w:rsid w:val="00B158CF"/>
    <w:rsid w:val="00B23E71"/>
    <w:rsid w:val="00B269CD"/>
    <w:rsid w:val="00B3068E"/>
    <w:rsid w:val="00B3103B"/>
    <w:rsid w:val="00B37BBE"/>
    <w:rsid w:val="00B46F7B"/>
    <w:rsid w:val="00B476CC"/>
    <w:rsid w:val="00B52957"/>
    <w:rsid w:val="00B552D1"/>
    <w:rsid w:val="00B5736D"/>
    <w:rsid w:val="00B57F69"/>
    <w:rsid w:val="00B6764F"/>
    <w:rsid w:val="00B76579"/>
    <w:rsid w:val="00B81305"/>
    <w:rsid w:val="00B9723D"/>
    <w:rsid w:val="00BA3A63"/>
    <w:rsid w:val="00BA589A"/>
    <w:rsid w:val="00BA78B9"/>
    <w:rsid w:val="00BC05E1"/>
    <w:rsid w:val="00BC46DE"/>
    <w:rsid w:val="00BC6BBA"/>
    <w:rsid w:val="00BD570C"/>
    <w:rsid w:val="00BE50DA"/>
    <w:rsid w:val="00BF0276"/>
    <w:rsid w:val="00BF78A3"/>
    <w:rsid w:val="00C00CE9"/>
    <w:rsid w:val="00C042B1"/>
    <w:rsid w:val="00C17405"/>
    <w:rsid w:val="00C178D0"/>
    <w:rsid w:val="00C2256F"/>
    <w:rsid w:val="00C23F8F"/>
    <w:rsid w:val="00C24EB5"/>
    <w:rsid w:val="00C25A28"/>
    <w:rsid w:val="00C26787"/>
    <w:rsid w:val="00C3065F"/>
    <w:rsid w:val="00C34862"/>
    <w:rsid w:val="00C34F28"/>
    <w:rsid w:val="00C3506B"/>
    <w:rsid w:val="00C36FE1"/>
    <w:rsid w:val="00C40F50"/>
    <w:rsid w:val="00C4244A"/>
    <w:rsid w:val="00C5022D"/>
    <w:rsid w:val="00C52A97"/>
    <w:rsid w:val="00C62AC4"/>
    <w:rsid w:val="00C63A99"/>
    <w:rsid w:val="00C64770"/>
    <w:rsid w:val="00C67CCF"/>
    <w:rsid w:val="00C701EA"/>
    <w:rsid w:val="00C76EFC"/>
    <w:rsid w:val="00C773B3"/>
    <w:rsid w:val="00C80C62"/>
    <w:rsid w:val="00C81F0F"/>
    <w:rsid w:val="00C82902"/>
    <w:rsid w:val="00C839A9"/>
    <w:rsid w:val="00C870AA"/>
    <w:rsid w:val="00C96635"/>
    <w:rsid w:val="00C97616"/>
    <w:rsid w:val="00CA4BB8"/>
    <w:rsid w:val="00CA68B3"/>
    <w:rsid w:val="00CB474B"/>
    <w:rsid w:val="00CC0F35"/>
    <w:rsid w:val="00CC493C"/>
    <w:rsid w:val="00CC598E"/>
    <w:rsid w:val="00CC59FC"/>
    <w:rsid w:val="00CC65CD"/>
    <w:rsid w:val="00CD51D2"/>
    <w:rsid w:val="00CE1CDD"/>
    <w:rsid w:val="00CE65D4"/>
    <w:rsid w:val="00CE7A79"/>
    <w:rsid w:val="00CF4492"/>
    <w:rsid w:val="00D00CF7"/>
    <w:rsid w:val="00D038A8"/>
    <w:rsid w:val="00D0407A"/>
    <w:rsid w:val="00D043CC"/>
    <w:rsid w:val="00D14E29"/>
    <w:rsid w:val="00D25B51"/>
    <w:rsid w:val="00D33F84"/>
    <w:rsid w:val="00D3751C"/>
    <w:rsid w:val="00D424D1"/>
    <w:rsid w:val="00D44CFE"/>
    <w:rsid w:val="00D463F8"/>
    <w:rsid w:val="00D54F0D"/>
    <w:rsid w:val="00D56394"/>
    <w:rsid w:val="00D56CA9"/>
    <w:rsid w:val="00D56FEA"/>
    <w:rsid w:val="00D61443"/>
    <w:rsid w:val="00D621C1"/>
    <w:rsid w:val="00D6747A"/>
    <w:rsid w:val="00D776C6"/>
    <w:rsid w:val="00D77FC6"/>
    <w:rsid w:val="00D85592"/>
    <w:rsid w:val="00D866ED"/>
    <w:rsid w:val="00D907F6"/>
    <w:rsid w:val="00D93E87"/>
    <w:rsid w:val="00D94C50"/>
    <w:rsid w:val="00DA4139"/>
    <w:rsid w:val="00DA5C83"/>
    <w:rsid w:val="00DA6F1C"/>
    <w:rsid w:val="00DC192C"/>
    <w:rsid w:val="00DD0AB5"/>
    <w:rsid w:val="00DD1273"/>
    <w:rsid w:val="00DD20B4"/>
    <w:rsid w:val="00DE121E"/>
    <w:rsid w:val="00DE76BB"/>
    <w:rsid w:val="00E03DAD"/>
    <w:rsid w:val="00E042D4"/>
    <w:rsid w:val="00E1087D"/>
    <w:rsid w:val="00E305A3"/>
    <w:rsid w:val="00E3258A"/>
    <w:rsid w:val="00E33F37"/>
    <w:rsid w:val="00E37EA3"/>
    <w:rsid w:val="00E40792"/>
    <w:rsid w:val="00E448BF"/>
    <w:rsid w:val="00E50A6B"/>
    <w:rsid w:val="00E52DD0"/>
    <w:rsid w:val="00E645EE"/>
    <w:rsid w:val="00E6497E"/>
    <w:rsid w:val="00E65CA7"/>
    <w:rsid w:val="00E67A70"/>
    <w:rsid w:val="00E701BC"/>
    <w:rsid w:val="00E74B20"/>
    <w:rsid w:val="00E878FC"/>
    <w:rsid w:val="00E9221F"/>
    <w:rsid w:val="00E927A6"/>
    <w:rsid w:val="00EA1D70"/>
    <w:rsid w:val="00EA2EEA"/>
    <w:rsid w:val="00EA2FB0"/>
    <w:rsid w:val="00EA3CE9"/>
    <w:rsid w:val="00EB1022"/>
    <w:rsid w:val="00EB2AB7"/>
    <w:rsid w:val="00EC6A3B"/>
    <w:rsid w:val="00ED1987"/>
    <w:rsid w:val="00ED1A90"/>
    <w:rsid w:val="00ED576F"/>
    <w:rsid w:val="00ED6F4E"/>
    <w:rsid w:val="00EE4F43"/>
    <w:rsid w:val="00EF5815"/>
    <w:rsid w:val="00F0557B"/>
    <w:rsid w:val="00F110FE"/>
    <w:rsid w:val="00F13C80"/>
    <w:rsid w:val="00F14FC5"/>
    <w:rsid w:val="00F17BE5"/>
    <w:rsid w:val="00F217C5"/>
    <w:rsid w:val="00F23C43"/>
    <w:rsid w:val="00F2605B"/>
    <w:rsid w:val="00F26C5D"/>
    <w:rsid w:val="00F32332"/>
    <w:rsid w:val="00F35D37"/>
    <w:rsid w:val="00F41E74"/>
    <w:rsid w:val="00F433E4"/>
    <w:rsid w:val="00F454A2"/>
    <w:rsid w:val="00F5404C"/>
    <w:rsid w:val="00F56652"/>
    <w:rsid w:val="00F573B0"/>
    <w:rsid w:val="00F6266E"/>
    <w:rsid w:val="00F74B4E"/>
    <w:rsid w:val="00F74CC8"/>
    <w:rsid w:val="00F863B6"/>
    <w:rsid w:val="00F9199C"/>
    <w:rsid w:val="00F92BBC"/>
    <w:rsid w:val="00F95623"/>
    <w:rsid w:val="00F96CE5"/>
    <w:rsid w:val="00FA0F55"/>
    <w:rsid w:val="00FA1547"/>
    <w:rsid w:val="00FA16BE"/>
    <w:rsid w:val="00FA18C6"/>
    <w:rsid w:val="00FA427D"/>
    <w:rsid w:val="00FA46BE"/>
    <w:rsid w:val="00FA4BC3"/>
    <w:rsid w:val="00FA5FFA"/>
    <w:rsid w:val="00FA67CD"/>
    <w:rsid w:val="00FC1161"/>
    <w:rsid w:val="00FC7294"/>
    <w:rsid w:val="00FE0A60"/>
    <w:rsid w:val="00FE4890"/>
    <w:rsid w:val="00FF5F8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FD3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next w:val="regpar"/>
    <w:qFormat/>
    <w:rPr>
      <w:rFonts w:ascii="Times" w:hAnsi="Times" w:cs="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par">
    <w:name w:val="regpar"/>
    <w:basedOn w:val="Normal"/>
    <w:pPr>
      <w:ind w:firstLine="2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200"/>
        <w:tab w:val="right" w:pos="8400"/>
      </w:tabs>
    </w:pPr>
  </w:style>
  <w:style w:type="character" w:styleId="FootnoteReference">
    <w:name w:val="footnote reference"/>
    <w:rPr>
      <w:position w:val="6"/>
      <w:sz w:val="14"/>
      <w:szCs w:val="14"/>
    </w:rPr>
  </w:style>
  <w:style w:type="paragraph" w:styleId="FootnoteText">
    <w:name w:val="footnote text"/>
    <w:basedOn w:val="regpar"/>
    <w:link w:val="FootnoteTextChar"/>
    <w:pPr>
      <w:spacing w:line="240" w:lineRule="exact"/>
    </w:pPr>
    <w:rPr>
      <w:sz w:val="20"/>
      <w:szCs w:val="20"/>
    </w:rPr>
  </w:style>
  <w:style w:type="character" w:styleId="PageNumber">
    <w:name w:val="page number"/>
    <w:basedOn w:val="DefaultParagraphFont"/>
  </w:style>
  <w:style w:type="paragraph" w:customStyle="1" w:styleId="ER-text86">
    <w:name w:val="*ER-text 86%"/>
    <w:basedOn w:val="Normal"/>
  </w:style>
  <w:style w:type="paragraph" w:customStyle="1" w:styleId="abstract">
    <w:name w:val="abstract"/>
    <w:basedOn w:val="Normal"/>
    <w:next w:val="Normal"/>
    <w:pPr>
      <w:spacing w:line="260" w:lineRule="exact"/>
      <w:ind w:left="480" w:right="480"/>
    </w:pPr>
    <w:rPr>
      <w:sz w:val="22"/>
      <w:szCs w:val="22"/>
    </w:rPr>
  </w:style>
  <w:style w:type="paragraph" w:customStyle="1" w:styleId="author">
    <w:name w:val="author"/>
    <w:basedOn w:val="Normal"/>
    <w:next w:val="abstract"/>
    <w:pPr>
      <w:jc w:val="center"/>
    </w:pPr>
    <w:rPr>
      <w:smallCaps/>
    </w:rPr>
  </w:style>
  <w:style w:type="paragraph" w:customStyle="1" w:styleId="1">
    <w:name w:val="כותרת טקסט1"/>
    <w:basedOn w:val="Normal"/>
    <w:next w:val="author"/>
    <w:pPr>
      <w:jc w:val="center"/>
    </w:pPr>
    <w:rPr>
      <w:caps/>
      <w:sz w:val="28"/>
      <w:szCs w:val="28"/>
    </w:rPr>
  </w:style>
  <w:style w:type="paragraph" w:customStyle="1" w:styleId="Ahead">
    <w:name w:val="A head"/>
    <w:basedOn w:val="Normal"/>
    <w:next w:val="Normal"/>
    <w:rPr>
      <w:caps/>
      <w:sz w:val="22"/>
      <w:szCs w:val="22"/>
    </w:rPr>
  </w:style>
  <w:style w:type="paragraph" w:customStyle="1" w:styleId="Bhead">
    <w:name w:val="B head"/>
    <w:basedOn w:val="Normal"/>
    <w:next w:val="Normal"/>
    <w:rPr>
      <w:b/>
      <w:bCs/>
    </w:rPr>
  </w:style>
  <w:style w:type="paragraph" w:customStyle="1" w:styleId="rule">
    <w:name w:val="rule"/>
    <w:basedOn w:val="Normal"/>
    <w:pPr>
      <w:spacing w:line="120" w:lineRule="exact"/>
    </w:pPr>
    <w:rPr>
      <w:spacing w:val="-20"/>
      <w:sz w:val="12"/>
      <w:szCs w:val="12"/>
    </w:rPr>
  </w:style>
  <w:style w:type="paragraph" w:customStyle="1" w:styleId="noteseparator">
    <w:name w:val="note separator"/>
    <w:basedOn w:val="Normal"/>
    <w:next w:val="FootnoteText"/>
    <w:pPr>
      <w:spacing w:line="160" w:lineRule="exact"/>
    </w:pPr>
  </w:style>
  <w:style w:type="paragraph" w:customStyle="1" w:styleId="runninghead">
    <w:name w:val="running head"/>
    <w:basedOn w:val="Header"/>
    <w:rPr>
      <w:smallCaps/>
    </w:rPr>
  </w:style>
  <w:style w:type="paragraph" w:customStyle="1" w:styleId="eq">
    <w:name w:val="eq"/>
    <w:basedOn w:val="Normal"/>
    <w:pPr>
      <w:tabs>
        <w:tab w:val="center" w:pos="4320"/>
        <w:tab w:val="right" w:pos="8400"/>
      </w:tabs>
      <w:spacing w:line="300" w:lineRule="atLeast"/>
    </w:pPr>
  </w:style>
  <w:style w:type="paragraph" w:customStyle="1" w:styleId="Chead">
    <w:name w:val="C head"/>
    <w:basedOn w:val="Normal"/>
    <w:next w:val="Normal"/>
    <w:rPr>
      <w:i/>
      <w:iCs/>
    </w:rPr>
  </w:style>
  <w:style w:type="paragraph" w:customStyle="1" w:styleId="ARtext">
    <w:name w:val="*AR text"/>
    <w:basedOn w:val="Normal"/>
  </w:style>
  <w:style w:type="paragraph" w:customStyle="1" w:styleId="quotes">
    <w:name w:val="quotes"/>
    <w:basedOn w:val="Normal"/>
    <w:next w:val="Normal"/>
    <w:pPr>
      <w:spacing w:line="260" w:lineRule="exact"/>
      <w:ind w:left="480" w:right="480"/>
    </w:pPr>
    <w:rPr>
      <w:sz w:val="22"/>
      <w:szCs w:val="22"/>
    </w:rPr>
  </w:style>
  <w:style w:type="paragraph" w:customStyle="1" w:styleId="chapter">
    <w:name w:val="chapter"/>
    <w:basedOn w:val="Normal"/>
    <w:next w:val="1"/>
    <w:pPr>
      <w:spacing w:line="560" w:lineRule="atLeast"/>
    </w:pPr>
    <w:rPr>
      <w:i/>
      <w:iCs/>
      <w:sz w:val="36"/>
      <w:szCs w:val="36"/>
    </w:rPr>
  </w:style>
  <w:style w:type="paragraph" w:styleId="BodyTextIndent">
    <w:name w:val="Body Text Indent"/>
    <w:basedOn w:val="Normal"/>
    <w:pPr>
      <w:widowControl w:val="0"/>
      <w:ind w:left="284" w:hanging="284"/>
    </w:pPr>
  </w:style>
  <w:style w:type="character" w:styleId="Hyperlink">
    <w:name w:val="Hyperlink"/>
    <w:rPr>
      <w:color w:val="0000FF"/>
      <w:u w:val="single"/>
    </w:rPr>
  </w:style>
  <w:style w:type="paragraph" w:styleId="Date">
    <w:name w:val="Date"/>
    <w:basedOn w:val="Normal"/>
    <w:next w:val="Normal"/>
    <w:rsid w:val="00E03DAD"/>
  </w:style>
  <w:style w:type="table" w:styleId="TableGrid">
    <w:name w:val="Table Grid"/>
    <w:basedOn w:val="TableNormal"/>
    <w:rsid w:val="00E03DAD"/>
    <w:pPr>
      <w:spacing w:line="30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CE7A79"/>
    <w:rPr>
      <w:color w:val="800080"/>
      <w:u w:val="single"/>
    </w:rPr>
  </w:style>
  <w:style w:type="paragraph" w:styleId="BalloonText">
    <w:name w:val="Balloon Text"/>
    <w:basedOn w:val="Normal"/>
    <w:link w:val="BalloonTextChar"/>
    <w:uiPriority w:val="99"/>
    <w:semiHidden/>
    <w:unhideWhenUsed/>
    <w:rsid w:val="00EC6A3B"/>
    <w:rPr>
      <w:rFonts w:ascii="Tahoma" w:hAnsi="Tahoma" w:cs="Tahoma"/>
      <w:sz w:val="16"/>
      <w:szCs w:val="16"/>
    </w:rPr>
  </w:style>
  <w:style w:type="character" w:customStyle="1" w:styleId="BalloonTextChar">
    <w:name w:val="Balloon Text Char"/>
    <w:link w:val="BalloonText"/>
    <w:uiPriority w:val="99"/>
    <w:semiHidden/>
    <w:rsid w:val="00EC6A3B"/>
    <w:rPr>
      <w:rFonts w:ascii="Tahoma" w:hAnsi="Tahoma" w:cs="Tahoma"/>
      <w:sz w:val="16"/>
      <w:szCs w:val="16"/>
    </w:rPr>
  </w:style>
  <w:style w:type="paragraph" w:styleId="Revision">
    <w:name w:val="Revision"/>
    <w:hidden/>
    <w:uiPriority w:val="99"/>
    <w:semiHidden/>
    <w:rsid w:val="00C81F0F"/>
    <w:rPr>
      <w:rFonts w:ascii="Times" w:hAnsi="Times" w:cs="Times"/>
      <w:sz w:val="24"/>
      <w:szCs w:val="24"/>
    </w:rPr>
  </w:style>
  <w:style w:type="paragraph" w:styleId="PlainText">
    <w:name w:val="Plain Text"/>
    <w:basedOn w:val="Normal"/>
    <w:link w:val="PlainTextChar"/>
    <w:uiPriority w:val="99"/>
    <w:semiHidden/>
    <w:unhideWhenUsed/>
    <w:rsid w:val="00E52DD0"/>
    <w:rPr>
      <w:rFonts w:ascii="Calibri" w:eastAsia="Calibri" w:hAnsi="Calibri" w:cs="Arial"/>
      <w:sz w:val="22"/>
      <w:szCs w:val="21"/>
    </w:rPr>
  </w:style>
  <w:style w:type="character" w:customStyle="1" w:styleId="PlainTextChar">
    <w:name w:val="Plain Text Char"/>
    <w:link w:val="PlainText"/>
    <w:uiPriority w:val="99"/>
    <w:semiHidden/>
    <w:rsid w:val="00E52DD0"/>
    <w:rPr>
      <w:rFonts w:ascii="Calibri" w:eastAsia="Calibri" w:hAnsi="Calibri" w:cs="Arial"/>
      <w:sz w:val="22"/>
      <w:szCs w:val="21"/>
    </w:rPr>
  </w:style>
  <w:style w:type="paragraph" w:styleId="ListParagraph">
    <w:name w:val="List Paragraph"/>
    <w:basedOn w:val="Normal"/>
    <w:uiPriority w:val="34"/>
    <w:qFormat/>
    <w:rsid w:val="00C96635"/>
    <w:pPr>
      <w:ind w:left="720"/>
      <w:contextualSpacing/>
    </w:pPr>
  </w:style>
  <w:style w:type="character" w:customStyle="1" w:styleId="FooterChar">
    <w:name w:val="Footer Char"/>
    <w:basedOn w:val="DefaultParagraphFont"/>
    <w:link w:val="Footer"/>
    <w:uiPriority w:val="99"/>
    <w:rsid w:val="008F0C79"/>
    <w:rPr>
      <w:rFonts w:ascii="Times" w:hAnsi="Times" w:cs="Times"/>
      <w:sz w:val="24"/>
      <w:szCs w:val="24"/>
    </w:rPr>
  </w:style>
  <w:style w:type="character" w:customStyle="1" w:styleId="FootnoteTextChar">
    <w:name w:val="Footnote Text Char"/>
    <w:basedOn w:val="DefaultParagraphFont"/>
    <w:link w:val="FootnoteText"/>
    <w:rsid w:val="00A27711"/>
    <w:rPr>
      <w:rFonts w:ascii="Times" w:hAnsi="Times" w:cs="Times"/>
    </w:rPr>
  </w:style>
  <w:style w:type="character" w:styleId="CommentReference">
    <w:name w:val="annotation reference"/>
    <w:basedOn w:val="DefaultParagraphFont"/>
    <w:uiPriority w:val="99"/>
    <w:semiHidden/>
    <w:unhideWhenUsed/>
    <w:rsid w:val="008D2340"/>
    <w:rPr>
      <w:sz w:val="16"/>
      <w:szCs w:val="16"/>
    </w:rPr>
  </w:style>
  <w:style w:type="paragraph" w:styleId="CommentText">
    <w:name w:val="annotation text"/>
    <w:basedOn w:val="Normal"/>
    <w:link w:val="CommentTextChar"/>
    <w:uiPriority w:val="99"/>
    <w:semiHidden/>
    <w:unhideWhenUsed/>
    <w:rsid w:val="008D2340"/>
    <w:rPr>
      <w:sz w:val="20"/>
      <w:szCs w:val="20"/>
    </w:rPr>
  </w:style>
  <w:style w:type="character" w:customStyle="1" w:styleId="CommentTextChar">
    <w:name w:val="Comment Text Char"/>
    <w:basedOn w:val="DefaultParagraphFont"/>
    <w:link w:val="CommentText"/>
    <w:uiPriority w:val="99"/>
    <w:semiHidden/>
    <w:rsid w:val="008D2340"/>
    <w:rPr>
      <w:rFonts w:ascii="Times" w:hAnsi="Times" w:cs="Times"/>
    </w:rPr>
  </w:style>
  <w:style w:type="paragraph" w:styleId="CommentSubject">
    <w:name w:val="annotation subject"/>
    <w:basedOn w:val="CommentText"/>
    <w:next w:val="CommentText"/>
    <w:link w:val="CommentSubjectChar"/>
    <w:uiPriority w:val="99"/>
    <w:semiHidden/>
    <w:unhideWhenUsed/>
    <w:rsid w:val="008D2340"/>
    <w:rPr>
      <w:b/>
      <w:bCs/>
    </w:rPr>
  </w:style>
  <w:style w:type="character" w:customStyle="1" w:styleId="CommentSubjectChar">
    <w:name w:val="Comment Subject Char"/>
    <w:basedOn w:val="CommentTextChar"/>
    <w:link w:val="CommentSubject"/>
    <w:uiPriority w:val="99"/>
    <w:semiHidden/>
    <w:rsid w:val="008D2340"/>
    <w:rPr>
      <w:rFonts w:ascii="Times" w:hAnsi="Times" w:cs="Times"/>
      <w:b/>
      <w:bCs/>
    </w:rPr>
  </w:style>
  <w:style w:type="paragraph" w:styleId="NormalWeb">
    <w:name w:val="Normal (Web)"/>
    <w:basedOn w:val="Normal"/>
    <w:uiPriority w:val="99"/>
    <w:unhideWhenUsed/>
    <w:rsid w:val="000C46E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12841">
      <w:bodyDiv w:val="1"/>
      <w:marLeft w:val="0"/>
      <w:marRight w:val="0"/>
      <w:marTop w:val="0"/>
      <w:marBottom w:val="0"/>
      <w:divBdr>
        <w:top w:val="none" w:sz="0" w:space="0" w:color="auto"/>
        <w:left w:val="none" w:sz="0" w:space="0" w:color="auto"/>
        <w:bottom w:val="none" w:sz="0" w:space="0" w:color="auto"/>
        <w:right w:val="none" w:sz="0" w:space="0" w:color="auto"/>
      </w:divBdr>
    </w:div>
    <w:div w:id="164588479">
      <w:bodyDiv w:val="1"/>
      <w:marLeft w:val="0"/>
      <w:marRight w:val="0"/>
      <w:marTop w:val="0"/>
      <w:marBottom w:val="0"/>
      <w:divBdr>
        <w:top w:val="none" w:sz="0" w:space="0" w:color="auto"/>
        <w:left w:val="none" w:sz="0" w:space="0" w:color="auto"/>
        <w:bottom w:val="none" w:sz="0" w:space="0" w:color="auto"/>
        <w:right w:val="none" w:sz="0" w:space="0" w:color="auto"/>
      </w:divBdr>
    </w:div>
    <w:div w:id="167909489">
      <w:bodyDiv w:val="1"/>
      <w:marLeft w:val="0"/>
      <w:marRight w:val="0"/>
      <w:marTop w:val="0"/>
      <w:marBottom w:val="0"/>
      <w:divBdr>
        <w:top w:val="none" w:sz="0" w:space="0" w:color="auto"/>
        <w:left w:val="none" w:sz="0" w:space="0" w:color="auto"/>
        <w:bottom w:val="none" w:sz="0" w:space="0" w:color="auto"/>
        <w:right w:val="none" w:sz="0" w:space="0" w:color="auto"/>
      </w:divBdr>
    </w:div>
    <w:div w:id="384256796">
      <w:bodyDiv w:val="1"/>
      <w:marLeft w:val="0"/>
      <w:marRight w:val="0"/>
      <w:marTop w:val="0"/>
      <w:marBottom w:val="0"/>
      <w:divBdr>
        <w:top w:val="none" w:sz="0" w:space="0" w:color="auto"/>
        <w:left w:val="none" w:sz="0" w:space="0" w:color="auto"/>
        <w:bottom w:val="none" w:sz="0" w:space="0" w:color="auto"/>
        <w:right w:val="none" w:sz="0" w:space="0" w:color="auto"/>
      </w:divBdr>
    </w:div>
    <w:div w:id="1213811366">
      <w:bodyDiv w:val="1"/>
      <w:marLeft w:val="0"/>
      <w:marRight w:val="0"/>
      <w:marTop w:val="0"/>
      <w:marBottom w:val="0"/>
      <w:divBdr>
        <w:top w:val="none" w:sz="0" w:space="0" w:color="auto"/>
        <w:left w:val="none" w:sz="0" w:space="0" w:color="auto"/>
        <w:bottom w:val="none" w:sz="0" w:space="0" w:color="auto"/>
        <w:right w:val="none" w:sz="0" w:space="0" w:color="auto"/>
      </w:divBdr>
    </w:div>
    <w:div w:id="1247038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E9343D4987C6478DC1BE6EDC107D2A" ma:contentTypeVersion="2" ma:contentTypeDescription="Create a new document." ma:contentTypeScope="" ma:versionID="accf42b3bcc0c5f4f4cd3f70261d3e4a">
  <xsd:schema xmlns:xsd="http://www.w3.org/2001/XMLSchema" xmlns:xs="http://www.w3.org/2001/XMLSchema" xmlns:p="http://schemas.microsoft.com/office/2006/metadata/properties" xmlns:ns1="http://schemas.microsoft.com/sharepoint/v3" targetNamespace="http://schemas.microsoft.com/office/2006/metadata/properties" ma:root="true" ma:fieldsID="77402afa3d4ca2a94263dbb7393923a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eWaveListOrderVal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eWaveListOrderValue" ma:index="10" nillable="true" ma:displayName="סידור" ma:decimals="2" ma:internalName="eWaveListOrderValue"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C08-DE6D-4052-A05A-FF43BF313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CB3AD7-C05B-4FB1-A8D2-B75B3DAE7EF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FD70AE1-37F1-4A16-B90F-7D9393E12D42}">
  <ds:schemaRefs>
    <ds:schemaRef ds:uri="http://schemas.microsoft.com/sharepoint/v3/contenttype/forms"/>
  </ds:schemaRefs>
</ds:datastoreItem>
</file>

<file path=customXml/itemProps4.xml><?xml version="1.0" encoding="utf-8"?>
<ds:datastoreItem xmlns:ds="http://schemas.openxmlformats.org/officeDocument/2006/customXml" ds:itemID="{96B42E8E-49C7-4FAA-8473-82F5DC4C0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1082</Words>
  <Characters>6168</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2025-03-31T13:59:00Z</dcterms:created>
  <dcterms:modified xsi:type="dcterms:W3CDTF">2025-03-31T13:59:00Z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0x010100BEE9343D4987C6478DC1BE6EDC107D2A</vt:lpwstr>
  </property>
</Properties>
</file>