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18"/>
        <w:gridCol w:w="2845"/>
        <w:gridCol w:w="2845"/>
      </w:tblGrid>
      <w:tr w:rsidR="009608EE" w:rsidRPr="00752E50" w:rsidTr="00A96BF0">
        <w:tblPrEx>
          <w:tblCellMar>
            <w:top w:w="0" w:type="dxa"/>
            <w:bottom w:w="0" w:type="dxa"/>
          </w:tblCellMar>
        </w:tblPrEx>
        <w:trPr>
          <w:trHeight w:val="907"/>
          <w:tblHeader/>
          <w:jc w:val="center"/>
        </w:trPr>
        <w:tc>
          <w:tcPr>
            <w:tcW w:w="3418" w:type="dxa"/>
          </w:tcPr>
          <w:p w:rsidR="00E52BDF" w:rsidRDefault="00E52BDF" w:rsidP="00BF23B9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B36FEC">
              <w:rPr>
                <w:rFonts w:cs="David" w:hint="eastAsia"/>
                <w:sz w:val="22"/>
                <w:szCs w:val="22"/>
                <w:rtl/>
              </w:rPr>
              <w:t>‏יום </w:t>
            </w:r>
            <w:r w:rsidR="00F54E7B">
              <w:rPr>
                <w:rFonts w:cs="David" w:hint="cs"/>
                <w:sz w:val="22"/>
                <w:szCs w:val="22"/>
                <w:rtl/>
              </w:rPr>
              <w:t>שני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F54E7B">
              <w:rPr>
                <w:rFonts w:cs="David" w:hint="cs"/>
                <w:sz w:val="22"/>
                <w:szCs w:val="22"/>
                <w:rtl/>
              </w:rPr>
              <w:t>כ</w:t>
            </w:r>
            <w:r w:rsidR="00AF6AC6">
              <w:rPr>
                <w:rFonts w:cs="David" w:hint="cs"/>
                <w:sz w:val="22"/>
                <w:szCs w:val="22"/>
                <w:rtl/>
              </w:rPr>
              <w:t>"ג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בכסלו</w:t>
            </w:r>
            <w:r w:rsidR="00AF6AC6">
              <w:rPr>
                <w:rFonts w:cs="David"/>
                <w:sz w:val="22"/>
                <w:szCs w:val="22"/>
                <w:rtl/>
              </w:rPr>
              <w:t xml:space="preserve"> תשע"</w:t>
            </w:r>
            <w:r w:rsidR="00AF6AC6">
              <w:rPr>
                <w:rFonts w:cs="David" w:hint="cs"/>
                <w:sz w:val="22"/>
                <w:szCs w:val="22"/>
                <w:rtl/>
              </w:rPr>
              <w:t>ה</w:t>
            </w:r>
          </w:p>
          <w:p w:rsidR="00972D12" w:rsidRPr="00E52BDF" w:rsidRDefault="00972D12" w:rsidP="00BF23B9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972D12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F54E7B">
              <w:rPr>
                <w:rFonts w:cs="David" w:hint="cs"/>
                <w:sz w:val="22"/>
                <w:szCs w:val="22"/>
                <w:rtl/>
              </w:rPr>
              <w:t>15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בדצמבר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201</w:t>
            </w:r>
            <w:r w:rsidR="00B36FEC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845" w:type="dxa"/>
          </w:tcPr>
          <w:p w:rsidR="009608EE" w:rsidRDefault="00A96BF0" w:rsidP="00A73408">
            <w:pPr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5FC5511" wp14:editId="7C5836C1">
                  <wp:extent cx="1200150" cy="666750"/>
                  <wp:effectExtent l="0" t="0" r="0" b="0"/>
                  <wp:docPr id="2" name="תמונה 15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:rsidR="004B1624" w:rsidRDefault="009608EE" w:rsidP="00BF23B9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9608EE" w:rsidRPr="00B341F4" w:rsidRDefault="009608EE" w:rsidP="00B341F4">
            <w:pPr>
              <w:spacing w:line="480" w:lineRule="auto"/>
              <w:jc w:val="center"/>
              <w:rPr>
                <w:rFonts w:cs="David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</w:tc>
      </w:tr>
    </w:tbl>
    <w:p w:rsidR="009608EE" w:rsidRPr="00972D12" w:rsidRDefault="00DB2C69" w:rsidP="00972D12">
      <w:pPr>
        <w:spacing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BF23B9">
        <w:rPr>
          <w:rFonts w:cs="David" w:hint="cs"/>
          <w:rtl/>
        </w:rPr>
        <w:t>:</w:t>
      </w:r>
    </w:p>
    <w:p w:rsidR="008D3D52" w:rsidRPr="00A96BF0" w:rsidRDefault="00673D6C" w:rsidP="00A96BF0">
      <w:pPr>
        <w:pStyle w:val="ab"/>
        <w:rPr>
          <w:rFonts w:hint="cs"/>
          <w:rtl/>
        </w:rPr>
      </w:pPr>
      <w:r w:rsidRPr="00A96BF0">
        <w:rPr>
          <w:rtl/>
        </w:rPr>
        <w:t xml:space="preserve">הנכסים וההתחייבויות של המשק </w:t>
      </w:r>
      <w:r w:rsidR="00807F97" w:rsidRPr="00A96BF0">
        <w:rPr>
          <w:rFonts w:hint="cs"/>
          <w:rtl/>
        </w:rPr>
        <w:t xml:space="preserve">מול </w:t>
      </w:r>
      <w:r w:rsidRPr="00A96BF0">
        <w:rPr>
          <w:rtl/>
        </w:rPr>
        <w:t>חו"ל</w:t>
      </w:r>
      <w:r w:rsidR="00922F75" w:rsidRPr="00A96BF0">
        <w:rPr>
          <w:rFonts w:hint="cs"/>
          <w:rtl/>
        </w:rPr>
        <w:t>,</w:t>
      </w:r>
      <w:r w:rsidR="00D77467" w:rsidRPr="00A96BF0">
        <w:rPr>
          <w:rFonts w:hint="cs"/>
          <w:rtl/>
        </w:rPr>
        <w:t xml:space="preserve"> </w:t>
      </w:r>
      <w:r w:rsidR="00926466" w:rsidRPr="00A96BF0">
        <w:rPr>
          <w:rFonts w:hint="cs"/>
          <w:rtl/>
        </w:rPr>
        <w:t>ספטמבר</w:t>
      </w:r>
      <w:r w:rsidR="00391D54" w:rsidRPr="00A96BF0">
        <w:rPr>
          <w:rFonts w:hint="cs"/>
          <w:rtl/>
        </w:rPr>
        <w:t xml:space="preserve"> </w:t>
      </w:r>
      <w:r w:rsidR="000D38A1" w:rsidRPr="00A96BF0">
        <w:rPr>
          <w:rFonts w:hint="cs"/>
          <w:rtl/>
        </w:rPr>
        <w:t>2014</w:t>
      </w:r>
    </w:p>
    <w:p w:rsidR="008D3D52" w:rsidRPr="00251DFE" w:rsidRDefault="000D38A1" w:rsidP="00B341F4">
      <w:pPr>
        <w:numPr>
          <w:ilvl w:val="0"/>
          <w:numId w:val="9"/>
        </w:numPr>
        <w:spacing w:line="480" w:lineRule="auto"/>
        <w:ind w:right="426"/>
        <w:jc w:val="both"/>
        <w:rPr>
          <w:rFonts w:ascii="Arial" w:hAnsi="Arial" w:cs="David" w:hint="cs"/>
          <w:b/>
          <w:bCs/>
        </w:rPr>
      </w:pPr>
      <w:r w:rsidRPr="00251DFE">
        <w:rPr>
          <w:rFonts w:ascii="Arial" w:hAnsi="Arial" w:cs="David" w:hint="cs"/>
          <w:b/>
          <w:bCs/>
          <w:rtl/>
        </w:rPr>
        <w:t xml:space="preserve">ברביע </w:t>
      </w:r>
      <w:r w:rsidR="003C7778" w:rsidRPr="00251DFE">
        <w:rPr>
          <w:rFonts w:ascii="Arial" w:hAnsi="Arial" w:cs="David" w:hint="cs"/>
          <w:b/>
          <w:bCs/>
          <w:rtl/>
        </w:rPr>
        <w:t>ה</w:t>
      </w:r>
      <w:r w:rsidR="00D21FDB" w:rsidRPr="00251DFE">
        <w:rPr>
          <w:rFonts w:ascii="Arial" w:hAnsi="Arial" w:cs="David" w:hint="cs"/>
          <w:b/>
          <w:bCs/>
          <w:rtl/>
        </w:rPr>
        <w:t>שלישי</w:t>
      </w:r>
      <w:r w:rsidRPr="00251DFE">
        <w:rPr>
          <w:rFonts w:ascii="Arial" w:hAnsi="Arial" w:cs="David" w:hint="cs"/>
          <w:b/>
          <w:bCs/>
          <w:rtl/>
        </w:rPr>
        <w:t xml:space="preserve"> של שנת 2014 </w:t>
      </w:r>
      <w:r w:rsidR="00167951">
        <w:rPr>
          <w:rFonts w:ascii="Arial" w:hAnsi="Arial" w:cs="David" w:hint="cs"/>
          <w:b/>
          <w:bCs/>
          <w:rtl/>
        </w:rPr>
        <w:t>חלה ירידה</w:t>
      </w:r>
      <w:r w:rsidR="003C7778" w:rsidRPr="00251DFE">
        <w:rPr>
          <w:rFonts w:ascii="Arial" w:hAnsi="Arial" w:cs="David" w:hint="cs"/>
          <w:b/>
          <w:bCs/>
          <w:rtl/>
        </w:rPr>
        <w:t xml:space="preserve"> </w:t>
      </w:r>
      <w:r w:rsidR="0094360F">
        <w:rPr>
          <w:rFonts w:ascii="Arial" w:hAnsi="Arial" w:cs="David" w:hint="cs"/>
          <w:b/>
          <w:bCs/>
          <w:rtl/>
        </w:rPr>
        <w:t xml:space="preserve">של </w:t>
      </w:r>
      <w:r w:rsidR="0094360F" w:rsidRPr="00251DFE">
        <w:rPr>
          <w:rFonts w:ascii="Arial" w:hAnsi="Arial" w:cs="David" w:hint="cs"/>
          <w:b/>
          <w:bCs/>
          <w:rtl/>
        </w:rPr>
        <w:t>3.5</w:t>
      </w:r>
      <w:r w:rsidR="0094360F">
        <w:rPr>
          <w:rFonts w:ascii="Arial" w:hAnsi="Arial" w:cs="David" w:hint="cs"/>
          <w:b/>
          <w:bCs/>
          <w:rtl/>
        </w:rPr>
        <w:t xml:space="preserve"> מיליארדי דולרים</w:t>
      </w:r>
      <w:r w:rsidR="0094360F" w:rsidRPr="00251DFE">
        <w:rPr>
          <w:rFonts w:ascii="Arial" w:hAnsi="Arial" w:cs="David" w:hint="cs"/>
          <w:b/>
          <w:bCs/>
          <w:rtl/>
        </w:rPr>
        <w:t xml:space="preserve"> (6.4%) </w:t>
      </w:r>
      <w:r w:rsidR="00167951">
        <w:rPr>
          <w:rFonts w:ascii="Arial" w:hAnsi="Arial" w:cs="David" w:hint="cs"/>
          <w:b/>
          <w:bCs/>
          <w:rtl/>
        </w:rPr>
        <w:t>ב</w:t>
      </w:r>
      <w:r w:rsidR="003C7778" w:rsidRPr="00251DFE">
        <w:rPr>
          <w:rFonts w:ascii="Arial" w:hAnsi="Arial" w:cs="David" w:hint="cs"/>
          <w:b/>
          <w:bCs/>
          <w:rtl/>
        </w:rPr>
        <w:t>עודף הנכסים של המשק מול חו"ל</w:t>
      </w:r>
      <w:r w:rsidR="008D3D52" w:rsidRPr="00251DFE">
        <w:rPr>
          <w:rFonts w:ascii="Arial" w:hAnsi="Arial" w:cs="David" w:hint="cs"/>
          <w:b/>
          <w:bCs/>
          <w:rtl/>
        </w:rPr>
        <w:t xml:space="preserve"> ו</w:t>
      </w:r>
      <w:r w:rsidR="00167951">
        <w:rPr>
          <w:rFonts w:ascii="Arial" w:hAnsi="Arial" w:cs="David" w:hint="cs"/>
          <w:b/>
          <w:bCs/>
          <w:rtl/>
        </w:rPr>
        <w:t xml:space="preserve">הוא </w:t>
      </w:r>
      <w:r w:rsidR="008D3D52" w:rsidRPr="00251DFE">
        <w:rPr>
          <w:rFonts w:ascii="Arial" w:hAnsi="Arial" w:cs="David" w:hint="cs"/>
          <w:b/>
          <w:bCs/>
          <w:rtl/>
        </w:rPr>
        <w:t xml:space="preserve">עמד </w:t>
      </w:r>
      <w:r w:rsidR="008D3D52" w:rsidRPr="0094360F">
        <w:rPr>
          <w:rFonts w:ascii="Arial" w:hAnsi="Arial" w:cs="David" w:hint="cs"/>
          <w:b/>
          <w:bCs/>
          <w:rtl/>
        </w:rPr>
        <w:t xml:space="preserve">בסוף </w:t>
      </w:r>
      <w:r w:rsidR="00D21FDB" w:rsidRPr="0094360F">
        <w:rPr>
          <w:rFonts w:ascii="Arial" w:hAnsi="Arial" w:cs="David" w:hint="cs"/>
          <w:b/>
          <w:bCs/>
          <w:rtl/>
        </w:rPr>
        <w:t>ספטמבר</w:t>
      </w:r>
      <w:r w:rsidR="008D3D52" w:rsidRPr="0094360F">
        <w:rPr>
          <w:rFonts w:ascii="Arial" w:hAnsi="Arial" w:cs="David" w:hint="cs"/>
          <w:b/>
          <w:bCs/>
          <w:rtl/>
        </w:rPr>
        <w:t xml:space="preserve"> על </w:t>
      </w:r>
      <w:r w:rsidR="00D21FDB" w:rsidRPr="0094360F">
        <w:rPr>
          <w:rFonts w:ascii="Arial" w:hAnsi="Arial" w:cs="David" w:hint="cs"/>
          <w:b/>
          <w:bCs/>
          <w:rtl/>
        </w:rPr>
        <w:t>51.4</w:t>
      </w:r>
      <w:r w:rsidR="008D3D52" w:rsidRPr="0094360F">
        <w:rPr>
          <w:rFonts w:ascii="Arial" w:hAnsi="Arial" w:cs="David" w:hint="cs"/>
          <w:b/>
          <w:bCs/>
          <w:rtl/>
        </w:rPr>
        <w:t xml:space="preserve"> מיליארדי דולרים</w:t>
      </w:r>
      <w:r w:rsidR="00167951" w:rsidRPr="0094360F">
        <w:rPr>
          <w:rFonts w:ascii="Arial" w:hAnsi="Arial" w:cs="David" w:hint="cs"/>
          <w:b/>
          <w:bCs/>
          <w:rtl/>
        </w:rPr>
        <w:t>:</w:t>
      </w:r>
      <w:r w:rsidR="008D3D52" w:rsidRPr="0094360F">
        <w:rPr>
          <w:rFonts w:ascii="Arial" w:hAnsi="Arial" w:cs="David" w:hint="cs"/>
          <w:b/>
          <w:bCs/>
          <w:rtl/>
        </w:rPr>
        <w:t xml:space="preserve"> </w:t>
      </w:r>
      <w:r w:rsidR="00251DFE" w:rsidRPr="0094360F">
        <w:rPr>
          <w:rFonts w:ascii="Arial" w:hAnsi="Arial" w:cs="David" w:hint="cs"/>
          <w:b/>
          <w:bCs/>
          <w:rtl/>
        </w:rPr>
        <w:t>עלייה</w:t>
      </w:r>
      <w:r w:rsidR="00167951" w:rsidRPr="0094360F">
        <w:rPr>
          <w:rFonts w:ascii="Arial" w:hAnsi="Arial" w:cs="David" w:hint="cs"/>
          <w:b/>
          <w:bCs/>
          <w:rtl/>
        </w:rPr>
        <w:t xml:space="preserve"> של 4.1 מיליארדי דולרים</w:t>
      </w:r>
      <w:r w:rsidR="0094360F" w:rsidRPr="0094360F">
        <w:rPr>
          <w:rFonts w:ascii="Arial" w:hAnsi="Arial" w:cs="David" w:hint="cs"/>
          <w:b/>
          <w:bCs/>
          <w:rtl/>
        </w:rPr>
        <w:t xml:space="preserve"> </w:t>
      </w:r>
      <w:r w:rsidR="00167951" w:rsidRPr="0094360F">
        <w:rPr>
          <w:rFonts w:ascii="Arial" w:hAnsi="Arial" w:cs="David" w:hint="cs"/>
          <w:b/>
          <w:bCs/>
          <w:rtl/>
        </w:rPr>
        <w:t>(1.5%)</w:t>
      </w:r>
      <w:r w:rsidR="00251DFE" w:rsidRPr="0094360F">
        <w:rPr>
          <w:rFonts w:ascii="Arial" w:hAnsi="Arial" w:cs="David" w:hint="cs"/>
          <w:b/>
          <w:bCs/>
          <w:rtl/>
        </w:rPr>
        <w:t xml:space="preserve"> בשווי יתרת ההתחייבויות של המשק כלפי </w:t>
      </w:r>
      <w:r w:rsidR="00167951" w:rsidRPr="0094360F">
        <w:rPr>
          <w:rFonts w:ascii="Arial" w:hAnsi="Arial" w:cs="David" w:hint="cs"/>
          <w:b/>
          <w:bCs/>
          <w:rtl/>
        </w:rPr>
        <w:t>חו"ל</w:t>
      </w:r>
      <w:r w:rsidR="00251DFE" w:rsidRPr="0094360F">
        <w:rPr>
          <w:rFonts w:ascii="Arial" w:hAnsi="Arial" w:cs="David" w:hint="cs"/>
          <w:b/>
          <w:bCs/>
          <w:rtl/>
        </w:rPr>
        <w:t>, קוזזה בחלקה בעלייה של 0.6 מיליארדים (0.2%) בשווי יתרת הנכסים של המשק בחו"ל.</w:t>
      </w:r>
    </w:p>
    <w:p w:rsidR="008D3D52" w:rsidRPr="00AA4DF3" w:rsidRDefault="00E12F98" w:rsidP="00B341F4">
      <w:pPr>
        <w:numPr>
          <w:ilvl w:val="0"/>
          <w:numId w:val="9"/>
        </w:numPr>
        <w:spacing w:line="48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AA4DF3">
        <w:rPr>
          <w:rFonts w:ascii="Arial" w:hAnsi="Arial" w:cs="David" w:hint="cs"/>
          <w:b/>
          <w:bCs/>
          <w:rtl/>
        </w:rPr>
        <w:t>העליי</w:t>
      </w:r>
      <w:r w:rsidRPr="00AA4DF3">
        <w:rPr>
          <w:rFonts w:ascii="Arial" w:hAnsi="Arial" w:cs="David" w:hint="eastAsia"/>
          <w:b/>
          <w:bCs/>
          <w:rtl/>
        </w:rPr>
        <w:t>ה</w:t>
      </w:r>
      <w:r w:rsidRPr="00AA4DF3">
        <w:rPr>
          <w:rFonts w:ascii="Arial" w:hAnsi="Arial" w:cs="David" w:hint="cs"/>
          <w:b/>
          <w:bCs/>
          <w:rtl/>
        </w:rPr>
        <w:t xml:space="preserve"> ביתרת ההתחייבויות ברוטו של המשק לחו"ל נבעה </w:t>
      </w:r>
      <w:r w:rsidR="00AA4DF3" w:rsidRPr="00AA4DF3">
        <w:rPr>
          <w:rFonts w:ascii="Arial" w:hAnsi="Arial" w:cs="David" w:hint="cs"/>
          <w:b/>
          <w:bCs/>
          <w:rtl/>
        </w:rPr>
        <w:t>משילוב של זרם השקעות במשק (3.3 מיליארדי דולר) ועליית מחירי המניות (3.6 מיליארדים); אלו קוזזו בהשפעת פיחות השקל שהקטין את השווי הדולרי של התיק.</w:t>
      </w:r>
    </w:p>
    <w:p w:rsidR="006515C7" w:rsidRPr="00E12F98" w:rsidRDefault="00E12F98" w:rsidP="00B341F4">
      <w:pPr>
        <w:numPr>
          <w:ilvl w:val="0"/>
          <w:numId w:val="9"/>
        </w:numPr>
        <w:spacing w:line="48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E12F98">
        <w:rPr>
          <w:rFonts w:ascii="Arial" w:hAnsi="Arial" w:cs="David" w:hint="cs"/>
          <w:b/>
          <w:bCs/>
          <w:rtl/>
        </w:rPr>
        <w:t xml:space="preserve">הגידול בשווי תיק הנכסים, נבע ברובו מגידול </w:t>
      </w:r>
      <w:r w:rsidR="00554574">
        <w:rPr>
          <w:rFonts w:ascii="Arial" w:hAnsi="Arial" w:cs="David" w:hint="cs"/>
          <w:b/>
          <w:bCs/>
          <w:rtl/>
        </w:rPr>
        <w:t xml:space="preserve">בשווי יתרת </w:t>
      </w:r>
      <w:r w:rsidR="00554574" w:rsidRPr="00E12F98">
        <w:rPr>
          <w:rFonts w:ascii="Arial" w:hAnsi="Arial" w:cs="David" w:hint="cs"/>
          <w:b/>
          <w:bCs/>
          <w:rtl/>
        </w:rPr>
        <w:t xml:space="preserve">ההשקעות </w:t>
      </w:r>
      <w:r w:rsidR="00554574">
        <w:rPr>
          <w:rFonts w:ascii="Arial" w:hAnsi="Arial" w:cs="David" w:hint="cs"/>
          <w:b/>
          <w:bCs/>
          <w:rtl/>
        </w:rPr>
        <w:t>הפיננסיות בחו"ל (2 מיליארדי</w:t>
      </w:r>
      <w:r w:rsidR="0094360F">
        <w:rPr>
          <w:rFonts w:ascii="Arial" w:hAnsi="Arial" w:cs="David" w:hint="cs"/>
          <w:b/>
          <w:bCs/>
          <w:rtl/>
        </w:rPr>
        <w:t xml:space="preserve"> דולרים</w:t>
      </w:r>
      <w:r w:rsidR="00554574">
        <w:rPr>
          <w:rFonts w:ascii="Arial" w:hAnsi="Arial" w:cs="David" w:hint="cs"/>
          <w:b/>
          <w:bCs/>
          <w:rtl/>
        </w:rPr>
        <w:t xml:space="preserve">) </w:t>
      </w:r>
      <w:r w:rsidR="00554574" w:rsidRPr="00DF6832">
        <w:rPr>
          <w:rFonts w:ascii="Arial" w:hAnsi="Arial" w:cs="David" w:hint="cs"/>
          <w:b/>
          <w:bCs/>
          <w:rtl/>
        </w:rPr>
        <w:t>ומצבירה</w:t>
      </w:r>
      <w:r w:rsidR="00554574" w:rsidRPr="00F0018D">
        <w:rPr>
          <w:rFonts w:ascii="Arial" w:hAnsi="Arial" w:cs="David" w:hint="cs"/>
          <w:rtl/>
        </w:rPr>
        <w:t xml:space="preserve"> </w:t>
      </w:r>
      <w:r w:rsidRPr="00DF6832">
        <w:rPr>
          <w:rFonts w:ascii="Arial" w:hAnsi="Arial" w:cs="David" w:hint="cs"/>
          <w:b/>
          <w:bCs/>
          <w:rtl/>
        </w:rPr>
        <w:t>ב</w:t>
      </w:r>
      <w:r w:rsidR="00F0018D" w:rsidRPr="00DF6832">
        <w:rPr>
          <w:rFonts w:ascii="Arial" w:hAnsi="Arial" w:cs="David" w:hint="cs"/>
          <w:b/>
          <w:bCs/>
          <w:rtl/>
        </w:rPr>
        <w:t>פיקדונות</w:t>
      </w:r>
      <w:r w:rsidR="00F0018D">
        <w:rPr>
          <w:rFonts w:ascii="Arial" w:hAnsi="Arial" w:cs="David" w:hint="cs"/>
          <w:b/>
          <w:bCs/>
          <w:rtl/>
        </w:rPr>
        <w:t xml:space="preserve"> בנקים ישראלים בחו"ל (1.5 מיליארדי</w:t>
      </w:r>
      <w:r w:rsidR="0094360F">
        <w:rPr>
          <w:rFonts w:ascii="Arial" w:hAnsi="Arial" w:cs="David" w:hint="cs"/>
          <w:b/>
          <w:bCs/>
          <w:rtl/>
        </w:rPr>
        <w:t>ם</w:t>
      </w:r>
      <w:r w:rsidR="00F0018D">
        <w:rPr>
          <w:rFonts w:ascii="Arial" w:hAnsi="Arial" w:cs="David" w:hint="cs"/>
          <w:b/>
          <w:bCs/>
          <w:rtl/>
        </w:rPr>
        <w:t>)</w:t>
      </w:r>
      <w:r w:rsidR="00554574">
        <w:rPr>
          <w:rFonts w:ascii="Arial" w:hAnsi="Arial" w:cs="David" w:hint="cs"/>
          <w:b/>
          <w:bCs/>
          <w:rtl/>
        </w:rPr>
        <w:t>.</w:t>
      </w:r>
    </w:p>
    <w:p w:rsidR="00AD736C" w:rsidRPr="00AD736C" w:rsidRDefault="00AD736C" w:rsidP="00B341F4">
      <w:pPr>
        <w:numPr>
          <w:ilvl w:val="0"/>
          <w:numId w:val="9"/>
        </w:numPr>
        <w:tabs>
          <w:tab w:val="left" w:pos="198"/>
        </w:tabs>
        <w:spacing w:line="480" w:lineRule="auto"/>
        <w:ind w:right="426"/>
        <w:jc w:val="both"/>
        <w:rPr>
          <w:rFonts w:ascii="Arial" w:hAnsi="Arial" w:cs="David" w:hint="cs"/>
          <w:b/>
          <w:bCs/>
        </w:rPr>
      </w:pPr>
      <w:r w:rsidRPr="00AD736C">
        <w:rPr>
          <w:rFonts w:ascii="Arial" w:hAnsi="Arial" w:cs="David" w:hint="cs"/>
          <w:b/>
          <w:bCs/>
          <w:rtl/>
        </w:rPr>
        <w:t xml:space="preserve">היחס שבין החוב החיצוני לתמ"ג עלה ברביע השלישי ב-1.9 נקודות אחוז ועמד בסוף ספטמבר על 34.4%, זאת בהמשך לעלייה של 1.2 נקודות אחוז ביחס גם ברביע הקודם. </w:t>
      </w:r>
    </w:p>
    <w:p w:rsidR="004D208E" w:rsidRPr="00821218" w:rsidRDefault="00F54E7B" w:rsidP="00B341F4">
      <w:pPr>
        <w:numPr>
          <w:ilvl w:val="0"/>
          <w:numId w:val="9"/>
        </w:numPr>
        <w:tabs>
          <w:tab w:val="left" w:pos="198"/>
        </w:tabs>
        <w:spacing w:line="48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821218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84606" w:rsidRPr="00821218">
        <w:rPr>
          <w:rFonts w:ascii="Arial" w:hAnsi="Arial" w:cs="David" w:hint="cs"/>
          <w:b/>
          <w:bCs/>
          <w:rtl/>
        </w:rPr>
        <w:t>עלה</w:t>
      </w:r>
      <w:r w:rsidRPr="00821218">
        <w:rPr>
          <w:rFonts w:ascii="Arial" w:hAnsi="Arial" w:cs="David" w:hint="cs"/>
          <w:b/>
          <w:bCs/>
          <w:rtl/>
        </w:rPr>
        <w:t xml:space="preserve"> ברביע</w:t>
      </w:r>
      <w:r w:rsidR="00821218" w:rsidRPr="00821218">
        <w:rPr>
          <w:rFonts w:ascii="Arial" w:hAnsi="Arial" w:cs="David" w:hint="cs"/>
          <w:b/>
          <w:bCs/>
          <w:rtl/>
        </w:rPr>
        <w:t xml:space="preserve">  </w:t>
      </w:r>
      <w:r w:rsidRPr="00821218">
        <w:rPr>
          <w:rFonts w:ascii="Arial" w:hAnsi="Arial" w:cs="David" w:hint="cs"/>
          <w:b/>
          <w:bCs/>
          <w:rtl/>
        </w:rPr>
        <w:t>הש</w:t>
      </w:r>
      <w:r w:rsidR="00784606" w:rsidRPr="00821218">
        <w:rPr>
          <w:rFonts w:ascii="Arial" w:hAnsi="Arial" w:cs="David" w:hint="cs"/>
          <w:b/>
          <w:bCs/>
          <w:rtl/>
        </w:rPr>
        <w:t>לישי</w:t>
      </w:r>
      <w:r w:rsidRPr="00821218">
        <w:rPr>
          <w:rFonts w:ascii="Arial" w:hAnsi="Arial" w:cs="David" w:hint="cs"/>
          <w:b/>
          <w:bCs/>
          <w:rtl/>
        </w:rPr>
        <w:t xml:space="preserve"> ב-</w:t>
      </w:r>
      <w:r w:rsidR="00784606" w:rsidRPr="00821218">
        <w:rPr>
          <w:rFonts w:ascii="Arial" w:hAnsi="Arial" w:cs="David" w:hint="cs"/>
          <w:b/>
          <w:bCs/>
          <w:rtl/>
        </w:rPr>
        <w:t>1.5</w:t>
      </w:r>
      <w:r w:rsidRPr="00821218">
        <w:rPr>
          <w:rFonts w:ascii="Arial" w:hAnsi="Arial" w:cs="David" w:hint="cs"/>
          <w:b/>
          <w:bCs/>
          <w:rtl/>
        </w:rPr>
        <w:t xml:space="preserve"> מיליארדי דולרים (</w:t>
      </w:r>
      <w:r w:rsidR="00784606" w:rsidRPr="00821218">
        <w:rPr>
          <w:rFonts w:ascii="Arial" w:hAnsi="Arial" w:cs="David" w:hint="cs"/>
          <w:b/>
          <w:bCs/>
          <w:rtl/>
        </w:rPr>
        <w:t>1.7</w:t>
      </w:r>
      <w:r w:rsidRPr="00821218">
        <w:rPr>
          <w:rFonts w:ascii="Arial" w:hAnsi="Arial" w:cs="David" w:hint="cs"/>
          <w:b/>
          <w:bCs/>
          <w:rtl/>
        </w:rPr>
        <w:t xml:space="preserve">%) ועמד בסוף </w:t>
      </w:r>
      <w:r w:rsidR="00784606" w:rsidRPr="00821218">
        <w:rPr>
          <w:rFonts w:ascii="Arial" w:hAnsi="Arial" w:cs="David" w:hint="cs"/>
          <w:b/>
          <w:bCs/>
          <w:rtl/>
        </w:rPr>
        <w:t>ספטמבר</w:t>
      </w:r>
      <w:r w:rsidRPr="00821218">
        <w:rPr>
          <w:rFonts w:ascii="Arial" w:hAnsi="Arial" w:cs="David" w:hint="cs"/>
          <w:b/>
          <w:bCs/>
          <w:rtl/>
        </w:rPr>
        <w:t xml:space="preserve"> על </w:t>
      </w:r>
      <w:r w:rsidR="0094360F">
        <w:rPr>
          <w:rFonts w:ascii="Arial" w:hAnsi="Arial" w:cs="David" w:hint="cs"/>
          <w:b/>
          <w:bCs/>
          <w:rtl/>
        </w:rPr>
        <w:t>כ-</w:t>
      </w:r>
      <w:r w:rsidRPr="00821218">
        <w:rPr>
          <w:rFonts w:ascii="Arial" w:hAnsi="Arial" w:cs="David" w:hint="cs"/>
          <w:b/>
          <w:bCs/>
          <w:rtl/>
        </w:rPr>
        <w:t>9</w:t>
      </w:r>
      <w:r w:rsidR="00784606" w:rsidRPr="00821218">
        <w:rPr>
          <w:rFonts w:ascii="Arial" w:hAnsi="Arial" w:cs="David" w:hint="cs"/>
          <w:b/>
          <w:bCs/>
          <w:rtl/>
        </w:rPr>
        <w:t>0</w:t>
      </w:r>
      <w:r w:rsidRPr="00821218">
        <w:rPr>
          <w:rFonts w:ascii="Arial" w:hAnsi="Arial" w:cs="David" w:hint="cs"/>
          <w:b/>
          <w:bCs/>
          <w:rtl/>
        </w:rPr>
        <w:t xml:space="preserve"> מיליארדים.</w:t>
      </w:r>
      <w:r w:rsidR="00784606" w:rsidRPr="00821218">
        <w:rPr>
          <w:rFonts w:ascii="Arial" w:hAnsi="Arial" w:cs="David" w:hint="cs"/>
          <w:rtl/>
        </w:rPr>
        <w:t xml:space="preserve"> </w:t>
      </w:r>
    </w:p>
    <w:p w:rsidR="004D208E" w:rsidRDefault="004D208E" w:rsidP="004D208E">
      <w:pPr>
        <w:jc w:val="both"/>
        <w:rPr>
          <w:rFonts w:ascii="Arial" w:hAnsi="Arial" w:cs="David" w:hint="cs"/>
          <w:b/>
          <w:bCs/>
          <w:rtl/>
        </w:rPr>
      </w:pPr>
    </w:p>
    <w:p w:rsidR="00054C99" w:rsidRPr="00A96BF0" w:rsidRDefault="00092131" w:rsidP="00092131">
      <w:pPr>
        <w:spacing w:line="360" w:lineRule="auto"/>
        <w:jc w:val="center"/>
        <w:rPr>
          <w:rFonts w:ascii="Arial" w:hAnsi="Arial" w:cs="David" w:hint="cs"/>
          <w:b/>
          <w:bCs/>
          <w:rtl/>
        </w:rPr>
      </w:pPr>
      <w:r w:rsidRPr="00A96BF0">
        <w:rPr>
          <w:rFonts w:ascii="Arial" w:hAnsi="Arial" w:cs="David" w:hint="cs"/>
          <w:b/>
          <w:bCs/>
          <w:rtl/>
        </w:rPr>
        <w:t xml:space="preserve">לוח 1: </w:t>
      </w:r>
      <w:r w:rsidR="00054C99" w:rsidRPr="00A96BF0">
        <w:rPr>
          <w:rFonts w:ascii="Arial" w:hAnsi="Arial" w:cs="David" w:hint="cs"/>
          <w:b/>
          <w:bCs/>
          <w:rtl/>
        </w:rPr>
        <w:t>יתרות הנכסים וההתחייבויות והשינויים בהם</w:t>
      </w:r>
    </w:p>
    <w:p w:rsidR="00C11C89" w:rsidRPr="003F3174" w:rsidRDefault="00A96BF0" w:rsidP="002734CA">
      <w:pPr>
        <w:tabs>
          <w:tab w:val="left" w:pos="6120"/>
        </w:tabs>
        <w:spacing w:line="360" w:lineRule="auto"/>
        <w:ind w:left="-113" w:firstLine="55"/>
        <w:jc w:val="center"/>
        <w:rPr>
          <w:rFonts w:ascii="Arial" w:hAnsi="Arial" w:cs="David" w:hint="cs"/>
          <w:b/>
          <w:bCs/>
          <w:rtl/>
        </w:rPr>
      </w:pPr>
      <w:r>
        <w:rPr>
          <w:noProof/>
          <w:lang w:eastAsia="en-US"/>
        </w:rPr>
        <w:drawing>
          <wp:inline distT="0" distB="0" distL="0" distR="0">
            <wp:extent cx="6372225" cy="3238500"/>
            <wp:effectExtent l="0" t="0" r="9525" b="0"/>
            <wp:docPr id="3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r="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B9" w:rsidRDefault="00BF23B9" w:rsidP="00BF23B9">
      <w:pPr>
        <w:spacing w:line="360" w:lineRule="auto"/>
        <w:ind w:left="-1" w:right="426"/>
        <w:jc w:val="both"/>
        <w:rPr>
          <w:rFonts w:ascii="Arial" w:hAnsi="Arial" w:cs="David" w:hint="cs"/>
          <w:b/>
          <w:bCs/>
          <w:u w:val="single"/>
          <w:rtl/>
        </w:rPr>
      </w:pPr>
    </w:p>
    <w:p w:rsidR="00A16F73" w:rsidRPr="00A96BF0" w:rsidRDefault="006F7093" w:rsidP="00A96BF0">
      <w:pPr>
        <w:pStyle w:val="ad"/>
        <w:numPr>
          <w:ilvl w:val="0"/>
          <w:numId w:val="12"/>
        </w:numPr>
        <w:spacing w:line="480" w:lineRule="auto"/>
        <w:ind w:right="426"/>
        <w:jc w:val="both"/>
        <w:rPr>
          <w:rFonts w:ascii="Arial" w:hAnsi="Arial" w:cs="David" w:hint="cs"/>
        </w:rPr>
      </w:pPr>
      <w:r w:rsidRPr="00A96BF0">
        <w:rPr>
          <w:rFonts w:ascii="Arial" w:hAnsi="Arial" w:cs="David" w:hint="cs"/>
          <w:b/>
          <w:bCs/>
          <w:rtl/>
        </w:rPr>
        <w:lastRenderedPageBreak/>
        <w:t>עודף הנכסים על ההתחייבויות</w:t>
      </w:r>
      <w:r w:rsidR="00CC3A41" w:rsidRPr="00A96BF0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A96BF0">
        <w:rPr>
          <w:rFonts w:ascii="Arial" w:hAnsi="Arial" w:cs="David" w:hint="cs"/>
          <w:rtl/>
        </w:rPr>
        <w:t xml:space="preserve"> </w:t>
      </w:r>
      <w:r w:rsidR="00190C5E" w:rsidRPr="00A96BF0">
        <w:rPr>
          <w:rFonts w:ascii="Arial" w:hAnsi="Arial" w:cs="David" w:hint="cs"/>
          <w:rtl/>
        </w:rPr>
        <w:t>ירד</w:t>
      </w:r>
      <w:r w:rsidR="00CC3A41" w:rsidRPr="00A96BF0">
        <w:rPr>
          <w:rFonts w:ascii="Arial" w:hAnsi="Arial" w:cs="David" w:hint="cs"/>
          <w:rtl/>
        </w:rPr>
        <w:t xml:space="preserve"> </w:t>
      </w:r>
      <w:r w:rsidR="005C4E3E" w:rsidRPr="00A96BF0">
        <w:rPr>
          <w:rFonts w:ascii="Arial" w:hAnsi="Arial" w:cs="David" w:hint="cs"/>
          <w:rtl/>
        </w:rPr>
        <w:t>במהלך</w:t>
      </w:r>
      <w:r w:rsidR="00B46419" w:rsidRPr="00A96BF0">
        <w:rPr>
          <w:rFonts w:ascii="Arial" w:hAnsi="Arial" w:cs="David" w:hint="cs"/>
          <w:rtl/>
        </w:rPr>
        <w:t xml:space="preserve"> </w:t>
      </w:r>
      <w:r w:rsidR="003558C7" w:rsidRPr="00A96BF0">
        <w:rPr>
          <w:rFonts w:ascii="Arial" w:hAnsi="Arial" w:cs="David" w:hint="cs"/>
          <w:rtl/>
        </w:rPr>
        <w:t xml:space="preserve">הרביע </w:t>
      </w:r>
      <w:r w:rsidR="00ED0781" w:rsidRPr="00A96BF0">
        <w:rPr>
          <w:rFonts w:ascii="Arial" w:hAnsi="Arial" w:cs="David" w:hint="cs"/>
          <w:rtl/>
        </w:rPr>
        <w:t>ה</w:t>
      </w:r>
      <w:r w:rsidR="00190C5E" w:rsidRPr="00A96BF0">
        <w:rPr>
          <w:rFonts w:ascii="Arial" w:hAnsi="Arial" w:cs="David" w:hint="cs"/>
          <w:rtl/>
        </w:rPr>
        <w:t xml:space="preserve">שלישי </w:t>
      </w:r>
      <w:r w:rsidR="003558C7" w:rsidRPr="00A96BF0">
        <w:rPr>
          <w:rFonts w:ascii="Arial" w:hAnsi="Arial" w:cs="David" w:hint="cs"/>
          <w:rtl/>
        </w:rPr>
        <w:t>של שנת 2014</w:t>
      </w:r>
      <w:r w:rsidR="00CC3A41" w:rsidRPr="00A96BF0">
        <w:rPr>
          <w:rFonts w:ascii="Arial" w:hAnsi="Arial" w:cs="David" w:hint="cs"/>
          <w:rtl/>
        </w:rPr>
        <w:t xml:space="preserve"> </w:t>
      </w:r>
      <w:r w:rsidR="005C4E3E" w:rsidRPr="00A96BF0">
        <w:rPr>
          <w:rFonts w:ascii="Arial" w:hAnsi="Arial" w:cs="David" w:hint="cs"/>
          <w:rtl/>
        </w:rPr>
        <w:t>ב-</w:t>
      </w:r>
      <w:r w:rsidR="00190C5E" w:rsidRPr="00A96BF0">
        <w:rPr>
          <w:rFonts w:ascii="Arial" w:hAnsi="Arial" w:cs="David" w:hint="cs"/>
          <w:rtl/>
        </w:rPr>
        <w:t>3.5</w:t>
      </w:r>
      <w:r w:rsidR="00ED0781" w:rsidRPr="00A96BF0">
        <w:rPr>
          <w:rFonts w:ascii="Arial" w:hAnsi="Arial" w:cs="David" w:hint="cs"/>
          <w:rtl/>
        </w:rPr>
        <w:t xml:space="preserve"> </w:t>
      </w:r>
      <w:r w:rsidR="002D6205" w:rsidRPr="00A96BF0">
        <w:rPr>
          <w:rFonts w:ascii="Arial" w:hAnsi="Arial" w:cs="David" w:hint="cs"/>
          <w:rtl/>
        </w:rPr>
        <w:t>מיליארדי דולרים</w:t>
      </w:r>
      <w:r w:rsidR="001654D9" w:rsidRPr="00A96BF0">
        <w:rPr>
          <w:rFonts w:ascii="Arial" w:hAnsi="Arial" w:cs="David" w:hint="cs"/>
          <w:rtl/>
        </w:rPr>
        <w:t xml:space="preserve"> (</w:t>
      </w:r>
      <w:r w:rsidR="00190C5E" w:rsidRPr="00A96BF0">
        <w:rPr>
          <w:rFonts w:ascii="Arial" w:hAnsi="Arial" w:cs="David" w:hint="cs"/>
          <w:rtl/>
        </w:rPr>
        <w:t>6.4</w:t>
      </w:r>
      <w:r w:rsidR="005C4E3E" w:rsidRPr="00A96BF0">
        <w:rPr>
          <w:rFonts w:ascii="Arial" w:hAnsi="Arial" w:cs="David" w:hint="cs"/>
          <w:rtl/>
        </w:rPr>
        <w:t>%</w:t>
      </w:r>
      <w:r w:rsidR="001654D9" w:rsidRPr="00A96BF0">
        <w:rPr>
          <w:rFonts w:ascii="Arial" w:hAnsi="Arial" w:cs="David" w:hint="cs"/>
          <w:rtl/>
        </w:rPr>
        <w:t>)</w:t>
      </w:r>
      <w:r w:rsidR="006676D5" w:rsidRPr="00A96BF0">
        <w:rPr>
          <w:rFonts w:ascii="Arial" w:hAnsi="Arial" w:cs="David" w:hint="cs"/>
          <w:rtl/>
        </w:rPr>
        <w:t xml:space="preserve"> </w:t>
      </w:r>
      <w:r w:rsidR="007057B4" w:rsidRPr="00A96BF0">
        <w:rPr>
          <w:rFonts w:ascii="Arial" w:hAnsi="Arial" w:cs="David" w:hint="cs"/>
          <w:rtl/>
        </w:rPr>
        <w:t xml:space="preserve">ועמד </w:t>
      </w:r>
      <w:r w:rsidR="00B46419" w:rsidRPr="00A96BF0">
        <w:rPr>
          <w:rFonts w:ascii="Arial" w:hAnsi="Arial" w:cs="David" w:hint="cs"/>
          <w:rtl/>
        </w:rPr>
        <w:t>ב</w:t>
      </w:r>
      <w:r w:rsidR="000E2DCA" w:rsidRPr="00A96BF0">
        <w:rPr>
          <w:rFonts w:ascii="Arial" w:hAnsi="Arial" w:cs="David" w:hint="cs"/>
          <w:rtl/>
        </w:rPr>
        <w:t xml:space="preserve">סוף </w:t>
      </w:r>
      <w:r w:rsidR="00190C5E" w:rsidRPr="00A96BF0">
        <w:rPr>
          <w:rFonts w:ascii="Arial" w:hAnsi="Arial" w:cs="David" w:hint="cs"/>
          <w:rtl/>
        </w:rPr>
        <w:t>ספטמבר</w:t>
      </w:r>
      <w:r w:rsidR="004C7474" w:rsidRPr="00A96BF0">
        <w:rPr>
          <w:rFonts w:ascii="Arial" w:hAnsi="Arial" w:cs="David" w:hint="cs"/>
          <w:rtl/>
        </w:rPr>
        <w:t xml:space="preserve"> </w:t>
      </w:r>
      <w:r w:rsidR="007057B4" w:rsidRPr="00A96BF0">
        <w:rPr>
          <w:rFonts w:ascii="Arial" w:hAnsi="Arial" w:cs="David" w:hint="cs"/>
          <w:rtl/>
        </w:rPr>
        <w:t>על</w:t>
      </w:r>
      <w:r w:rsidR="00D258EC" w:rsidRPr="00A96BF0">
        <w:rPr>
          <w:rFonts w:ascii="Arial" w:hAnsi="Arial" w:cs="David" w:hint="cs"/>
          <w:rtl/>
        </w:rPr>
        <w:t xml:space="preserve"> </w:t>
      </w:r>
      <w:r w:rsidR="00190C5E" w:rsidRPr="00A96BF0">
        <w:rPr>
          <w:rFonts w:ascii="Arial" w:hAnsi="Arial" w:cs="David" w:hint="cs"/>
          <w:rtl/>
        </w:rPr>
        <w:t>51</w:t>
      </w:r>
      <w:r w:rsidR="00ED0781" w:rsidRPr="00A96BF0">
        <w:rPr>
          <w:rFonts w:ascii="Arial" w:hAnsi="Arial" w:cs="David" w:hint="cs"/>
          <w:rtl/>
        </w:rPr>
        <w:t>.</w:t>
      </w:r>
      <w:r w:rsidR="00190C5E" w:rsidRPr="00A96BF0">
        <w:rPr>
          <w:rFonts w:ascii="Arial" w:hAnsi="Arial" w:cs="David" w:hint="cs"/>
          <w:rtl/>
        </w:rPr>
        <w:t>4</w:t>
      </w:r>
      <w:r w:rsidR="007057B4" w:rsidRPr="00A96BF0">
        <w:rPr>
          <w:rFonts w:ascii="Arial" w:hAnsi="Arial" w:cs="David" w:hint="cs"/>
          <w:rtl/>
        </w:rPr>
        <w:t xml:space="preserve"> מיליארדי דולרים. </w:t>
      </w:r>
      <w:r w:rsidR="00CC3A41" w:rsidRPr="00A96BF0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A96BF0">
        <w:rPr>
          <w:rFonts w:ascii="Arial" w:hAnsi="Arial" w:cs="David" w:hint="cs"/>
          <w:rtl/>
        </w:rPr>
        <w:t xml:space="preserve"> </w:t>
      </w:r>
    </w:p>
    <w:p w:rsidR="001E5E5C" w:rsidRDefault="00A16F73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A16F73">
        <w:rPr>
          <w:rFonts w:ascii="Arial" w:hAnsi="Arial" w:cs="David" w:hint="cs"/>
          <w:rtl/>
        </w:rPr>
        <w:t xml:space="preserve">עלייה </w:t>
      </w:r>
      <w:r w:rsidR="0000797B">
        <w:rPr>
          <w:rFonts w:ascii="Arial" w:hAnsi="Arial" w:cs="David" w:hint="cs"/>
          <w:rtl/>
        </w:rPr>
        <w:t xml:space="preserve">של 4.1 </w:t>
      </w:r>
      <w:r w:rsidR="0000797B" w:rsidRPr="00A16F73">
        <w:rPr>
          <w:rFonts w:ascii="Arial" w:hAnsi="Arial" w:cs="David" w:hint="cs"/>
          <w:rtl/>
        </w:rPr>
        <w:t>מיליארדי דולרים (</w:t>
      </w:r>
      <w:r w:rsidR="0000797B">
        <w:rPr>
          <w:rFonts w:ascii="Arial" w:hAnsi="Arial" w:cs="David" w:hint="cs"/>
          <w:rtl/>
        </w:rPr>
        <w:t>1.5</w:t>
      </w:r>
      <w:r w:rsidR="0000797B" w:rsidRPr="00A16F73">
        <w:rPr>
          <w:rFonts w:ascii="Arial" w:hAnsi="Arial" w:cs="David" w:hint="cs"/>
          <w:rtl/>
        </w:rPr>
        <w:t>%)</w:t>
      </w:r>
      <w:r w:rsidR="0000797B">
        <w:rPr>
          <w:rFonts w:ascii="Arial" w:hAnsi="Arial" w:cs="David" w:hint="cs"/>
          <w:rtl/>
        </w:rPr>
        <w:t xml:space="preserve">, </w:t>
      </w:r>
      <w:r w:rsidR="00ED0781" w:rsidRPr="00A16F73">
        <w:rPr>
          <w:rFonts w:ascii="Arial" w:hAnsi="Arial" w:cs="David" w:hint="cs"/>
          <w:rtl/>
        </w:rPr>
        <w:t xml:space="preserve">בשווי יתרת </w:t>
      </w:r>
      <w:r w:rsidR="00ED0781">
        <w:rPr>
          <w:rFonts w:ascii="Arial" w:hAnsi="Arial" w:cs="David" w:hint="cs"/>
          <w:rtl/>
        </w:rPr>
        <w:t>ה</w:t>
      </w:r>
      <w:r w:rsidR="00E05017">
        <w:rPr>
          <w:rFonts w:ascii="Arial" w:hAnsi="Arial" w:cs="David" w:hint="cs"/>
          <w:rtl/>
        </w:rPr>
        <w:t>התחייבויות</w:t>
      </w:r>
      <w:r w:rsidR="00ED0781" w:rsidRPr="00A16F73">
        <w:rPr>
          <w:rFonts w:ascii="Arial" w:hAnsi="Arial" w:cs="David" w:hint="cs"/>
          <w:rtl/>
        </w:rPr>
        <w:t xml:space="preserve"> של המשק </w:t>
      </w:r>
      <w:r w:rsidR="00E05017">
        <w:rPr>
          <w:rFonts w:ascii="Arial" w:hAnsi="Arial" w:cs="David" w:hint="cs"/>
          <w:rtl/>
        </w:rPr>
        <w:t>כלפי תושבי חוץ</w:t>
      </w:r>
      <w:r w:rsidR="0000797B">
        <w:rPr>
          <w:rFonts w:ascii="Arial" w:hAnsi="Arial" w:cs="David" w:hint="cs"/>
          <w:rtl/>
        </w:rPr>
        <w:t xml:space="preserve"> </w:t>
      </w:r>
      <w:r w:rsidR="0000797B">
        <w:rPr>
          <w:rFonts w:ascii="Arial" w:hAnsi="Arial" w:cs="David"/>
          <w:rtl/>
        </w:rPr>
        <w:t>–</w:t>
      </w:r>
      <w:r w:rsidR="0000797B">
        <w:rPr>
          <w:rFonts w:ascii="Arial" w:hAnsi="Arial" w:cs="David" w:hint="cs"/>
          <w:rtl/>
        </w:rPr>
        <w:t xml:space="preserve"> </w:t>
      </w:r>
      <w:r w:rsidR="0029184D">
        <w:rPr>
          <w:rFonts w:ascii="Arial" w:hAnsi="Arial" w:cs="David" w:hint="cs"/>
          <w:rtl/>
        </w:rPr>
        <w:t xml:space="preserve">שילוב של זרם השקעות ועליית מחירי המניות - </w:t>
      </w:r>
      <w:r w:rsidR="00ED0781" w:rsidRPr="00A16F73">
        <w:rPr>
          <w:rFonts w:ascii="Arial" w:hAnsi="Arial" w:cs="David" w:hint="cs"/>
          <w:rtl/>
        </w:rPr>
        <w:t xml:space="preserve"> קוזזה בחלקה בעלייה של </w:t>
      </w:r>
      <w:r w:rsidR="00E05017">
        <w:rPr>
          <w:rFonts w:ascii="Arial" w:hAnsi="Arial" w:cs="David" w:hint="cs"/>
          <w:rtl/>
        </w:rPr>
        <w:t xml:space="preserve">0.6 </w:t>
      </w:r>
      <w:r w:rsidR="00ED0781" w:rsidRPr="00A16F73">
        <w:rPr>
          <w:rFonts w:ascii="Arial" w:hAnsi="Arial" w:cs="David" w:hint="cs"/>
          <w:rtl/>
        </w:rPr>
        <w:t>מיליארדים</w:t>
      </w:r>
      <w:r w:rsidR="00ED0781">
        <w:rPr>
          <w:rFonts w:ascii="Arial" w:hAnsi="Arial" w:cs="David" w:hint="cs"/>
          <w:rtl/>
        </w:rPr>
        <w:t xml:space="preserve"> (0.</w:t>
      </w:r>
      <w:r w:rsidR="00E05017">
        <w:rPr>
          <w:rFonts w:ascii="Arial" w:hAnsi="Arial" w:cs="David" w:hint="cs"/>
          <w:rtl/>
        </w:rPr>
        <w:t>2</w:t>
      </w:r>
      <w:r w:rsidR="00ED0781">
        <w:rPr>
          <w:rFonts w:ascii="Arial" w:hAnsi="Arial" w:cs="David" w:hint="cs"/>
          <w:rtl/>
        </w:rPr>
        <w:t>%)</w:t>
      </w:r>
      <w:r w:rsidR="00ED0781" w:rsidRPr="00A16F73">
        <w:rPr>
          <w:rFonts w:ascii="Arial" w:hAnsi="Arial" w:cs="David" w:hint="cs"/>
          <w:rtl/>
        </w:rPr>
        <w:t xml:space="preserve"> </w:t>
      </w:r>
      <w:r w:rsidRPr="00A16F73">
        <w:rPr>
          <w:rFonts w:ascii="Arial" w:hAnsi="Arial" w:cs="David" w:hint="cs"/>
          <w:rtl/>
        </w:rPr>
        <w:t xml:space="preserve">בשווי יתרת </w:t>
      </w:r>
      <w:r w:rsidR="00E05017">
        <w:rPr>
          <w:rFonts w:ascii="Arial" w:hAnsi="Arial" w:cs="David" w:hint="cs"/>
          <w:rtl/>
        </w:rPr>
        <w:t>הנכסים של המשק בחו"ל</w:t>
      </w:r>
      <w:r w:rsidR="0029184D">
        <w:rPr>
          <w:rFonts w:ascii="Arial" w:hAnsi="Arial" w:cs="David" w:hint="cs"/>
          <w:rtl/>
        </w:rPr>
        <w:t xml:space="preserve"> </w:t>
      </w:r>
      <w:r w:rsidR="0029184D">
        <w:rPr>
          <w:rFonts w:ascii="Arial" w:hAnsi="Arial" w:cs="David"/>
          <w:rtl/>
        </w:rPr>
        <w:t>–</w:t>
      </w:r>
      <w:r w:rsidR="0029184D">
        <w:rPr>
          <w:rFonts w:ascii="Arial" w:hAnsi="Arial" w:cs="David" w:hint="cs"/>
          <w:rtl/>
        </w:rPr>
        <w:t xml:space="preserve"> בעיקר גידול בזרם ההשקעות</w:t>
      </w:r>
      <w:r w:rsidRPr="00A16F73">
        <w:rPr>
          <w:rFonts w:ascii="Arial" w:hAnsi="Arial" w:cs="David" w:hint="cs"/>
          <w:rtl/>
        </w:rPr>
        <w:t xml:space="preserve">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1E5E5C" w:rsidRPr="00AF6E37" w:rsidRDefault="001E5E5C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2F03E2">
        <w:rPr>
          <w:rFonts w:ascii="Arial" w:hAnsi="Arial" w:cs="David" w:hint="cs"/>
          <w:rtl/>
        </w:rPr>
        <w:t>הירידה בעודף הנכסים</w:t>
      </w:r>
      <w:r>
        <w:rPr>
          <w:rFonts w:ascii="Arial" w:hAnsi="Arial" w:cs="David" w:hint="cs"/>
          <w:rtl/>
        </w:rPr>
        <w:t xml:space="preserve"> של המשק, </w:t>
      </w:r>
      <w:r w:rsidRPr="002F03E2">
        <w:rPr>
          <w:rFonts w:ascii="Arial" w:hAnsi="Arial" w:cs="David" w:hint="cs"/>
          <w:rtl/>
        </w:rPr>
        <w:t>החלה כבר מתחילת 2014 והיא בבחינת שינוי מגמה ביחס לגידול המתמשך בעודף הנכסים בשנים האחרונות</w:t>
      </w:r>
      <w:r>
        <w:rPr>
          <w:rFonts w:ascii="Arial" w:hAnsi="Arial" w:cs="David" w:hint="cs"/>
          <w:b/>
          <w:bCs/>
          <w:rtl/>
        </w:rPr>
        <w:t xml:space="preserve">. </w:t>
      </w:r>
      <w:r w:rsidRPr="00AF6E37">
        <w:rPr>
          <w:rFonts w:ascii="Arial" w:hAnsi="Arial" w:cs="David" w:hint="cs"/>
          <w:b/>
          <w:bCs/>
          <w:rtl/>
        </w:rPr>
        <w:t>מתחילת שנת 2014 ועד ספטמבר,</w:t>
      </w:r>
      <w:r w:rsidRPr="00AF6E37">
        <w:rPr>
          <w:rFonts w:ascii="Arial" w:hAnsi="Arial" w:cs="David" w:hint="cs"/>
          <w:rtl/>
        </w:rPr>
        <w:t xml:space="preserve"> ירד עודף הנכסים במשק בהיקף של 10.3 מיליארדי דולרים</w:t>
      </w:r>
      <w:r>
        <w:rPr>
          <w:rFonts w:ascii="Arial" w:hAnsi="Arial" w:cs="David" w:hint="cs"/>
          <w:rtl/>
        </w:rPr>
        <w:t>:</w:t>
      </w:r>
      <w:r w:rsidRPr="00AF6E37">
        <w:rPr>
          <w:rFonts w:ascii="Arial" w:hAnsi="Arial" w:cs="David" w:hint="cs"/>
          <w:rtl/>
        </w:rPr>
        <w:t xml:space="preserve"> גידול של כ-27 מיליארדים בשווי יתרת ההתחייבויות של המשק לחו"ל, קוזזו </w:t>
      </w:r>
      <w:r w:rsidR="005F0E74">
        <w:rPr>
          <w:rFonts w:ascii="Arial" w:hAnsi="Arial" w:cs="David" w:hint="cs"/>
          <w:rtl/>
        </w:rPr>
        <w:t>בחלקן</w:t>
      </w:r>
      <w:r w:rsidRPr="00AF6E37">
        <w:rPr>
          <w:rFonts w:ascii="Arial" w:hAnsi="Arial" w:cs="David" w:hint="cs"/>
          <w:rtl/>
        </w:rPr>
        <w:t xml:space="preserve"> בגידול של כ-17 מילי</w:t>
      </w:r>
      <w:r w:rsidR="002F35B7">
        <w:rPr>
          <w:rFonts w:ascii="Arial" w:hAnsi="Arial" w:cs="David" w:hint="cs"/>
          <w:rtl/>
        </w:rPr>
        <w:t>ארדים בלבד בשווי יתרת הנכסים של</w:t>
      </w:r>
      <w:r w:rsidRPr="00AF6E37">
        <w:rPr>
          <w:rFonts w:ascii="Arial" w:hAnsi="Arial" w:cs="David" w:hint="cs"/>
          <w:rtl/>
        </w:rPr>
        <w:t xml:space="preserve"> המשק בחו"ל.  </w:t>
      </w:r>
    </w:p>
    <w:p w:rsidR="001E5E5C" w:rsidRDefault="001E5E5C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AF6E37">
        <w:rPr>
          <w:rFonts w:ascii="Arial" w:hAnsi="Arial" w:cs="David" w:hint="cs"/>
          <w:rtl/>
        </w:rPr>
        <w:t>העלייה ב</w:t>
      </w:r>
      <w:r>
        <w:rPr>
          <w:rFonts w:ascii="Arial" w:hAnsi="Arial" w:cs="David" w:hint="cs"/>
          <w:rtl/>
        </w:rPr>
        <w:t>שווי יתרת ה</w:t>
      </w:r>
      <w:r w:rsidRPr="00AF6E37">
        <w:rPr>
          <w:rFonts w:ascii="Arial" w:hAnsi="Arial" w:cs="David" w:hint="cs"/>
          <w:rtl/>
        </w:rPr>
        <w:t xml:space="preserve">התחייבויות ברוטו של המשק </w:t>
      </w:r>
      <w:r>
        <w:rPr>
          <w:rFonts w:ascii="Arial" w:hAnsi="Arial" w:cs="David" w:hint="cs"/>
          <w:rtl/>
        </w:rPr>
        <w:t>שיקפה, מאז תחילת השנה,</w:t>
      </w:r>
      <w:r w:rsidRPr="00AF6E37">
        <w:rPr>
          <w:rFonts w:ascii="Arial" w:hAnsi="Arial" w:cs="David" w:hint="cs"/>
          <w:rtl/>
        </w:rPr>
        <w:t xml:space="preserve"> בעיקר עלייה במחירי המניות שמחזיקים תושבי חוץ</w:t>
      </w:r>
      <w:r>
        <w:rPr>
          <w:rFonts w:ascii="Arial" w:hAnsi="Arial" w:cs="David" w:hint="cs"/>
          <w:rtl/>
        </w:rPr>
        <w:t>, אשר הייתה גבוהה יותר מאשר</w:t>
      </w:r>
      <w:r w:rsidRPr="00AF6E37">
        <w:rPr>
          <w:rFonts w:ascii="Arial" w:hAnsi="Arial" w:cs="David" w:hint="cs"/>
          <w:rtl/>
        </w:rPr>
        <w:t xml:space="preserve"> העלייה בשווי יתרת הנכסים</w:t>
      </w:r>
      <w:r>
        <w:rPr>
          <w:rFonts w:ascii="Arial" w:hAnsi="Arial" w:cs="David" w:hint="cs"/>
          <w:rtl/>
        </w:rPr>
        <w:t>, שנבעה</w:t>
      </w:r>
      <w:r w:rsidRPr="00AF6E37">
        <w:rPr>
          <w:rFonts w:ascii="Arial" w:hAnsi="Arial" w:cs="David" w:hint="cs"/>
          <w:rtl/>
        </w:rPr>
        <w:t xml:space="preserve"> בעיקר </w:t>
      </w:r>
      <w:r>
        <w:rPr>
          <w:rFonts w:ascii="Arial" w:hAnsi="Arial" w:cs="David" w:hint="cs"/>
          <w:rtl/>
        </w:rPr>
        <w:t>מ</w:t>
      </w:r>
      <w:r w:rsidRPr="00AF6E37">
        <w:rPr>
          <w:rFonts w:ascii="Arial" w:hAnsi="Arial" w:cs="David" w:hint="cs"/>
          <w:rtl/>
        </w:rPr>
        <w:t xml:space="preserve">זרם השקעות בחו"ל של המגזר הפרטי הלא בנקאי. </w:t>
      </w:r>
      <w:r>
        <w:rPr>
          <w:rFonts w:ascii="Arial" w:hAnsi="Arial" w:cs="David" w:hint="cs"/>
          <w:rtl/>
        </w:rPr>
        <w:t>נזכיר כי, תושבי חוץ מחזיקים במניות של מספר מצומצם של חברות ישראליות גדולות</w:t>
      </w:r>
      <w:r w:rsidR="005B7A8E">
        <w:rPr>
          <w:rFonts w:ascii="Arial" w:hAnsi="Arial" w:cs="David" w:hint="cs"/>
          <w:rtl/>
        </w:rPr>
        <w:t xml:space="preserve"> שהתשואה </w:t>
      </w:r>
      <w:r w:rsidR="005F0E74">
        <w:rPr>
          <w:rFonts w:ascii="Arial" w:hAnsi="Arial" w:cs="David" w:hint="cs"/>
          <w:rtl/>
        </w:rPr>
        <w:t>שלהן</w:t>
      </w:r>
      <w:r w:rsidR="005B7A8E">
        <w:rPr>
          <w:rFonts w:ascii="Arial" w:hAnsi="Arial" w:cs="David" w:hint="cs"/>
          <w:rtl/>
        </w:rPr>
        <w:t xml:space="preserve"> מתחילת השנה הייתה גבוהה מזו של מרבית המדדים.</w:t>
      </w:r>
    </w:p>
    <w:p w:rsidR="007022B2" w:rsidRDefault="00A96BF0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5939790" cy="3624580"/>
            <wp:effectExtent l="0" t="0" r="3810" b="0"/>
            <wp:docPr id="19" name="תמונה 19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2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C89" w:rsidRPr="003F3174" w:rsidRDefault="00BF23B9" w:rsidP="00BF23B9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  <w:r>
        <w:rPr>
          <w:rtl/>
        </w:rPr>
        <w:br w:type="page"/>
      </w:r>
    </w:p>
    <w:p w:rsidR="00EA785C" w:rsidRPr="00A96BF0" w:rsidRDefault="004C7474" w:rsidP="00A96BF0">
      <w:pPr>
        <w:pStyle w:val="ad"/>
        <w:numPr>
          <w:ilvl w:val="0"/>
          <w:numId w:val="12"/>
        </w:num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A96BF0">
        <w:rPr>
          <w:rFonts w:ascii="Arial" w:hAnsi="Arial" w:cs="David" w:hint="cs"/>
          <w:b/>
          <w:bCs/>
          <w:rtl/>
        </w:rPr>
        <w:lastRenderedPageBreak/>
        <w:t>שווי תיק</w:t>
      </w:r>
      <w:r w:rsidR="00393B21" w:rsidRPr="00A96BF0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A96BF0">
        <w:rPr>
          <w:rFonts w:ascii="Arial" w:hAnsi="Arial" w:cs="David" w:hint="cs"/>
          <w:b/>
          <w:bCs/>
          <w:rtl/>
        </w:rPr>
        <w:t>תושבי ישראל</w:t>
      </w:r>
      <w:r w:rsidR="00393B21" w:rsidRPr="00A96BF0">
        <w:rPr>
          <w:rFonts w:ascii="Arial" w:hAnsi="Arial" w:cs="David" w:hint="cs"/>
          <w:b/>
          <w:bCs/>
          <w:rtl/>
        </w:rPr>
        <w:t xml:space="preserve"> בחו"ל </w:t>
      </w:r>
      <w:r w:rsidR="00CC3A41" w:rsidRPr="00A96BF0">
        <w:rPr>
          <w:rFonts w:ascii="Arial" w:hAnsi="Arial" w:cs="David" w:hint="cs"/>
          <w:b/>
          <w:bCs/>
          <w:rtl/>
        </w:rPr>
        <w:t xml:space="preserve"> </w:t>
      </w:r>
      <w:r w:rsidR="006F5656" w:rsidRPr="00A96BF0">
        <w:rPr>
          <w:rFonts w:ascii="Arial" w:hAnsi="Arial" w:cs="David" w:hint="cs"/>
          <w:rtl/>
        </w:rPr>
        <w:t>עלה</w:t>
      </w:r>
      <w:r w:rsidR="00C11C89" w:rsidRPr="00A96BF0">
        <w:rPr>
          <w:rFonts w:ascii="Arial" w:hAnsi="Arial" w:cs="David" w:hint="cs"/>
          <w:rtl/>
        </w:rPr>
        <w:t xml:space="preserve"> </w:t>
      </w:r>
      <w:r w:rsidR="000C59D9" w:rsidRPr="00A96BF0">
        <w:rPr>
          <w:rFonts w:ascii="Arial" w:hAnsi="Arial" w:cs="David" w:hint="cs"/>
          <w:rtl/>
        </w:rPr>
        <w:t>ב</w:t>
      </w:r>
      <w:r w:rsidR="00F50EC0" w:rsidRPr="00A96BF0">
        <w:rPr>
          <w:rFonts w:ascii="Arial" w:hAnsi="Arial" w:cs="David" w:hint="cs"/>
          <w:rtl/>
        </w:rPr>
        <w:t>מהלך</w:t>
      </w:r>
      <w:r w:rsidR="000C59D9" w:rsidRPr="00A96BF0">
        <w:rPr>
          <w:rFonts w:ascii="Arial" w:hAnsi="Arial" w:cs="David" w:hint="cs"/>
          <w:rtl/>
        </w:rPr>
        <w:t xml:space="preserve"> </w:t>
      </w:r>
      <w:r w:rsidR="006A2664" w:rsidRPr="00A96BF0">
        <w:rPr>
          <w:rFonts w:ascii="Arial" w:hAnsi="Arial" w:cs="David" w:hint="cs"/>
          <w:rtl/>
        </w:rPr>
        <w:t xml:space="preserve">הרביע </w:t>
      </w:r>
      <w:r w:rsidR="005A02F2" w:rsidRPr="00A96BF0">
        <w:rPr>
          <w:rFonts w:ascii="Arial" w:hAnsi="Arial" w:cs="David" w:hint="cs"/>
          <w:rtl/>
        </w:rPr>
        <w:t>ה</w:t>
      </w:r>
      <w:r w:rsidR="00423E17" w:rsidRPr="00A96BF0">
        <w:rPr>
          <w:rFonts w:ascii="Arial" w:hAnsi="Arial" w:cs="David" w:hint="cs"/>
          <w:rtl/>
        </w:rPr>
        <w:t>שלישי</w:t>
      </w:r>
      <w:r w:rsidR="006A2664" w:rsidRPr="00A96BF0">
        <w:rPr>
          <w:rFonts w:ascii="Arial" w:hAnsi="Arial" w:cs="David" w:hint="cs"/>
          <w:rtl/>
        </w:rPr>
        <w:t xml:space="preserve"> של שנת 2014 ב</w:t>
      </w:r>
      <w:r w:rsidR="00687F2A" w:rsidRPr="00A96BF0">
        <w:rPr>
          <w:rFonts w:ascii="Arial" w:hAnsi="Arial" w:cs="David" w:hint="cs"/>
          <w:rtl/>
        </w:rPr>
        <w:t>-</w:t>
      </w:r>
      <w:r w:rsidR="008960A5" w:rsidRPr="00A96BF0">
        <w:rPr>
          <w:rFonts w:ascii="Arial" w:hAnsi="Arial" w:cs="David" w:hint="cs"/>
          <w:rtl/>
        </w:rPr>
        <w:t>0.</w:t>
      </w:r>
      <w:r w:rsidR="00423E17" w:rsidRPr="00A96BF0">
        <w:rPr>
          <w:rFonts w:ascii="Arial" w:hAnsi="Arial" w:cs="David" w:hint="cs"/>
          <w:rtl/>
        </w:rPr>
        <w:t>6</w:t>
      </w:r>
      <w:r w:rsidR="005A02F2" w:rsidRPr="00A96BF0">
        <w:rPr>
          <w:rFonts w:ascii="Arial" w:hAnsi="Arial" w:cs="David" w:hint="cs"/>
          <w:rtl/>
        </w:rPr>
        <w:t xml:space="preserve"> </w:t>
      </w:r>
      <w:r w:rsidR="00287759" w:rsidRPr="00A96BF0">
        <w:rPr>
          <w:rFonts w:ascii="Arial" w:hAnsi="Arial" w:cs="David" w:hint="cs"/>
          <w:rtl/>
        </w:rPr>
        <w:t>מיליארדי</w:t>
      </w:r>
      <w:r w:rsidR="00C11C89" w:rsidRPr="00A96BF0">
        <w:rPr>
          <w:rFonts w:ascii="Arial" w:hAnsi="Arial" w:cs="David" w:hint="cs"/>
          <w:rtl/>
        </w:rPr>
        <w:t xml:space="preserve"> </w:t>
      </w:r>
      <w:r w:rsidR="00687F2A" w:rsidRPr="00A96BF0">
        <w:rPr>
          <w:rFonts w:ascii="Arial" w:hAnsi="Arial" w:cs="David" w:hint="cs"/>
          <w:rtl/>
        </w:rPr>
        <w:t>דולרים</w:t>
      </w:r>
      <w:r w:rsidR="00CB7AE3" w:rsidRPr="00A96BF0">
        <w:rPr>
          <w:rFonts w:ascii="Arial" w:hAnsi="Arial" w:cs="David" w:hint="cs"/>
          <w:rtl/>
        </w:rPr>
        <w:t xml:space="preserve"> (</w:t>
      </w:r>
      <w:r w:rsidR="008960A5" w:rsidRPr="00A96BF0">
        <w:rPr>
          <w:rFonts w:ascii="Arial" w:hAnsi="Arial" w:cs="David" w:hint="cs"/>
          <w:rtl/>
        </w:rPr>
        <w:t>0.2</w:t>
      </w:r>
      <w:r w:rsidR="00CB7AE3" w:rsidRPr="00A96BF0">
        <w:rPr>
          <w:rFonts w:ascii="Arial" w:hAnsi="Arial" w:cs="David" w:hint="cs"/>
          <w:rtl/>
        </w:rPr>
        <w:t>%)</w:t>
      </w:r>
      <w:r w:rsidR="00800C53" w:rsidRPr="00A96BF0">
        <w:rPr>
          <w:rFonts w:ascii="Arial" w:hAnsi="Arial" w:cs="David" w:hint="cs"/>
          <w:rtl/>
        </w:rPr>
        <w:t xml:space="preserve"> </w:t>
      </w:r>
      <w:r w:rsidR="006A2664" w:rsidRPr="00A96BF0">
        <w:rPr>
          <w:rFonts w:ascii="Arial" w:hAnsi="Arial" w:cs="David" w:hint="cs"/>
          <w:rtl/>
        </w:rPr>
        <w:t>ועמד</w:t>
      </w:r>
      <w:r w:rsidR="00393B21" w:rsidRPr="00A96BF0">
        <w:rPr>
          <w:rFonts w:ascii="Arial" w:hAnsi="Arial" w:cs="David" w:hint="cs"/>
          <w:rtl/>
        </w:rPr>
        <w:t xml:space="preserve"> בסוף </w:t>
      </w:r>
      <w:r w:rsidR="008960A5" w:rsidRPr="00A96BF0">
        <w:rPr>
          <w:rFonts w:ascii="Arial" w:hAnsi="Arial" w:cs="David" w:hint="cs"/>
          <w:rtl/>
        </w:rPr>
        <w:t>ספטמבר</w:t>
      </w:r>
      <w:r w:rsidR="00F50EC0" w:rsidRPr="00A96BF0">
        <w:rPr>
          <w:rFonts w:ascii="Arial" w:hAnsi="Arial" w:cs="David" w:hint="cs"/>
          <w:rtl/>
        </w:rPr>
        <w:t xml:space="preserve"> </w:t>
      </w:r>
      <w:r w:rsidR="00E91B53" w:rsidRPr="00A96BF0">
        <w:rPr>
          <w:rFonts w:ascii="Arial" w:hAnsi="Arial" w:cs="David" w:hint="cs"/>
          <w:rtl/>
        </w:rPr>
        <w:t xml:space="preserve">על </w:t>
      </w:r>
      <w:r w:rsidR="00393B21" w:rsidRPr="00A96BF0">
        <w:rPr>
          <w:rFonts w:ascii="Arial" w:hAnsi="Arial" w:cs="David" w:hint="cs"/>
          <w:rtl/>
        </w:rPr>
        <w:t>כ</w:t>
      </w:r>
      <w:r w:rsidR="008960A5" w:rsidRPr="00A96BF0">
        <w:rPr>
          <w:rFonts w:ascii="Arial" w:hAnsi="Arial" w:cs="David" w:hint="cs"/>
          <w:rtl/>
        </w:rPr>
        <w:t>-328</w:t>
      </w:r>
      <w:r w:rsidR="00BC4789" w:rsidRPr="00A96BF0">
        <w:rPr>
          <w:rFonts w:ascii="Arial" w:hAnsi="Arial" w:cs="David" w:hint="cs"/>
          <w:rtl/>
        </w:rPr>
        <w:t xml:space="preserve"> </w:t>
      </w:r>
      <w:r w:rsidR="00393B21" w:rsidRPr="00A96BF0">
        <w:rPr>
          <w:rFonts w:ascii="Arial" w:hAnsi="Arial" w:cs="David" w:hint="cs"/>
          <w:rtl/>
        </w:rPr>
        <w:t>מיליארדי</w:t>
      </w:r>
      <w:r w:rsidR="007D14BB" w:rsidRPr="00A96BF0">
        <w:rPr>
          <w:rFonts w:ascii="Arial" w:hAnsi="Arial" w:cs="David" w:hint="cs"/>
          <w:rtl/>
        </w:rPr>
        <w:t xml:space="preserve"> דולרים</w:t>
      </w:r>
      <w:r w:rsidR="00BE41CB" w:rsidRPr="00A96BF0">
        <w:rPr>
          <w:rFonts w:ascii="Arial" w:hAnsi="Arial" w:cs="David" w:hint="cs"/>
          <w:rtl/>
        </w:rPr>
        <w:t xml:space="preserve">. </w:t>
      </w:r>
      <w:r w:rsidR="00EA785C" w:rsidRPr="00A96BF0">
        <w:rPr>
          <w:rFonts w:ascii="Arial" w:hAnsi="Arial" w:cs="David" w:hint="cs"/>
          <w:rtl/>
        </w:rPr>
        <w:t>הגידול בשווי תיק הנכסים, נבע ברובו מגידול בשווי יתרת ההשקעות הפיננסיות בחו"ל (2 מיליארדים) ומצבירה בפיקדונות בנקים ישראלים בחו"ל (1.5 מיליארדי</w:t>
      </w:r>
      <w:r w:rsidR="00801E84" w:rsidRPr="00A96BF0">
        <w:rPr>
          <w:rFonts w:ascii="Arial" w:hAnsi="Arial" w:cs="David" w:hint="cs"/>
          <w:rtl/>
        </w:rPr>
        <w:t>ם</w:t>
      </w:r>
      <w:r w:rsidR="00EA785C" w:rsidRPr="00A96BF0">
        <w:rPr>
          <w:rFonts w:ascii="Arial" w:hAnsi="Arial" w:cs="David" w:hint="cs"/>
          <w:rtl/>
        </w:rPr>
        <w:t>) .</w:t>
      </w:r>
    </w:p>
    <w:p w:rsidR="004E1C27" w:rsidRPr="003F3174" w:rsidRDefault="00EF0BFB" w:rsidP="00BF23B9">
      <w:pPr>
        <w:spacing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>שווי תיק המניות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>ירד</w:t>
      </w:r>
      <w:r w:rsidR="00F508E4">
        <w:rPr>
          <w:rFonts w:ascii="Arial" w:hAnsi="Arial" w:cs="David" w:hint="cs"/>
          <w:rtl/>
        </w:rPr>
        <w:t xml:space="preserve"> </w:t>
      </w:r>
      <w:r w:rsidR="006A2664">
        <w:rPr>
          <w:rFonts w:ascii="Arial" w:hAnsi="Arial" w:cs="David" w:hint="cs"/>
          <w:rtl/>
        </w:rPr>
        <w:t xml:space="preserve">במהלך הרביע </w:t>
      </w:r>
      <w:r w:rsidR="00D37802">
        <w:rPr>
          <w:rFonts w:ascii="Arial" w:hAnsi="Arial" w:cs="David" w:hint="cs"/>
          <w:rtl/>
        </w:rPr>
        <w:t>ה</w:t>
      </w:r>
      <w:r w:rsidR="00423E17">
        <w:rPr>
          <w:rFonts w:ascii="Arial" w:hAnsi="Arial" w:cs="David" w:hint="cs"/>
          <w:rtl/>
        </w:rPr>
        <w:t>שלישי</w:t>
      </w:r>
      <w:r w:rsidR="008B000B" w:rsidRPr="003F3174">
        <w:rPr>
          <w:rFonts w:ascii="Arial" w:hAnsi="Arial" w:cs="David" w:hint="cs"/>
          <w:rtl/>
        </w:rPr>
        <w:t xml:space="preserve"> ב</w:t>
      </w:r>
      <w:r w:rsidR="00C4262A">
        <w:rPr>
          <w:rFonts w:ascii="Arial" w:hAnsi="Arial" w:cs="David" w:hint="cs"/>
          <w:rtl/>
        </w:rPr>
        <w:t>היקף</w:t>
      </w:r>
      <w:r w:rsidR="00F50EC0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 xml:space="preserve">של </w:t>
      </w:r>
      <w:r w:rsidR="00423E17">
        <w:rPr>
          <w:rFonts w:ascii="Arial" w:hAnsi="Arial" w:cs="David" w:hint="cs"/>
          <w:rtl/>
        </w:rPr>
        <w:t>0.6</w:t>
      </w:r>
      <w:r w:rsidR="006A266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423E17">
        <w:rPr>
          <w:rFonts w:ascii="Arial" w:hAnsi="Arial" w:cs="David" w:hint="cs"/>
          <w:rtl/>
        </w:rPr>
        <w:t>1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כ-</w:t>
      </w:r>
      <w:r w:rsidR="00423E17">
        <w:rPr>
          <w:rFonts w:ascii="Arial" w:hAnsi="Arial" w:cs="David" w:hint="cs"/>
          <w:rtl/>
        </w:rPr>
        <w:t>680</w:t>
      </w:r>
      <w:r w:rsidRPr="003F3174">
        <w:rPr>
          <w:rFonts w:ascii="Arial" w:hAnsi="Arial" w:cs="David" w:hint="cs"/>
          <w:rtl/>
        </w:rPr>
        <w:t xml:space="preserve"> מילי</w:t>
      </w:r>
      <w:r w:rsidR="00423E17">
        <w:rPr>
          <w:rFonts w:ascii="Arial" w:hAnsi="Arial" w:cs="David" w:hint="cs"/>
          <w:rtl/>
        </w:rPr>
        <w:t>ונים</w:t>
      </w:r>
      <w:r w:rsidR="009003E6">
        <w:rPr>
          <w:rFonts w:ascii="Arial" w:hAnsi="Arial" w:cs="David" w:hint="cs"/>
          <w:rtl/>
        </w:rPr>
        <w:t>,</w:t>
      </w:r>
      <w:r w:rsidRPr="003F3174">
        <w:rPr>
          <w:rFonts w:ascii="Arial" w:hAnsi="Arial" w:cs="David" w:hint="cs"/>
          <w:rtl/>
        </w:rPr>
        <w:t xml:space="preserve"> </w:t>
      </w:r>
      <w:r w:rsidR="00F508E4">
        <w:rPr>
          <w:rFonts w:ascii="Arial" w:hAnsi="Arial" w:cs="David" w:hint="cs"/>
          <w:rtl/>
        </w:rPr>
        <w:t xml:space="preserve">אשר </w:t>
      </w:r>
      <w:r w:rsidR="00423E17">
        <w:rPr>
          <w:rFonts w:ascii="Arial" w:hAnsi="Arial" w:cs="David" w:hint="cs"/>
          <w:rtl/>
        </w:rPr>
        <w:t>קוזז</w:t>
      </w:r>
      <w:r w:rsidR="008B000B" w:rsidRPr="003F317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>ע"י ירידת</w:t>
      </w:r>
      <w:r w:rsidR="006A2664">
        <w:rPr>
          <w:rFonts w:ascii="Arial" w:hAnsi="Arial" w:cs="David" w:hint="cs"/>
          <w:rtl/>
        </w:rPr>
        <w:t xml:space="preserve"> </w:t>
      </w:r>
      <w:r w:rsidR="00AF4A83">
        <w:rPr>
          <w:rFonts w:ascii="Arial" w:hAnsi="Arial" w:cs="David" w:hint="cs"/>
          <w:rtl/>
        </w:rPr>
        <w:t>מחירים בשוקי המניות בחו"ל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</w:t>
      </w:r>
      <w:r w:rsidR="00423E17">
        <w:rPr>
          <w:rFonts w:ascii="Arial" w:hAnsi="Arial" w:cs="David" w:hint="cs"/>
          <w:rtl/>
        </w:rPr>
        <w:t xml:space="preserve">מיליארד דולרים והשפעת </w:t>
      </w:r>
      <w:r w:rsidR="004E5ADB" w:rsidRPr="004E5ADB">
        <w:rPr>
          <w:rFonts w:ascii="Arial" w:hAnsi="Arial" w:cs="David" w:hint="cs"/>
          <w:rtl/>
        </w:rPr>
        <w:t>התחזקות הדולר</w:t>
      </w:r>
      <w:r w:rsidR="00423E17">
        <w:rPr>
          <w:rFonts w:ascii="Arial" w:hAnsi="Arial" w:cs="David" w:hint="cs"/>
          <w:rtl/>
        </w:rPr>
        <w:t xml:space="preserve"> בהיקף של כ-700 מיליוני דולרים</w:t>
      </w:r>
      <w:r w:rsidR="006A2664">
        <w:rPr>
          <w:rFonts w:ascii="Arial" w:hAnsi="Arial" w:cs="David" w:hint="cs"/>
          <w:rtl/>
        </w:rPr>
        <w:t>.</w:t>
      </w:r>
    </w:p>
    <w:p w:rsidR="008B000B" w:rsidRPr="003F3174" w:rsidRDefault="00C4262A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>יתרת</w:t>
      </w:r>
      <w:r w:rsidR="00AF4A83">
        <w:rPr>
          <w:rFonts w:ascii="Arial" w:hAnsi="Arial" w:cs="David" w:hint="cs"/>
          <w:b/>
          <w:bCs/>
          <w:rtl/>
        </w:rPr>
        <w:t xml:space="preserve"> ההשקעות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F4A83">
        <w:rPr>
          <w:rFonts w:ascii="Arial" w:hAnsi="Arial" w:cs="David" w:hint="cs"/>
          <w:b/>
          <w:bCs/>
          <w:rtl/>
        </w:rPr>
        <w:t>ב</w:t>
      </w:r>
      <w:r w:rsidR="007E457E" w:rsidRPr="003F3174">
        <w:rPr>
          <w:rFonts w:ascii="Arial" w:hAnsi="Arial" w:cs="David" w:hint="cs"/>
          <w:b/>
          <w:bCs/>
          <w:rtl/>
        </w:rPr>
        <w:t>אג"ח סחיר בחו"ל</w:t>
      </w:r>
      <w:r w:rsidR="007E457E" w:rsidRPr="003F3174">
        <w:rPr>
          <w:rFonts w:ascii="Arial" w:hAnsi="Arial" w:cs="David" w:hint="cs"/>
          <w:rtl/>
        </w:rPr>
        <w:t xml:space="preserve"> </w:t>
      </w:r>
      <w:r w:rsidR="00010F80">
        <w:rPr>
          <w:rFonts w:ascii="Arial" w:hAnsi="Arial" w:cs="David" w:hint="cs"/>
          <w:rtl/>
        </w:rPr>
        <w:t xml:space="preserve">עלתה </w:t>
      </w:r>
      <w:r w:rsidR="006A2B48">
        <w:rPr>
          <w:rFonts w:ascii="Arial" w:hAnsi="Arial" w:cs="David" w:hint="cs"/>
          <w:rtl/>
        </w:rPr>
        <w:t>ברב</w:t>
      </w:r>
      <w:r w:rsidR="009003E6">
        <w:rPr>
          <w:rFonts w:ascii="Arial" w:hAnsi="Arial" w:cs="David" w:hint="cs"/>
          <w:rtl/>
        </w:rPr>
        <w:t xml:space="preserve">יע </w:t>
      </w:r>
      <w:r w:rsidR="00F508E4">
        <w:rPr>
          <w:rFonts w:ascii="Arial" w:hAnsi="Arial" w:cs="David" w:hint="cs"/>
          <w:rtl/>
        </w:rPr>
        <w:t>הש</w:t>
      </w:r>
      <w:r w:rsidR="00010F80">
        <w:rPr>
          <w:rFonts w:ascii="Arial" w:hAnsi="Arial" w:cs="David" w:hint="cs"/>
          <w:rtl/>
        </w:rPr>
        <w:t>לישי</w:t>
      </w:r>
      <w:r w:rsidR="008B000B" w:rsidRPr="003F3174">
        <w:rPr>
          <w:rFonts w:ascii="Arial" w:hAnsi="Arial" w:cs="David" w:hint="cs"/>
          <w:rtl/>
        </w:rPr>
        <w:t xml:space="preserve"> </w:t>
      </w:r>
      <w:r w:rsidR="00010F80">
        <w:rPr>
          <w:rFonts w:ascii="Arial" w:hAnsi="Arial" w:cs="David" w:hint="cs"/>
          <w:rtl/>
        </w:rPr>
        <w:t>בכ-840 מיליוני דולרים</w:t>
      </w:r>
      <w:r w:rsidR="00F508E4">
        <w:rPr>
          <w:rFonts w:ascii="Arial" w:hAnsi="Arial" w:cs="David" w:hint="cs"/>
          <w:rtl/>
        </w:rPr>
        <w:t xml:space="preserve">. </w:t>
      </w:r>
      <w:r>
        <w:rPr>
          <w:rFonts w:ascii="Arial" w:hAnsi="Arial" w:cs="David" w:hint="cs"/>
          <w:rtl/>
        </w:rPr>
        <w:t>זרם השקעות נטו</w:t>
      </w:r>
      <w:r w:rsidR="006A2B48">
        <w:rPr>
          <w:rFonts w:ascii="Arial" w:hAnsi="Arial" w:cs="David" w:hint="cs"/>
          <w:rtl/>
        </w:rPr>
        <w:t xml:space="preserve"> באג"ח זרות</w:t>
      </w:r>
      <w:r w:rsidR="00781463">
        <w:rPr>
          <w:rFonts w:ascii="Arial" w:hAnsi="Arial" w:cs="David" w:hint="cs"/>
          <w:rtl/>
        </w:rPr>
        <w:t xml:space="preserve"> של</w:t>
      </w:r>
      <w:r w:rsidR="006A2B48">
        <w:rPr>
          <w:rFonts w:ascii="Arial" w:hAnsi="Arial" w:cs="David" w:hint="cs"/>
          <w:rtl/>
        </w:rPr>
        <w:t xml:space="preserve"> משק</w:t>
      </w:r>
      <w:r w:rsidR="00010F80">
        <w:rPr>
          <w:rFonts w:ascii="Arial" w:hAnsi="Arial" w:cs="David" w:hint="cs"/>
          <w:rtl/>
        </w:rPr>
        <w:t xml:space="preserve">יעים מוסדיים, </w:t>
      </w:r>
      <w:r w:rsidR="006A2B48">
        <w:rPr>
          <w:rFonts w:ascii="Arial" w:hAnsi="Arial" w:cs="David" w:hint="cs"/>
          <w:rtl/>
        </w:rPr>
        <w:t>משקי בית</w:t>
      </w:r>
      <w:r w:rsidR="00010F80">
        <w:rPr>
          <w:rFonts w:ascii="Arial" w:hAnsi="Arial" w:cs="David" w:hint="cs"/>
          <w:rtl/>
        </w:rPr>
        <w:t xml:space="preserve"> ומערכת הבנקאות</w:t>
      </w:r>
      <w:r w:rsidR="006A2B48">
        <w:rPr>
          <w:rFonts w:ascii="Arial" w:hAnsi="Arial" w:cs="David" w:hint="cs"/>
          <w:rtl/>
        </w:rPr>
        <w:t xml:space="preserve"> בהיקף של כ-</w:t>
      </w:r>
      <w:r w:rsidR="00801E84">
        <w:rPr>
          <w:rFonts w:ascii="Arial" w:hAnsi="Arial" w:cs="David" w:hint="cs"/>
          <w:rtl/>
        </w:rPr>
        <w:t>2</w:t>
      </w:r>
      <w:r w:rsidR="006A2B48">
        <w:rPr>
          <w:rFonts w:ascii="Arial" w:hAnsi="Arial" w:cs="David" w:hint="cs"/>
          <w:rtl/>
        </w:rPr>
        <w:t xml:space="preserve"> מיליארדי דולרים, קוזז ב</w:t>
      </w:r>
      <w:r w:rsidR="00010F80">
        <w:rPr>
          <w:rFonts w:ascii="Arial" w:hAnsi="Arial" w:cs="David" w:hint="cs"/>
          <w:rtl/>
        </w:rPr>
        <w:t>חלקו</w:t>
      </w:r>
      <w:r w:rsidR="006A2B48">
        <w:rPr>
          <w:rFonts w:ascii="Arial" w:hAnsi="Arial" w:cs="David" w:hint="cs"/>
          <w:rtl/>
        </w:rPr>
        <w:t xml:space="preserve"> במימושים נטו של </w:t>
      </w:r>
      <w:r w:rsidR="00010F80">
        <w:rPr>
          <w:rFonts w:ascii="Arial" w:hAnsi="Arial" w:cs="David" w:hint="cs"/>
          <w:rtl/>
        </w:rPr>
        <w:t>הסקטור</w:t>
      </w:r>
      <w:r w:rsidR="006A2B48">
        <w:rPr>
          <w:rFonts w:ascii="Arial" w:hAnsi="Arial" w:cs="David" w:hint="cs"/>
          <w:rtl/>
        </w:rPr>
        <w:t xml:space="preserve"> העסקי.</w:t>
      </w:r>
      <w:r w:rsidR="001A5F2D" w:rsidRPr="001A5F2D">
        <w:rPr>
          <w:rFonts w:ascii="Arial" w:hAnsi="Arial" w:cs="David" w:hint="cs"/>
          <w:rtl/>
        </w:rPr>
        <w:t xml:space="preserve"> </w:t>
      </w:r>
    </w:p>
    <w:p w:rsidR="00551E55" w:rsidRDefault="00F508E4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657198">
        <w:rPr>
          <w:rFonts w:ascii="Arial" w:hAnsi="Arial" w:cs="David" w:hint="cs"/>
          <w:rtl/>
        </w:rPr>
        <w:t>עלה</w:t>
      </w:r>
      <w:r w:rsidR="00551E55">
        <w:rPr>
          <w:rFonts w:ascii="Arial" w:hAnsi="Arial" w:cs="David" w:hint="cs"/>
          <w:rtl/>
        </w:rPr>
        <w:t xml:space="preserve"> במהלך הרביע ה</w:t>
      </w:r>
      <w:r w:rsidR="00657198">
        <w:rPr>
          <w:rFonts w:ascii="Arial" w:hAnsi="Arial" w:cs="David" w:hint="cs"/>
          <w:rtl/>
        </w:rPr>
        <w:t>שלישי</w:t>
      </w:r>
      <w:r w:rsidR="00551E55">
        <w:rPr>
          <w:rFonts w:ascii="Arial" w:hAnsi="Arial" w:cs="David" w:hint="cs"/>
          <w:rtl/>
        </w:rPr>
        <w:t xml:space="preserve"> ב-</w:t>
      </w:r>
      <w:r w:rsidR="00657198">
        <w:rPr>
          <w:rFonts w:ascii="Arial" w:hAnsi="Arial" w:cs="David" w:hint="cs"/>
          <w:rtl/>
        </w:rPr>
        <w:t xml:space="preserve">0.9 </w:t>
      </w:r>
      <w:r w:rsidR="00551E55">
        <w:rPr>
          <w:rFonts w:ascii="Arial" w:hAnsi="Arial" w:cs="David" w:hint="cs"/>
          <w:rtl/>
        </w:rPr>
        <w:t>מיליארדי דולרים</w:t>
      </w:r>
      <w:r w:rsidR="008D3D52">
        <w:rPr>
          <w:rFonts w:ascii="Arial" w:hAnsi="Arial" w:cs="David" w:hint="cs"/>
          <w:rtl/>
        </w:rPr>
        <w:t xml:space="preserve"> (</w:t>
      </w:r>
      <w:r w:rsidR="00657198">
        <w:rPr>
          <w:rFonts w:ascii="Arial" w:hAnsi="Arial" w:cs="David" w:hint="cs"/>
          <w:rtl/>
        </w:rPr>
        <w:t>1.6</w:t>
      </w:r>
      <w:r w:rsidR="008D3D52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 xml:space="preserve">עלייה של 1.5 מיליארדים בפיקדונות בנקים ישראליים בחו"ל. עלייה זו קוזזה בחלקה ע"י </w:t>
      </w:r>
      <w:r w:rsidR="00551E55">
        <w:rPr>
          <w:rFonts w:ascii="Arial" w:hAnsi="Arial" w:cs="David" w:hint="cs"/>
          <w:rtl/>
        </w:rPr>
        <w:t>ירידה של כ-</w:t>
      </w:r>
      <w:r w:rsidR="00657198">
        <w:rPr>
          <w:rFonts w:ascii="Arial" w:hAnsi="Arial" w:cs="David" w:hint="cs"/>
          <w:rtl/>
        </w:rPr>
        <w:t>580</w:t>
      </w:r>
      <w:r w:rsidR="00551E55">
        <w:rPr>
          <w:rFonts w:ascii="Arial" w:hAnsi="Arial" w:cs="David" w:hint="cs"/>
          <w:rtl/>
        </w:rPr>
        <w:t xml:space="preserve"> מילי</w:t>
      </w:r>
      <w:r w:rsidR="00657198">
        <w:rPr>
          <w:rFonts w:ascii="Arial" w:hAnsi="Arial" w:cs="David" w:hint="cs"/>
          <w:rtl/>
        </w:rPr>
        <w:t>ונים</w:t>
      </w:r>
      <w:r w:rsidR="00551E55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בהלוואות לחו"ל</w:t>
      </w:r>
      <w:r w:rsidR="00044DBE">
        <w:rPr>
          <w:rFonts w:ascii="Arial" w:hAnsi="Arial" w:cs="David" w:hint="cs"/>
          <w:rtl/>
        </w:rPr>
        <w:t>. בנוסף נרשמו</w:t>
      </w:r>
      <w:r w:rsidR="00551E55">
        <w:rPr>
          <w:rFonts w:ascii="Arial" w:hAnsi="Arial" w:cs="David" w:hint="cs"/>
          <w:rtl/>
        </w:rPr>
        <w:t xml:space="preserve"> משיכ</w:t>
      </w:r>
      <w:r w:rsidR="00044DBE">
        <w:rPr>
          <w:rFonts w:ascii="Arial" w:hAnsi="Arial" w:cs="David" w:hint="cs"/>
          <w:rtl/>
        </w:rPr>
        <w:t>ות</w:t>
      </w:r>
      <w:r w:rsidR="00551E55">
        <w:rPr>
          <w:rFonts w:ascii="Arial" w:hAnsi="Arial" w:cs="David" w:hint="cs"/>
          <w:rtl/>
        </w:rPr>
        <w:t xml:space="preserve"> של כ-</w:t>
      </w:r>
      <w:r w:rsidR="00657198">
        <w:rPr>
          <w:rFonts w:ascii="Arial" w:hAnsi="Arial" w:cs="David" w:hint="cs"/>
          <w:rtl/>
        </w:rPr>
        <w:t>420 מיליונים ע"י תושבי ישראל מבנקים בחו"ל</w:t>
      </w:r>
      <w:r w:rsidR="00551E55">
        <w:rPr>
          <w:rFonts w:ascii="Arial" w:hAnsi="Arial" w:cs="David" w:hint="cs"/>
          <w:rtl/>
        </w:rPr>
        <w:t xml:space="preserve">. </w:t>
      </w:r>
    </w:p>
    <w:p w:rsidR="00D95369" w:rsidRPr="003F3174" w:rsidRDefault="00D95369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D95369">
        <w:rPr>
          <w:rFonts w:ascii="Arial" w:hAnsi="Arial" w:cs="David"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 xml:space="preserve">קטן </w:t>
      </w:r>
      <w:r w:rsidR="005D378E">
        <w:rPr>
          <w:rFonts w:ascii="Arial" w:hAnsi="Arial" w:cs="David" w:hint="cs"/>
          <w:rtl/>
        </w:rPr>
        <w:t xml:space="preserve">ברביע </w:t>
      </w:r>
      <w:r w:rsidR="00551E55">
        <w:rPr>
          <w:rFonts w:ascii="Arial" w:hAnsi="Arial" w:cs="David" w:hint="cs"/>
          <w:rtl/>
        </w:rPr>
        <w:t>ה</w:t>
      </w:r>
      <w:r w:rsidR="00657198">
        <w:rPr>
          <w:rFonts w:ascii="Arial" w:hAnsi="Arial" w:cs="David" w:hint="cs"/>
          <w:rtl/>
        </w:rPr>
        <w:t>שלישי</w:t>
      </w:r>
      <w:r w:rsidR="00D13C77">
        <w:rPr>
          <w:rFonts w:ascii="Arial" w:hAnsi="Arial" w:cs="David" w:hint="cs"/>
          <w:rtl/>
        </w:rPr>
        <w:t xml:space="preserve"> בכ-</w:t>
      </w:r>
      <w:r w:rsidR="00657198">
        <w:rPr>
          <w:rFonts w:ascii="Arial" w:hAnsi="Arial" w:cs="David" w:hint="cs"/>
          <w:rtl/>
        </w:rPr>
        <w:t>600</w:t>
      </w:r>
      <w:r w:rsidR="005D378E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מילי</w:t>
      </w:r>
      <w:r w:rsidR="00657198">
        <w:rPr>
          <w:rFonts w:ascii="Arial" w:hAnsi="Arial" w:cs="David" w:hint="cs"/>
          <w:rtl/>
        </w:rPr>
        <w:t>וני דולרים:</w:t>
      </w:r>
      <w:r w:rsidR="00D13C7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 xml:space="preserve">רכישות בסך של 1.9 מיליארדים אשר קוזזו </w:t>
      </w:r>
      <w:r w:rsidR="00EA785C">
        <w:rPr>
          <w:rFonts w:ascii="Arial" w:hAnsi="Arial" w:cs="David" w:hint="cs"/>
          <w:rtl/>
        </w:rPr>
        <w:t>בהשפעת</w:t>
      </w:r>
      <w:r w:rsidR="00657198">
        <w:rPr>
          <w:rFonts w:ascii="Arial" w:hAnsi="Arial" w:cs="David" w:hint="cs"/>
          <w:rtl/>
        </w:rPr>
        <w:t xml:space="preserve"> </w:t>
      </w:r>
      <w:r w:rsidR="004E5ADB" w:rsidRPr="004E5ADB">
        <w:rPr>
          <w:rFonts w:ascii="Arial" w:hAnsi="Arial" w:cs="David" w:hint="cs"/>
          <w:rtl/>
        </w:rPr>
        <w:t>התחזקות הדולר מול המטבעות העיקריים</w:t>
      </w:r>
      <w:r w:rsidR="004E5ADB">
        <w:rPr>
          <w:rFonts w:ascii="Arial" w:hAnsi="Arial" w:cs="David" w:hint="cs"/>
          <w:rtl/>
        </w:rPr>
        <w:t xml:space="preserve"> אשר הקטינה</w:t>
      </w:r>
      <w:r w:rsidR="00657198">
        <w:rPr>
          <w:rFonts w:ascii="Arial" w:hAnsi="Arial" w:cs="David" w:hint="cs"/>
          <w:rtl/>
        </w:rPr>
        <w:t xml:space="preserve"> את יתרת הרזרבות</w:t>
      </w:r>
      <w:r w:rsidR="005F0E74">
        <w:rPr>
          <w:rFonts w:ascii="Arial" w:hAnsi="Arial" w:cs="David" w:hint="cs"/>
          <w:rtl/>
        </w:rPr>
        <w:t xml:space="preserve"> במונחים דולריים</w:t>
      </w:r>
      <w:r w:rsidR="00657198">
        <w:rPr>
          <w:rFonts w:ascii="Arial" w:hAnsi="Arial" w:cs="David" w:hint="cs"/>
          <w:rtl/>
        </w:rPr>
        <w:t xml:space="preserve"> בכ-2.4 מיליארדים</w:t>
      </w:r>
      <w:r w:rsidR="00D13C77">
        <w:rPr>
          <w:rFonts w:ascii="Arial" w:hAnsi="Arial" w:cs="David" w:hint="cs"/>
          <w:rtl/>
        </w:rPr>
        <w:t>.</w:t>
      </w:r>
    </w:p>
    <w:p w:rsidR="0029548E" w:rsidRDefault="003D1887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C940F0">
        <w:rPr>
          <w:rFonts w:ascii="Arial" w:hAnsi="Arial" w:cs="David" w:hint="cs"/>
          <w:b/>
          <w:bCs/>
          <w:rtl/>
        </w:rPr>
        <w:t>ב</w:t>
      </w:r>
      <w:r w:rsidR="002E46BC" w:rsidRPr="00C940F0">
        <w:rPr>
          <w:rFonts w:ascii="Arial" w:hAnsi="Arial" w:cs="David" w:hint="cs"/>
          <w:b/>
          <w:bCs/>
          <w:rtl/>
        </w:rPr>
        <w:t xml:space="preserve">הרכב </w:t>
      </w:r>
      <w:r w:rsidR="00301474" w:rsidRPr="00C940F0">
        <w:rPr>
          <w:rFonts w:ascii="Arial" w:hAnsi="Arial" w:cs="David" w:hint="cs"/>
          <w:b/>
          <w:bCs/>
          <w:rtl/>
        </w:rPr>
        <w:t>ה</w:t>
      </w:r>
      <w:r w:rsidR="002E46BC" w:rsidRPr="00C940F0">
        <w:rPr>
          <w:rFonts w:ascii="Arial" w:hAnsi="Arial" w:cs="David"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A785C">
        <w:rPr>
          <w:rFonts w:ascii="Arial" w:hAnsi="Arial" w:cs="David" w:hint="cs"/>
          <w:rtl/>
        </w:rPr>
        <w:t xml:space="preserve">לא חלו שינויים משמעותיים ברביע השלישי של השנה. </w:t>
      </w:r>
      <w:r w:rsidR="00467F09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2</w:t>
      </w:r>
      <w:r w:rsidR="00467F09">
        <w:rPr>
          <w:rFonts w:ascii="Arial" w:hAnsi="Arial" w:cs="David" w:hint="cs"/>
          <w:rtl/>
        </w:rPr>
        <w:t xml:space="preserve">). </w:t>
      </w:r>
    </w:p>
    <w:p w:rsidR="00467F09" w:rsidRPr="00C940F0" w:rsidRDefault="0029548E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29548E">
        <w:rPr>
          <w:rFonts w:ascii="Arial" w:hAnsi="Arial" w:cs="David" w:hint="cs"/>
          <w:b/>
          <w:bCs/>
          <w:rtl/>
        </w:rPr>
        <w:t>בשנת 2014</w:t>
      </w:r>
      <w:r>
        <w:rPr>
          <w:rFonts w:ascii="Arial" w:hAnsi="Arial" w:cs="David" w:hint="cs"/>
          <w:rtl/>
        </w:rPr>
        <w:t xml:space="preserve"> התמנתה העלייה במשקל המניות בתיק וכן </w:t>
      </w:r>
      <w:r w:rsidR="00801E84">
        <w:rPr>
          <w:rFonts w:ascii="Arial" w:hAnsi="Arial" w:cs="David" w:hint="cs"/>
          <w:rtl/>
        </w:rPr>
        <w:t xml:space="preserve">התמתנה </w:t>
      </w:r>
      <w:r>
        <w:rPr>
          <w:rFonts w:ascii="Arial" w:hAnsi="Arial" w:cs="David" w:hint="cs"/>
          <w:rtl/>
        </w:rPr>
        <w:t>הירידה במשקל הפיקדונות בחו"ל, מגמות שהואצו מאוד לאחר ההתאוששות מהמשבר הפיננסי הגלובלי.</w:t>
      </w:r>
    </w:p>
    <w:p w:rsidR="00333E3E" w:rsidRDefault="00333E3E" w:rsidP="0004499D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333E3E" w:rsidRPr="00781463" w:rsidRDefault="00A96BF0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5939790" cy="3888105"/>
            <wp:effectExtent l="0" t="0" r="3810" b="0"/>
            <wp:docPr id="33" name="תמונה 33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84B" w:rsidRDefault="00BF23B9" w:rsidP="006F38F9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rtl/>
        </w:rPr>
        <w:br w:type="page"/>
      </w:r>
    </w:p>
    <w:p w:rsidR="00205E8F" w:rsidRPr="00A96BF0" w:rsidRDefault="00393B21" w:rsidP="00A96BF0">
      <w:pPr>
        <w:pStyle w:val="ad"/>
        <w:numPr>
          <w:ilvl w:val="0"/>
          <w:numId w:val="12"/>
        </w:num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A96BF0">
        <w:rPr>
          <w:rFonts w:ascii="Arial" w:hAnsi="Arial" w:cs="David" w:hint="cs"/>
          <w:b/>
          <w:bCs/>
          <w:rtl/>
        </w:rPr>
        <w:lastRenderedPageBreak/>
        <w:t>יתרת ההתחייבויו</w:t>
      </w:r>
      <w:r w:rsidRPr="00A96BF0">
        <w:rPr>
          <w:rFonts w:ascii="Arial" w:hAnsi="Arial" w:cs="David" w:hint="eastAsia"/>
          <w:b/>
          <w:bCs/>
          <w:rtl/>
        </w:rPr>
        <w:t>ת</w:t>
      </w:r>
      <w:r w:rsidRPr="00A96BF0">
        <w:rPr>
          <w:rFonts w:ascii="Arial" w:hAnsi="Arial" w:cs="David" w:hint="cs"/>
          <w:b/>
          <w:bCs/>
          <w:rtl/>
        </w:rPr>
        <w:t xml:space="preserve"> של המשק לחו"ל</w:t>
      </w:r>
      <w:r w:rsidRPr="00A96BF0">
        <w:rPr>
          <w:rFonts w:ascii="Arial" w:hAnsi="Arial" w:cs="David" w:hint="cs"/>
          <w:rtl/>
        </w:rPr>
        <w:t xml:space="preserve"> </w:t>
      </w:r>
      <w:r w:rsidR="007622E4" w:rsidRPr="00A96BF0">
        <w:rPr>
          <w:rFonts w:ascii="Arial" w:hAnsi="Arial" w:cs="David" w:hint="cs"/>
          <w:b/>
          <w:bCs/>
          <w:rtl/>
        </w:rPr>
        <w:t>עלתה</w:t>
      </w:r>
      <w:r w:rsidR="007622E4" w:rsidRPr="00A96BF0">
        <w:rPr>
          <w:rFonts w:ascii="Arial" w:hAnsi="Arial" w:cs="David" w:hint="cs"/>
          <w:rtl/>
        </w:rPr>
        <w:t xml:space="preserve"> </w:t>
      </w:r>
      <w:r w:rsidR="00205E8F" w:rsidRPr="00A96BF0">
        <w:rPr>
          <w:rFonts w:ascii="Arial" w:hAnsi="Arial" w:cs="David" w:hint="cs"/>
          <w:b/>
          <w:bCs/>
          <w:rtl/>
        </w:rPr>
        <w:t xml:space="preserve">במהלך </w:t>
      </w:r>
      <w:r w:rsidR="00255131" w:rsidRPr="00A96BF0">
        <w:rPr>
          <w:rFonts w:ascii="Arial" w:hAnsi="Arial" w:cs="David" w:hint="cs"/>
          <w:b/>
          <w:bCs/>
          <w:rtl/>
        </w:rPr>
        <w:t xml:space="preserve">הרביע </w:t>
      </w:r>
      <w:r w:rsidR="001B5E81" w:rsidRPr="00A96BF0">
        <w:rPr>
          <w:rFonts w:ascii="Arial" w:hAnsi="Arial" w:cs="David" w:hint="cs"/>
          <w:b/>
          <w:bCs/>
          <w:rtl/>
        </w:rPr>
        <w:t>ה</w:t>
      </w:r>
      <w:r w:rsidR="00901C8E" w:rsidRPr="00A96BF0">
        <w:rPr>
          <w:rFonts w:ascii="Arial" w:hAnsi="Arial" w:cs="David" w:hint="cs"/>
          <w:b/>
          <w:bCs/>
          <w:rtl/>
        </w:rPr>
        <w:t>שלישי</w:t>
      </w:r>
      <w:r w:rsidR="00255131" w:rsidRPr="00A96BF0">
        <w:rPr>
          <w:rFonts w:ascii="Arial" w:hAnsi="Arial" w:cs="David" w:hint="cs"/>
          <w:b/>
          <w:bCs/>
          <w:rtl/>
        </w:rPr>
        <w:t xml:space="preserve"> של שנת 2014</w:t>
      </w:r>
      <w:r w:rsidR="000C4143" w:rsidRPr="00A96BF0">
        <w:rPr>
          <w:rFonts w:ascii="Arial" w:hAnsi="Arial" w:cs="David" w:hint="cs"/>
          <w:b/>
          <w:bCs/>
          <w:rtl/>
        </w:rPr>
        <w:t xml:space="preserve"> </w:t>
      </w:r>
      <w:r w:rsidR="0055104F" w:rsidRPr="00A96BF0">
        <w:rPr>
          <w:rFonts w:ascii="Arial" w:hAnsi="Arial" w:cs="David" w:hint="cs"/>
          <w:rtl/>
        </w:rPr>
        <w:t>ב-</w:t>
      </w:r>
      <w:r w:rsidR="00901C8E" w:rsidRPr="00A96BF0">
        <w:rPr>
          <w:rFonts w:ascii="Arial" w:hAnsi="Arial" w:cs="David" w:hint="cs"/>
          <w:rtl/>
        </w:rPr>
        <w:t>4.1</w:t>
      </w:r>
      <w:r w:rsidR="0055104F" w:rsidRPr="00A96BF0">
        <w:rPr>
          <w:rFonts w:ascii="Arial" w:hAnsi="Arial" w:cs="David" w:hint="cs"/>
          <w:rtl/>
        </w:rPr>
        <w:t xml:space="preserve"> מיליארדי דולרים</w:t>
      </w:r>
      <w:r w:rsidR="001B5E81" w:rsidRPr="00A96BF0">
        <w:rPr>
          <w:rFonts w:ascii="Arial" w:hAnsi="Arial" w:cs="David" w:hint="cs"/>
          <w:rtl/>
        </w:rPr>
        <w:t xml:space="preserve"> (</w:t>
      </w:r>
      <w:r w:rsidR="00901C8E" w:rsidRPr="00A96BF0">
        <w:rPr>
          <w:rFonts w:ascii="Arial" w:hAnsi="Arial" w:cs="David" w:hint="cs"/>
          <w:rtl/>
        </w:rPr>
        <w:t>1</w:t>
      </w:r>
      <w:r w:rsidR="001B5E81" w:rsidRPr="00A96BF0">
        <w:rPr>
          <w:rFonts w:ascii="Arial" w:hAnsi="Arial" w:cs="David" w:hint="cs"/>
          <w:rtl/>
        </w:rPr>
        <w:t>.</w:t>
      </w:r>
      <w:r w:rsidR="00901C8E" w:rsidRPr="00A96BF0">
        <w:rPr>
          <w:rFonts w:ascii="Arial" w:hAnsi="Arial" w:cs="David" w:hint="cs"/>
          <w:rtl/>
        </w:rPr>
        <w:t>5</w:t>
      </w:r>
      <w:r w:rsidR="001B5E81" w:rsidRPr="00A96BF0">
        <w:rPr>
          <w:rFonts w:ascii="Arial" w:hAnsi="Arial" w:cs="David" w:hint="cs"/>
          <w:rtl/>
        </w:rPr>
        <w:t>%)</w:t>
      </w:r>
      <w:r w:rsidR="005324F5" w:rsidRPr="00A96BF0">
        <w:rPr>
          <w:rFonts w:ascii="Arial" w:hAnsi="Arial" w:cs="David" w:hint="cs"/>
          <w:rtl/>
        </w:rPr>
        <w:t xml:space="preserve">. </w:t>
      </w:r>
      <w:r w:rsidR="007622E4" w:rsidRPr="00A96BF0">
        <w:rPr>
          <w:rFonts w:ascii="Arial" w:hAnsi="Arial" w:cs="David" w:hint="cs"/>
          <w:rtl/>
        </w:rPr>
        <w:t>ה</w:t>
      </w:r>
      <w:r w:rsidR="00172E92" w:rsidRPr="00A96BF0">
        <w:rPr>
          <w:rFonts w:ascii="Arial" w:hAnsi="Arial" w:cs="David" w:hint="cs"/>
          <w:rtl/>
        </w:rPr>
        <w:t>גידול</w:t>
      </w:r>
      <w:r w:rsidR="007622E4" w:rsidRPr="00A96BF0">
        <w:rPr>
          <w:rFonts w:ascii="Arial" w:hAnsi="Arial" w:cs="David" w:hint="cs"/>
          <w:rtl/>
        </w:rPr>
        <w:t xml:space="preserve"> </w:t>
      </w:r>
      <w:r w:rsidR="00114EAF" w:rsidRPr="00A96BF0">
        <w:rPr>
          <w:rFonts w:ascii="Arial" w:hAnsi="Arial" w:cs="David" w:hint="cs"/>
          <w:rtl/>
        </w:rPr>
        <w:t>נבע</w:t>
      </w:r>
      <w:r w:rsidR="00AA4DF3" w:rsidRPr="00A96BF0">
        <w:rPr>
          <w:rFonts w:ascii="Arial" w:hAnsi="Arial" w:cs="David" w:hint="cs"/>
          <w:rtl/>
        </w:rPr>
        <w:t xml:space="preserve"> בעיקר מעליית מחירי המניות הישראליות שמחזיקים תושבי חוץ (2.6%), אך גם</w:t>
      </w:r>
      <w:r w:rsidR="00114EAF" w:rsidRPr="00A96BF0">
        <w:rPr>
          <w:rFonts w:ascii="Arial" w:hAnsi="Arial" w:cs="David" w:hint="cs"/>
          <w:rtl/>
        </w:rPr>
        <w:t xml:space="preserve"> </w:t>
      </w:r>
      <w:r w:rsidR="007622E4" w:rsidRPr="00A96BF0">
        <w:rPr>
          <w:rFonts w:ascii="Arial" w:hAnsi="Arial" w:cs="David" w:hint="cs"/>
          <w:rtl/>
        </w:rPr>
        <w:t>מ</w:t>
      </w:r>
      <w:r w:rsidR="00114EAF" w:rsidRPr="00A96BF0">
        <w:rPr>
          <w:rFonts w:ascii="Arial" w:hAnsi="Arial" w:cs="David" w:hint="cs"/>
          <w:rtl/>
        </w:rPr>
        <w:t>זרם</w:t>
      </w:r>
      <w:r w:rsidR="00AA4DF3" w:rsidRPr="00A96BF0">
        <w:rPr>
          <w:rFonts w:ascii="Arial" w:hAnsi="Arial" w:cs="David" w:hint="cs"/>
          <w:rtl/>
        </w:rPr>
        <w:t xml:space="preserve"> השקעות של</w:t>
      </w:r>
      <w:r w:rsidR="00114EAF" w:rsidRPr="00A96BF0">
        <w:rPr>
          <w:rFonts w:ascii="Arial" w:hAnsi="Arial" w:cs="David" w:hint="cs"/>
          <w:rtl/>
        </w:rPr>
        <w:t xml:space="preserve"> </w:t>
      </w:r>
      <w:r w:rsidR="00AA4DF3" w:rsidRPr="00A96BF0">
        <w:rPr>
          <w:rFonts w:ascii="Arial" w:hAnsi="Arial" w:cs="David" w:hint="cs"/>
          <w:rtl/>
        </w:rPr>
        <w:t>2.1</w:t>
      </w:r>
      <w:r w:rsidR="00901C8E" w:rsidRPr="00A96BF0">
        <w:rPr>
          <w:rFonts w:ascii="Arial" w:hAnsi="Arial" w:cs="David" w:hint="cs"/>
          <w:rtl/>
        </w:rPr>
        <w:t xml:space="preserve"> מיליארדי</w:t>
      </w:r>
      <w:r w:rsidR="00AA4DF3" w:rsidRPr="00A96BF0">
        <w:rPr>
          <w:rFonts w:ascii="Arial" w:hAnsi="Arial" w:cs="David" w:hint="cs"/>
          <w:rtl/>
        </w:rPr>
        <w:t xml:space="preserve"> דולרים</w:t>
      </w:r>
      <w:r w:rsidR="00901C8E" w:rsidRPr="00A96BF0">
        <w:rPr>
          <w:rFonts w:ascii="Arial" w:hAnsi="Arial" w:cs="David" w:hint="cs"/>
          <w:rtl/>
        </w:rPr>
        <w:t xml:space="preserve"> בהשקעות פיננסיות</w:t>
      </w:r>
      <w:r w:rsidR="00AA4DF3" w:rsidRPr="00A96BF0">
        <w:rPr>
          <w:rFonts w:ascii="Arial" w:hAnsi="Arial" w:cs="David" w:hint="cs"/>
          <w:rtl/>
        </w:rPr>
        <w:t>,</w:t>
      </w:r>
      <w:r w:rsidR="00901C8E" w:rsidRPr="00A96BF0">
        <w:rPr>
          <w:rFonts w:ascii="Arial" w:hAnsi="Arial" w:cs="David" w:hint="cs"/>
          <w:rtl/>
        </w:rPr>
        <w:t xml:space="preserve"> ושל 1</w:t>
      </w:r>
      <w:r w:rsidR="00CF5F1A" w:rsidRPr="00A96BF0">
        <w:rPr>
          <w:rFonts w:ascii="Arial" w:hAnsi="Arial" w:cs="David" w:hint="cs"/>
          <w:rtl/>
        </w:rPr>
        <w:t>.</w:t>
      </w:r>
      <w:r w:rsidR="00901C8E" w:rsidRPr="00A96BF0">
        <w:rPr>
          <w:rFonts w:ascii="Arial" w:hAnsi="Arial" w:cs="David" w:hint="cs"/>
          <w:rtl/>
        </w:rPr>
        <w:t>1</w:t>
      </w:r>
      <w:r w:rsidR="00CF5F1A" w:rsidRPr="00A96BF0">
        <w:rPr>
          <w:rFonts w:ascii="Arial" w:hAnsi="Arial" w:cs="David" w:hint="cs"/>
          <w:rtl/>
        </w:rPr>
        <w:t xml:space="preserve"> מיליארדים ב</w:t>
      </w:r>
      <w:r w:rsidR="007622E4" w:rsidRPr="00A96BF0">
        <w:rPr>
          <w:rFonts w:ascii="Arial" w:hAnsi="Arial" w:cs="David" w:hint="cs"/>
          <w:rtl/>
        </w:rPr>
        <w:t xml:space="preserve">השקעות </w:t>
      </w:r>
      <w:r w:rsidR="00CF5F1A" w:rsidRPr="00A96BF0">
        <w:rPr>
          <w:rFonts w:ascii="Arial" w:hAnsi="Arial" w:cs="David" w:hint="cs"/>
          <w:rtl/>
        </w:rPr>
        <w:t>ה</w:t>
      </w:r>
      <w:r w:rsidR="007622E4" w:rsidRPr="00A96BF0">
        <w:rPr>
          <w:rFonts w:ascii="Arial" w:hAnsi="Arial" w:cs="David" w:hint="cs"/>
          <w:rtl/>
        </w:rPr>
        <w:t>ישירות במשק</w:t>
      </w:r>
      <w:r w:rsidR="00CF5F1A" w:rsidRPr="00A96BF0">
        <w:rPr>
          <w:rFonts w:ascii="Arial" w:hAnsi="Arial" w:cs="David" w:hint="cs"/>
          <w:rtl/>
        </w:rPr>
        <w:t xml:space="preserve">. </w:t>
      </w:r>
    </w:p>
    <w:p w:rsidR="005D09C7" w:rsidRDefault="00390C6E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>שווי התיק הפיננסי 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>
        <w:rPr>
          <w:rFonts w:ascii="Arial" w:hAnsi="Arial" w:cs="David" w:hint="cs"/>
          <w:rtl/>
        </w:rPr>
        <w:t>עלה ברביע ה</w:t>
      </w:r>
      <w:r w:rsidR="001D6750">
        <w:rPr>
          <w:rFonts w:ascii="Arial" w:hAnsi="Arial" w:cs="David" w:hint="cs"/>
          <w:rtl/>
        </w:rPr>
        <w:t>שלישי</w:t>
      </w:r>
      <w:r>
        <w:rPr>
          <w:rFonts w:ascii="Arial" w:hAnsi="Arial" w:cs="David" w:hint="cs"/>
          <w:rtl/>
        </w:rPr>
        <w:t xml:space="preserve"> ב</w:t>
      </w:r>
      <w:r w:rsidRPr="003F3174">
        <w:rPr>
          <w:rFonts w:ascii="Arial" w:hAnsi="Arial" w:cs="David" w:hint="cs"/>
          <w:rtl/>
        </w:rPr>
        <w:t>-</w:t>
      </w:r>
      <w:r w:rsidR="006F38F9">
        <w:rPr>
          <w:rFonts w:ascii="Arial" w:hAnsi="Arial" w:cs="David" w:hint="cs"/>
          <w:rtl/>
        </w:rPr>
        <w:t xml:space="preserve">1.2 </w:t>
      </w:r>
      <w:r w:rsidRPr="003F3174">
        <w:rPr>
          <w:rFonts w:ascii="Arial" w:hAnsi="Arial" w:cs="David" w:hint="cs"/>
          <w:rtl/>
        </w:rPr>
        <w:t>מיליארדי</w:t>
      </w:r>
      <w:r>
        <w:rPr>
          <w:rFonts w:ascii="Arial" w:hAnsi="Arial" w:cs="David" w:hint="cs"/>
          <w:rtl/>
        </w:rPr>
        <w:t xml:space="preserve"> דולרים (</w:t>
      </w:r>
      <w:r w:rsidR="006F38F9">
        <w:rPr>
          <w:rFonts w:ascii="Arial" w:hAnsi="Arial" w:cs="David" w:hint="cs"/>
          <w:rtl/>
        </w:rPr>
        <w:t>3.6</w:t>
      </w:r>
      <w:r>
        <w:rPr>
          <w:rFonts w:ascii="Arial" w:hAnsi="Arial" w:cs="David" w:hint="cs"/>
          <w:rtl/>
        </w:rPr>
        <w:t xml:space="preserve">%) </w:t>
      </w:r>
      <w:r w:rsidRPr="003F3174">
        <w:rPr>
          <w:rFonts w:ascii="Arial" w:hAnsi="Arial" w:cs="David" w:hint="cs"/>
          <w:rtl/>
        </w:rPr>
        <w:t xml:space="preserve">ועמד בסוף </w:t>
      </w:r>
      <w:r>
        <w:rPr>
          <w:rFonts w:ascii="Arial" w:hAnsi="Arial" w:cs="David" w:hint="cs"/>
          <w:rtl/>
        </w:rPr>
        <w:t>הרביע</w:t>
      </w:r>
      <w:r w:rsidRPr="003F3174">
        <w:rPr>
          <w:rFonts w:ascii="Arial" w:hAnsi="Arial" w:cs="David" w:hint="cs"/>
          <w:rtl/>
        </w:rPr>
        <w:t xml:space="preserve"> על כ-</w:t>
      </w:r>
      <w:r w:rsidR="006F38F9">
        <w:rPr>
          <w:rFonts w:ascii="Arial" w:hAnsi="Arial" w:cs="David" w:hint="cs"/>
          <w:rtl/>
        </w:rPr>
        <w:t>34</w:t>
      </w:r>
      <w:r w:rsidRPr="003F3174">
        <w:rPr>
          <w:rFonts w:ascii="Arial" w:hAnsi="Arial" w:cs="David" w:hint="cs"/>
          <w:rtl/>
        </w:rPr>
        <w:t xml:space="preserve"> מיליארדים</w:t>
      </w:r>
      <w:r w:rsidR="003F3174" w:rsidRPr="003F3174">
        <w:rPr>
          <w:rFonts w:ascii="Arial" w:hAnsi="Arial" w:cs="David" w:hint="cs"/>
          <w:rtl/>
        </w:rPr>
        <w:t>.</w:t>
      </w:r>
      <w:r w:rsidR="004D7E3C" w:rsidRPr="003F3174">
        <w:rPr>
          <w:rFonts w:ascii="Arial" w:hAnsi="Arial" w:cs="David" w:hint="cs"/>
          <w:rtl/>
        </w:rPr>
        <w:t xml:space="preserve"> </w:t>
      </w:r>
      <w:r w:rsidR="00CF5F1A">
        <w:rPr>
          <w:rFonts w:ascii="Arial" w:hAnsi="Arial" w:cs="David" w:hint="cs"/>
          <w:rtl/>
        </w:rPr>
        <w:t xml:space="preserve">השקעות של </w:t>
      </w:r>
      <w:r w:rsidR="006F38F9">
        <w:rPr>
          <w:rFonts w:ascii="Arial" w:hAnsi="Arial" w:cs="David" w:hint="cs"/>
          <w:rtl/>
        </w:rPr>
        <w:t>2.</w:t>
      </w:r>
      <w:r w:rsidR="009D1AB3">
        <w:rPr>
          <w:rFonts w:ascii="Arial" w:hAnsi="Arial" w:cs="David" w:hint="cs"/>
          <w:rtl/>
        </w:rPr>
        <w:t>3</w:t>
      </w:r>
      <w:r w:rsidR="00395622">
        <w:rPr>
          <w:rFonts w:ascii="Arial" w:hAnsi="Arial" w:cs="David" w:hint="cs"/>
          <w:rtl/>
        </w:rPr>
        <w:t xml:space="preserve"> מיליארדים </w:t>
      </w:r>
      <w:r w:rsidR="00CF5F1A">
        <w:rPr>
          <w:rFonts w:ascii="Arial" w:hAnsi="Arial" w:cs="David" w:hint="cs"/>
          <w:rtl/>
        </w:rPr>
        <w:t xml:space="preserve">בתיק הסחיר </w:t>
      </w:r>
      <w:r>
        <w:rPr>
          <w:rFonts w:ascii="Arial" w:hAnsi="Arial" w:cs="David" w:hint="cs"/>
          <w:rtl/>
        </w:rPr>
        <w:t>בארץ</w:t>
      </w:r>
      <w:r w:rsidR="00CF5F1A">
        <w:rPr>
          <w:rFonts w:ascii="Arial" w:hAnsi="Arial" w:cs="David" w:hint="cs"/>
          <w:rtl/>
        </w:rPr>
        <w:t xml:space="preserve"> (מניות ואג"ח) קוזזו </w:t>
      </w:r>
      <w:r>
        <w:rPr>
          <w:rFonts w:ascii="Arial" w:hAnsi="Arial" w:cs="David" w:hint="cs"/>
          <w:rtl/>
        </w:rPr>
        <w:t>בחלקן</w:t>
      </w:r>
      <w:r w:rsidR="00CF5F1A">
        <w:rPr>
          <w:rFonts w:ascii="Arial" w:hAnsi="Arial" w:cs="David" w:hint="cs"/>
          <w:rtl/>
        </w:rPr>
        <w:t xml:space="preserve"> ע"י </w:t>
      </w:r>
      <w:r w:rsidR="00AF3DDC">
        <w:rPr>
          <w:rFonts w:ascii="Arial" w:hAnsi="Arial" w:cs="David" w:hint="cs"/>
          <w:rtl/>
        </w:rPr>
        <w:t xml:space="preserve">השפעת </w:t>
      </w:r>
      <w:r w:rsidR="004E5ADB" w:rsidRPr="004E5ADB">
        <w:rPr>
          <w:rFonts w:ascii="Arial" w:hAnsi="Arial" w:cs="David" w:hint="cs"/>
          <w:rtl/>
        </w:rPr>
        <w:t>פיחות</w:t>
      </w:r>
      <w:r w:rsidR="00AF3DDC">
        <w:rPr>
          <w:rFonts w:ascii="Arial" w:hAnsi="Arial" w:cs="David" w:hint="cs"/>
          <w:rtl/>
        </w:rPr>
        <w:t xml:space="preserve"> השקל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806E82" w:rsidRPr="003F3174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623EA3" w:rsidRDefault="00A96BF0" w:rsidP="00801E84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5939790" cy="3888105"/>
            <wp:effectExtent l="0" t="0" r="3810" b="0"/>
            <wp:docPr id="34" name="תמונה 34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D08" w:rsidRDefault="00BF23B9" w:rsidP="00BF23B9">
      <w:pPr>
        <w:spacing w:line="360" w:lineRule="auto"/>
        <w:jc w:val="both"/>
        <w:rPr>
          <w:rFonts w:hint="cs"/>
          <w:rtl/>
        </w:rPr>
      </w:pPr>
      <w:r>
        <w:rPr>
          <w:rtl/>
        </w:rPr>
        <w:br w:type="page"/>
      </w:r>
    </w:p>
    <w:p w:rsidR="009522BF" w:rsidRPr="00A96BF0" w:rsidRDefault="009522BF" w:rsidP="00A96BF0">
      <w:pPr>
        <w:pStyle w:val="ad"/>
        <w:numPr>
          <w:ilvl w:val="0"/>
          <w:numId w:val="12"/>
        </w:numPr>
        <w:spacing w:line="480" w:lineRule="auto"/>
        <w:jc w:val="both"/>
        <w:rPr>
          <w:rFonts w:ascii="Arial" w:hAnsi="Arial" w:cs="David" w:hint="cs"/>
          <w:b/>
          <w:bCs/>
          <w:rtl/>
        </w:rPr>
      </w:pPr>
      <w:r w:rsidRPr="00A96BF0">
        <w:rPr>
          <w:rFonts w:ascii="Arial" w:hAnsi="Arial" w:cs="David" w:hint="cs"/>
          <w:b/>
          <w:bCs/>
          <w:rtl/>
        </w:rPr>
        <w:lastRenderedPageBreak/>
        <w:t xml:space="preserve">החוב החיצוני </w:t>
      </w:r>
      <w:r w:rsidR="00921B27" w:rsidRPr="00A96BF0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AE53C1">
        <w:rPr>
          <w:rFonts w:ascii="Arial" w:hAnsi="Arial" w:cs="David" w:hint="cs"/>
          <w:rtl/>
        </w:rPr>
        <w:t xml:space="preserve">ירד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D77097">
        <w:rPr>
          <w:rFonts w:ascii="Arial" w:hAnsi="Arial" w:cs="David" w:hint="cs"/>
          <w:b/>
          <w:bCs/>
          <w:rtl/>
        </w:rPr>
        <w:t xml:space="preserve">הרביע </w:t>
      </w:r>
      <w:r w:rsidR="00234D80">
        <w:rPr>
          <w:rFonts w:ascii="Arial" w:hAnsi="Arial" w:cs="David" w:hint="cs"/>
          <w:b/>
          <w:bCs/>
          <w:rtl/>
        </w:rPr>
        <w:t>ה</w:t>
      </w:r>
      <w:r w:rsidR="00AE53C1">
        <w:rPr>
          <w:rFonts w:ascii="Arial" w:hAnsi="Arial" w:cs="David" w:hint="cs"/>
          <w:b/>
          <w:bCs/>
          <w:rtl/>
        </w:rPr>
        <w:t>שלישי</w:t>
      </w:r>
      <w:r w:rsidR="00D77097">
        <w:rPr>
          <w:rFonts w:ascii="Arial" w:hAnsi="Arial" w:cs="David" w:hint="cs"/>
          <w:b/>
          <w:bCs/>
          <w:rtl/>
        </w:rPr>
        <w:t xml:space="preserve"> של שנת </w:t>
      </w:r>
      <w:r w:rsidR="00C940F0">
        <w:rPr>
          <w:rFonts w:ascii="Arial" w:hAnsi="Arial" w:cs="David" w:hint="cs"/>
          <w:b/>
          <w:bCs/>
          <w:rtl/>
        </w:rPr>
        <w:t>2014</w:t>
      </w:r>
      <w:r w:rsidR="00906A8F">
        <w:rPr>
          <w:rFonts w:ascii="Arial" w:hAnsi="Arial" w:cs="David" w:hint="cs"/>
          <w:b/>
          <w:bCs/>
          <w:rtl/>
        </w:rPr>
        <w:t>,</w:t>
      </w:r>
      <w:r w:rsidR="00C940F0">
        <w:rPr>
          <w:rFonts w:ascii="Arial" w:hAnsi="Arial" w:cs="David" w:hint="cs"/>
          <w:b/>
          <w:bCs/>
          <w:rtl/>
        </w:rPr>
        <w:t xml:space="preserve"> </w:t>
      </w:r>
      <w:r w:rsidR="00906A8F">
        <w:rPr>
          <w:rFonts w:ascii="Arial" w:hAnsi="Arial" w:cs="David" w:hint="cs"/>
          <w:rtl/>
        </w:rPr>
        <w:t>בכ</w:t>
      </w:r>
      <w:r w:rsidR="00AE53C1">
        <w:rPr>
          <w:rFonts w:ascii="Arial" w:hAnsi="Arial" w:cs="David" w:hint="cs"/>
          <w:rtl/>
        </w:rPr>
        <w:t>מיליארד</w:t>
      </w:r>
      <w:r w:rsidR="00801E84">
        <w:rPr>
          <w:rFonts w:ascii="Arial" w:hAnsi="Arial" w:cs="David" w:hint="cs"/>
          <w:rtl/>
        </w:rPr>
        <w:t xml:space="preserve"> דולר</w:t>
      </w:r>
      <w:r w:rsidRPr="003F3174">
        <w:rPr>
          <w:rFonts w:ascii="Arial" w:hAnsi="Arial" w:cs="David" w:hint="cs"/>
          <w:rtl/>
        </w:rPr>
        <w:t xml:space="preserve"> (</w:t>
      </w:r>
      <w:r w:rsidR="00282AB9">
        <w:rPr>
          <w:rFonts w:ascii="Arial" w:hAnsi="Arial" w:cs="David" w:hint="cs"/>
          <w:rtl/>
        </w:rPr>
        <w:t>1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 xml:space="preserve">הירידה משקפת </w:t>
      </w:r>
      <w:r w:rsidR="00801E84">
        <w:rPr>
          <w:rFonts w:ascii="Arial" w:hAnsi="Arial" w:cs="David" w:hint="cs"/>
          <w:rtl/>
        </w:rPr>
        <w:t>פדיונות</w:t>
      </w:r>
      <w:r w:rsidR="001F6055" w:rsidRPr="003F3174">
        <w:rPr>
          <w:rFonts w:ascii="Arial" w:hAnsi="Arial" w:cs="David" w:hint="cs"/>
          <w:rtl/>
        </w:rPr>
        <w:t xml:space="preserve"> של תושבי חוץ </w:t>
      </w:r>
      <w:r w:rsidR="001F6055">
        <w:rPr>
          <w:rFonts w:ascii="Arial" w:hAnsi="Arial" w:cs="David" w:hint="cs"/>
          <w:rtl/>
        </w:rPr>
        <w:t>מ</w:t>
      </w:r>
      <w:r w:rsidR="001F6055" w:rsidRPr="003F3174">
        <w:rPr>
          <w:rFonts w:ascii="Arial" w:hAnsi="Arial" w:cs="David" w:hint="cs"/>
          <w:rtl/>
        </w:rPr>
        <w:t>פיקדונות בבנקים ישראלים</w:t>
      </w:r>
      <w:r w:rsidR="001F6055">
        <w:rPr>
          <w:rFonts w:ascii="Arial" w:hAnsi="Arial" w:cs="David" w:hint="cs"/>
          <w:rtl/>
        </w:rPr>
        <w:t>,</w:t>
      </w:r>
      <w:r w:rsidR="001F6055" w:rsidRPr="001F6055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 xml:space="preserve">ירידה ביתרת הלוואות הבעלים ואת השפעת התחזקות הדולר; אלו קוזזו בחלקם  </w:t>
      </w:r>
      <w:r w:rsidR="00801E84">
        <w:rPr>
          <w:rFonts w:ascii="Arial" w:hAnsi="Arial" w:cs="David" w:hint="cs"/>
          <w:rtl/>
        </w:rPr>
        <w:t xml:space="preserve">ע"י </w:t>
      </w:r>
      <w:r w:rsidR="003C7778" w:rsidRPr="005551C0">
        <w:rPr>
          <w:rFonts w:ascii="Arial" w:hAnsi="Arial" w:cs="David" w:hint="cs"/>
          <w:rtl/>
        </w:rPr>
        <w:t xml:space="preserve">עלייה בשווי </w:t>
      </w:r>
      <w:r w:rsidR="005551C0">
        <w:rPr>
          <w:rFonts w:ascii="Arial" w:hAnsi="Arial" w:cs="David" w:hint="cs"/>
          <w:rtl/>
        </w:rPr>
        <w:t xml:space="preserve">יתרת </w:t>
      </w:r>
      <w:r w:rsidR="003C7778" w:rsidRPr="005551C0">
        <w:rPr>
          <w:rFonts w:ascii="Arial" w:hAnsi="Arial" w:cs="David" w:hint="cs"/>
          <w:rtl/>
        </w:rPr>
        <w:t>האג"ח השקליות</w:t>
      </w:r>
      <w:r w:rsidR="003C7778">
        <w:rPr>
          <w:rFonts w:ascii="Arial" w:hAnsi="Arial" w:cs="David" w:hint="cs"/>
          <w:rtl/>
        </w:rPr>
        <w:t xml:space="preserve"> בבורסה בת"א</w:t>
      </w:r>
      <w:r w:rsidR="001F6055">
        <w:rPr>
          <w:rFonts w:ascii="Arial" w:hAnsi="Arial" w:cs="David" w:hint="cs"/>
          <w:rtl/>
        </w:rPr>
        <w:t>,</w:t>
      </w:r>
      <w:r w:rsidR="003C7778">
        <w:rPr>
          <w:rFonts w:ascii="Arial" w:hAnsi="Arial" w:cs="David" w:hint="cs"/>
          <w:rtl/>
        </w:rPr>
        <w:t xml:space="preserve"> וגידול בפיקדונות של בנקים זרים בארץ</w:t>
      </w:r>
      <w:r w:rsidR="001F6055">
        <w:rPr>
          <w:rFonts w:ascii="Arial" w:hAnsi="Arial" w:cs="David" w:hint="cs"/>
          <w:rtl/>
        </w:rPr>
        <w:t>.</w:t>
      </w:r>
    </w:p>
    <w:p w:rsidR="00846D0E" w:rsidRDefault="009522BF" w:rsidP="00B341F4">
      <w:pPr>
        <w:spacing w:line="480" w:lineRule="auto"/>
        <w:ind w:right="426"/>
        <w:jc w:val="both"/>
        <w:rPr>
          <w:rFonts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B80CBB">
        <w:rPr>
          <w:rFonts w:ascii="Arial" w:hAnsi="Arial" w:cs="David" w:hint="cs"/>
          <w:rtl/>
        </w:rPr>
        <w:t>עלה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D77097">
        <w:rPr>
          <w:rFonts w:ascii="Arial" w:hAnsi="Arial" w:cs="David" w:hint="cs"/>
          <w:rtl/>
        </w:rPr>
        <w:t xml:space="preserve">ברביע </w:t>
      </w:r>
      <w:r w:rsidR="00234D80">
        <w:rPr>
          <w:rFonts w:ascii="Arial" w:hAnsi="Arial" w:cs="David" w:hint="cs"/>
          <w:rtl/>
        </w:rPr>
        <w:t>ה</w:t>
      </w:r>
      <w:r w:rsidR="00B80CBB">
        <w:rPr>
          <w:rFonts w:ascii="Arial" w:hAnsi="Arial" w:cs="David" w:hint="cs"/>
          <w:rtl/>
        </w:rPr>
        <w:t>שלישי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C940F0">
        <w:rPr>
          <w:rFonts w:ascii="Arial" w:hAnsi="Arial" w:cs="David" w:hint="cs"/>
          <w:rtl/>
        </w:rPr>
        <w:t>ב</w:t>
      </w:r>
      <w:r w:rsidR="007705DB" w:rsidRPr="00C30766">
        <w:rPr>
          <w:rFonts w:ascii="Arial" w:hAnsi="Arial" w:cs="David" w:hint="cs"/>
          <w:rtl/>
        </w:rPr>
        <w:t>-</w:t>
      </w:r>
      <w:r w:rsidR="00B80CBB">
        <w:rPr>
          <w:rFonts w:ascii="Arial" w:hAnsi="Arial" w:cs="David" w:hint="cs"/>
          <w:rtl/>
        </w:rPr>
        <w:t>1.9</w:t>
      </w:r>
      <w:r w:rsidR="00234D80">
        <w:rPr>
          <w:rFonts w:ascii="Arial" w:hAnsi="Arial" w:cs="David" w:hint="cs"/>
          <w:rtl/>
        </w:rPr>
        <w:t xml:space="preserve"> </w:t>
      </w:r>
      <w:r w:rsidR="007705DB" w:rsidRPr="00C30766">
        <w:rPr>
          <w:rFonts w:ascii="Arial" w:hAnsi="Arial" w:cs="David" w:hint="cs"/>
          <w:rtl/>
        </w:rPr>
        <w:t xml:space="preserve">נקודות </w:t>
      </w:r>
      <w:r w:rsidR="00C940F0">
        <w:rPr>
          <w:rFonts w:ascii="Arial" w:hAnsi="Arial" w:cs="David" w:hint="cs"/>
          <w:rtl/>
        </w:rPr>
        <w:t>אחוז</w:t>
      </w:r>
      <w:r w:rsidR="00B80CBB" w:rsidRPr="00B80CBB">
        <w:rPr>
          <w:rFonts w:ascii="Arial" w:hAnsi="Arial" w:cs="David" w:hint="cs"/>
          <w:rtl/>
        </w:rPr>
        <w:t xml:space="preserve"> </w:t>
      </w:r>
      <w:r w:rsidR="00B80CBB">
        <w:rPr>
          <w:rFonts w:ascii="Arial" w:hAnsi="Arial" w:cs="David" w:hint="cs"/>
          <w:rtl/>
        </w:rPr>
        <w:t xml:space="preserve">ועמד בסוף ספטמבר </w:t>
      </w:r>
      <w:r w:rsidR="00B80CBB" w:rsidRPr="00C30766">
        <w:rPr>
          <w:rFonts w:ascii="Arial" w:hAnsi="Arial" w:cs="David" w:hint="cs"/>
          <w:rtl/>
        </w:rPr>
        <w:t xml:space="preserve">על </w:t>
      </w:r>
      <w:r w:rsidR="00B80CBB">
        <w:rPr>
          <w:rFonts w:ascii="Arial" w:hAnsi="Arial" w:cs="David" w:hint="cs"/>
          <w:rtl/>
        </w:rPr>
        <w:t>34.4</w:t>
      </w:r>
      <w:r w:rsidR="00B80CBB" w:rsidRPr="00C30766">
        <w:rPr>
          <w:rFonts w:ascii="Arial" w:hAnsi="Arial" w:cs="David" w:hint="cs"/>
          <w:rtl/>
        </w:rPr>
        <w:t>%</w:t>
      </w:r>
      <w:r w:rsidR="00C940F0">
        <w:rPr>
          <w:rFonts w:ascii="Arial" w:hAnsi="Arial" w:cs="David" w:hint="cs"/>
          <w:rtl/>
        </w:rPr>
        <w:t xml:space="preserve">, זאת </w:t>
      </w:r>
      <w:r w:rsidR="00C30766" w:rsidRPr="00C30766">
        <w:rPr>
          <w:rFonts w:ascii="Arial" w:hAnsi="Arial" w:cs="David" w:hint="cs"/>
          <w:rtl/>
        </w:rPr>
        <w:t>ב</w:t>
      </w:r>
      <w:r w:rsidR="00B80CBB">
        <w:rPr>
          <w:rFonts w:ascii="Arial" w:hAnsi="Arial" w:cs="David" w:hint="cs"/>
          <w:rtl/>
        </w:rPr>
        <w:t>המשך ל</w:t>
      </w:r>
      <w:r w:rsidR="001F6055">
        <w:rPr>
          <w:rFonts w:ascii="Arial" w:hAnsi="Arial" w:cs="David" w:hint="cs"/>
          <w:rtl/>
        </w:rPr>
        <w:t>עלייה של 1.2 נקודות אחוז ביחס גם ברביע הקודם</w:t>
      </w:r>
      <w:r w:rsidR="00B80CBB">
        <w:rPr>
          <w:rFonts w:ascii="Arial" w:hAnsi="Arial" w:cs="David" w:hint="cs"/>
          <w:rtl/>
        </w:rPr>
        <w:t xml:space="preserve">. </w:t>
      </w:r>
      <w:r w:rsidR="00C30766" w:rsidRPr="00C30766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4</w:t>
      </w:r>
      <w:r w:rsidR="00C30766" w:rsidRPr="00C30766">
        <w:rPr>
          <w:rFonts w:ascii="Arial" w:hAnsi="Arial" w:cs="David" w:hint="cs"/>
          <w:rtl/>
        </w:rPr>
        <w:t xml:space="preserve">). </w:t>
      </w:r>
    </w:p>
    <w:p w:rsidR="00170587" w:rsidRDefault="00A96BF0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5939790" cy="3888105"/>
            <wp:effectExtent l="0" t="0" r="3810" b="0"/>
            <wp:docPr id="35" name="תמונה 35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D08" w:rsidRDefault="00BF23B9" w:rsidP="00BF23B9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rtl/>
        </w:rPr>
        <w:br w:type="page"/>
      </w:r>
    </w:p>
    <w:p w:rsidR="00B516A1" w:rsidRPr="00690E6A" w:rsidRDefault="00B516A1" w:rsidP="00B516A1">
      <w:pPr>
        <w:jc w:val="both"/>
        <w:rPr>
          <w:rFonts w:ascii="Arial" w:hAnsi="Arial" w:cs="David" w:hint="cs"/>
          <w:b/>
          <w:bCs/>
          <w:rtl/>
        </w:rPr>
      </w:pPr>
    </w:p>
    <w:p w:rsidR="001F545C" w:rsidRPr="00A96BF0" w:rsidRDefault="005F7ED1" w:rsidP="00A96BF0">
      <w:pPr>
        <w:pStyle w:val="ad"/>
        <w:numPr>
          <w:ilvl w:val="0"/>
          <w:numId w:val="12"/>
        </w:numPr>
        <w:spacing w:line="48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A96BF0">
        <w:rPr>
          <w:rFonts w:ascii="Arial" w:hAnsi="Arial" w:cs="David" w:hint="cs"/>
          <w:b/>
          <w:bCs/>
          <w:rtl/>
        </w:rPr>
        <w:t>ה</w:t>
      </w:r>
      <w:r w:rsidR="009522BF" w:rsidRPr="00A96BF0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D77097" w:rsidRPr="00690E6A">
        <w:rPr>
          <w:rFonts w:ascii="Arial" w:hAnsi="Arial" w:cs="David" w:hint="cs"/>
          <w:rtl/>
        </w:rPr>
        <w:t xml:space="preserve">ברביע </w:t>
      </w:r>
      <w:r w:rsidR="00F54E7B">
        <w:rPr>
          <w:rFonts w:ascii="Arial" w:hAnsi="Arial" w:cs="David" w:hint="cs"/>
          <w:rtl/>
        </w:rPr>
        <w:t>ה</w:t>
      </w:r>
      <w:r w:rsidR="0066390E">
        <w:rPr>
          <w:rFonts w:ascii="Arial" w:hAnsi="Arial" w:cs="David" w:hint="cs"/>
          <w:rtl/>
        </w:rPr>
        <w:t xml:space="preserve">שלישי </w:t>
      </w:r>
      <w:r w:rsidR="00E166FF" w:rsidRPr="00690E6A">
        <w:rPr>
          <w:rFonts w:ascii="Arial" w:hAnsi="Arial" w:cs="David" w:hint="cs"/>
          <w:rtl/>
        </w:rPr>
        <w:t>ב-</w:t>
      </w:r>
      <w:r w:rsidR="0066390E">
        <w:rPr>
          <w:rFonts w:ascii="Arial" w:hAnsi="Arial" w:cs="David" w:hint="cs"/>
          <w:rtl/>
        </w:rPr>
        <w:t>1</w:t>
      </w:r>
      <w:r w:rsidR="00F54E7B">
        <w:rPr>
          <w:rFonts w:ascii="Arial" w:hAnsi="Arial" w:cs="David" w:hint="cs"/>
          <w:rtl/>
        </w:rPr>
        <w:t>.</w:t>
      </w:r>
      <w:r w:rsidR="0066390E">
        <w:rPr>
          <w:rFonts w:ascii="Arial" w:hAnsi="Arial" w:cs="David" w:hint="cs"/>
          <w:rtl/>
        </w:rPr>
        <w:t>5</w:t>
      </w:r>
      <w:r w:rsidR="00E166FF" w:rsidRPr="00690E6A">
        <w:rPr>
          <w:rFonts w:ascii="Arial" w:hAnsi="Arial" w:cs="David" w:hint="cs"/>
          <w:rtl/>
        </w:rPr>
        <w:t xml:space="preserve"> מיליארדי 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66390E">
        <w:rPr>
          <w:rFonts w:ascii="Arial" w:hAnsi="Arial" w:cs="David" w:hint="cs"/>
          <w:rtl/>
        </w:rPr>
        <w:t>1</w:t>
      </w:r>
      <w:r w:rsidR="00F54E7B">
        <w:rPr>
          <w:rFonts w:ascii="Arial" w:hAnsi="Arial" w:cs="David" w:hint="cs"/>
          <w:rtl/>
        </w:rPr>
        <w:t>.</w:t>
      </w:r>
      <w:r w:rsidR="0066390E">
        <w:rPr>
          <w:rFonts w:ascii="Arial" w:hAnsi="Arial" w:cs="David" w:hint="cs"/>
          <w:rtl/>
        </w:rPr>
        <w:t>7</w:t>
      </w:r>
      <w:r w:rsidR="005465BF" w:rsidRPr="00690E6A">
        <w:rPr>
          <w:rFonts w:ascii="Arial" w:hAnsi="Arial" w:cs="David" w:hint="cs"/>
          <w:rtl/>
        </w:rPr>
        <w:t xml:space="preserve">%) </w:t>
      </w:r>
      <w:r w:rsidRPr="00690E6A">
        <w:rPr>
          <w:rFonts w:ascii="Arial" w:hAnsi="Arial" w:cs="David" w:hint="cs"/>
          <w:rtl/>
        </w:rPr>
        <w:t xml:space="preserve">ועמד בסוף </w:t>
      </w:r>
      <w:r w:rsidR="0066390E">
        <w:rPr>
          <w:rFonts w:ascii="Arial" w:hAnsi="Arial" w:cs="David" w:hint="cs"/>
          <w:rtl/>
        </w:rPr>
        <w:t>ספטמבר</w:t>
      </w:r>
      <w:r w:rsidRPr="00690E6A">
        <w:rPr>
          <w:rFonts w:ascii="Arial" w:hAnsi="Arial" w:cs="David" w:hint="cs"/>
          <w:rtl/>
        </w:rPr>
        <w:t xml:space="preserve"> על כ-</w:t>
      </w:r>
      <w:r w:rsidR="0066390E">
        <w:rPr>
          <w:rFonts w:ascii="Arial" w:hAnsi="Arial" w:cs="David" w:hint="cs"/>
          <w:rtl/>
        </w:rPr>
        <w:t>90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B341F4">
      <w:pPr>
        <w:spacing w:line="480" w:lineRule="auto"/>
        <w:ind w:right="426"/>
        <w:jc w:val="both"/>
        <w:rPr>
          <w:rFonts w:ascii="Arial" w:hAnsi="Arial" w:cs="David" w:hint="cs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66390E">
        <w:rPr>
          <w:rFonts w:ascii="Arial" w:hAnsi="Arial" w:cs="David" w:hint="cs"/>
          <w:rtl/>
        </w:rPr>
        <w:t>ספטמבר</w:t>
      </w:r>
      <w:r w:rsidRPr="00BD0A6B">
        <w:rPr>
          <w:rFonts w:ascii="Arial" w:hAnsi="Arial" w:cs="David"/>
          <w:rtl/>
        </w:rPr>
        <w:t xml:space="preserve"> </w:t>
      </w:r>
      <w:r w:rsidR="00F61D7D" w:rsidRPr="00BD0A6B">
        <w:rPr>
          <w:rFonts w:ascii="Arial" w:hAnsi="Arial" w:cs="David" w:hint="cs"/>
          <w:rtl/>
        </w:rPr>
        <w:t>2014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F5353C" w:rsidRPr="00BD0A6B">
        <w:rPr>
          <w:rFonts w:ascii="Arial" w:hAnsi="Arial" w:cs="David" w:hint="cs"/>
          <w:rtl/>
        </w:rPr>
        <w:t>13</w:t>
      </w:r>
      <w:r w:rsidR="0066390E">
        <w:rPr>
          <w:rFonts w:ascii="Arial" w:hAnsi="Arial" w:cs="David" w:hint="cs"/>
          <w:rtl/>
        </w:rPr>
        <w:t>5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בנק ישראל,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690E6A" w:rsidRPr="00BD0A6B">
        <w:rPr>
          <w:rFonts w:ascii="Arial" w:hAnsi="Arial" w:cs="David" w:hint="cs"/>
          <w:rtl/>
        </w:rPr>
        <w:t>3.3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6E70F9" w:rsidRPr="00BD0A6B">
        <w:rPr>
          <w:rFonts w:ascii="Arial" w:hAnsi="Arial" w:cs="David" w:hint="cs"/>
          <w:rtl/>
        </w:rPr>
        <w:t xml:space="preserve">, </w:t>
      </w:r>
      <w:r w:rsidR="00690E6A" w:rsidRPr="00BD0A6B">
        <w:rPr>
          <w:rFonts w:ascii="Arial" w:hAnsi="Arial" w:cs="David" w:hint="cs"/>
          <w:rtl/>
        </w:rPr>
        <w:t>עלייה קלה מסוף שנת 2013.</w:t>
      </w:r>
    </w:p>
    <w:p w:rsidR="00BF23B9" w:rsidRDefault="00BF23B9" w:rsidP="00BF23B9">
      <w:pPr>
        <w:spacing w:line="360" w:lineRule="auto"/>
        <w:ind w:right="426"/>
        <w:jc w:val="both"/>
        <w:rPr>
          <w:rFonts w:ascii="Arial" w:hAnsi="Arial" w:cs="David" w:hint="cs"/>
          <w:rtl/>
        </w:rPr>
      </w:pPr>
    </w:p>
    <w:p w:rsidR="00A752BB" w:rsidRDefault="00A96BF0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5939790" cy="3888105"/>
            <wp:effectExtent l="0" t="0" r="3810" b="0"/>
            <wp:docPr id="36" name="תמונה 36" descr="תרשים 5: החוב החיצוני נטו" title="תרשים 5: החוב החיצוני נטו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A96BF0" w:rsidRPr="009F4974" w:rsidRDefault="00A96BF0" w:rsidP="00A96BF0">
      <w:pPr>
        <w:autoSpaceDE w:val="0"/>
        <w:autoSpaceDN w:val="0"/>
        <w:adjustRightInd w:val="0"/>
        <w:spacing w:before="960" w:line="360" w:lineRule="auto"/>
        <w:rPr>
          <w:rFonts w:ascii="Arial" w:hAnsi="Arial" w:cs="Arial"/>
          <w:sz w:val="18"/>
          <w:szCs w:val="18"/>
          <w:rtl/>
          <w:lang w:eastAsia="en-US"/>
        </w:rPr>
      </w:pPr>
      <w:r>
        <w:fldChar w:fldCharType="begin"/>
      </w:r>
      <w:r>
        <w:instrText xml:space="preserve"> HYPERLINK "file:///C:\\Users\\internet.INTER\\Downloads\\</w:instrText>
      </w:r>
      <w:r>
        <w:rPr>
          <w:rtl/>
        </w:rPr>
        <w:instrText>הנכסים%20וההתחייבויות%20של%20המשק%20מול%20חו%22ל</w:instrText>
      </w:r>
      <w:r>
        <w:instrText xml:space="preserve">" </w:instrText>
      </w:r>
      <w:r>
        <w:fldChar w:fldCharType="separate"/>
      </w:r>
      <w:r w:rsidRPr="00473DCB">
        <w:rPr>
          <w:rStyle w:val="Hyperlink"/>
          <w:rFonts w:ascii="Arial" w:hAnsi="Arial" w:cs="David"/>
          <w:rtl/>
        </w:rPr>
        <w:t xml:space="preserve">מידע נוסף בנושא הנכסים וההתחייבויות של המשק </w:t>
      </w:r>
      <w:r w:rsidRPr="00473DCB">
        <w:rPr>
          <w:rStyle w:val="Hyperlink"/>
          <w:rFonts w:ascii="Arial" w:hAnsi="Arial" w:cs="David" w:hint="cs"/>
          <w:rtl/>
        </w:rPr>
        <w:t xml:space="preserve">מול </w:t>
      </w:r>
      <w:r w:rsidRPr="00473DCB">
        <w:rPr>
          <w:rStyle w:val="Hyperlink"/>
          <w:rFonts w:ascii="Arial" w:hAnsi="Arial" w:cs="David"/>
          <w:rtl/>
        </w:rPr>
        <w:t>חו"ל</w:t>
      </w:r>
      <w:r w:rsidRPr="00473DCB">
        <w:rPr>
          <w:rStyle w:val="Hyperlink"/>
          <w:rFonts w:ascii="Arial" w:hAnsi="Arial" w:cs="David" w:hint="cs"/>
          <w:rtl/>
        </w:rPr>
        <w:t>.</w:t>
      </w:r>
      <w:r>
        <w:rPr>
          <w:rStyle w:val="Hyperlink"/>
          <w:rFonts w:ascii="Arial" w:hAnsi="Arial" w:cs="David"/>
        </w:rPr>
        <w:fldChar w:fldCharType="end"/>
      </w:r>
    </w:p>
    <w:p w:rsidR="00884A8B" w:rsidRPr="0083016A" w:rsidRDefault="00884A8B" w:rsidP="00BF23B9">
      <w:pPr>
        <w:autoSpaceDE w:val="0"/>
        <w:autoSpaceDN w:val="0"/>
        <w:bidi w:val="0"/>
        <w:adjustRightInd w:val="0"/>
        <w:spacing w:line="360" w:lineRule="auto"/>
        <w:rPr>
          <w:rtl/>
          <w:lang w:eastAsia="en-US"/>
        </w:rPr>
      </w:pPr>
    </w:p>
    <w:sectPr w:rsidR="00884A8B" w:rsidRPr="0083016A" w:rsidSect="00BF23B9">
      <w:headerReference w:type="even" r:id="rId19"/>
      <w:headerReference w:type="default" r:id="rId20"/>
      <w:footerReference w:type="default" r:id="rId21"/>
      <w:footerReference w:type="first" r:id="rId22"/>
      <w:pgSz w:w="11906" w:h="16838"/>
      <w:pgMar w:top="1077" w:right="1134" w:bottom="1134" w:left="992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C4" w:rsidRDefault="002007C4">
      <w:r>
        <w:separator/>
      </w:r>
    </w:p>
  </w:endnote>
  <w:endnote w:type="continuationSeparator" w:id="0">
    <w:p w:rsidR="002007C4" w:rsidRDefault="002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A96BF0" w:rsidRDefault="00A363A2" w:rsidP="00A96BF0">
    <w:pPr>
      <w:spacing w:line="360" w:lineRule="auto"/>
      <w:rPr>
        <w:rFonts w:cs="David"/>
      </w:rPr>
    </w:pPr>
    <w:r w:rsidRPr="00A96BF0">
      <w:rPr>
        <w:rFonts w:cs="David" w:hint="cs"/>
        <w:rtl/>
      </w:rPr>
      <w:t>בנ</w:t>
    </w:r>
    <w:r w:rsidR="00884A8B" w:rsidRPr="00A96BF0">
      <w:rPr>
        <w:rFonts w:cs="David" w:hint="cs"/>
        <w:rtl/>
      </w:rPr>
      <w:t xml:space="preserve">ק ישראל </w:t>
    </w:r>
    <w:r w:rsidR="00884A8B" w:rsidRPr="00A96BF0">
      <w:rPr>
        <w:rFonts w:cs="David"/>
        <w:rtl/>
      </w:rPr>
      <w:t>–</w:t>
    </w:r>
    <w:r w:rsidR="00884A8B" w:rsidRPr="00A96BF0">
      <w:rPr>
        <w:rFonts w:cs="David" w:hint="cs"/>
        <w:rtl/>
      </w:rPr>
      <w:t xml:space="preserve"> הנכסים וההתחייבויות של המשק מול חו"ל ברביע הש</w:t>
    </w:r>
    <w:r w:rsidRPr="00A96BF0">
      <w:rPr>
        <w:rFonts w:cs="David" w:hint="cs"/>
        <w:rtl/>
      </w:rPr>
      <w:t>לישי</w:t>
    </w:r>
    <w:r w:rsidR="00884A8B" w:rsidRPr="00A96BF0">
      <w:rPr>
        <w:rFonts w:cs="David" w:hint="cs"/>
        <w:rtl/>
      </w:rPr>
      <w:t xml:space="preserve"> של שנת 2014</w:t>
    </w:r>
    <w:r w:rsidR="00884A8B" w:rsidRPr="00A96BF0">
      <w:rPr>
        <w:rFonts w:cs="David" w:hint="cs"/>
        <w:rtl/>
        <w:cs/>
        <w:lang w:val="he-IL"/>
      </w:rPr>
      <w:tab/>
    </w:r>
    <w:r w:rsidR="00884A8B" w:rsidRPr="00A96BF0">
      <w:rPr>
        <w:rFonts w:cs="David"/>
        <w:rtl/>
        <w:cs/>
        <w:lang w:val="he-IL"/>
      </w:rPr>
      <w:t xml:space="preserve">עמוד </w:t>
    </w:r>
    <w:r w:rsidR="00884A8B" w:rsidRPr="00A96BF0">
      <w:rPr>
        <w:rFonts w:cs="David"/>
        <w:b/>
        <w:bCs/>
      </w:rPr>
      <w:fldChar w:fldCharType="begin"/>
    </w:r>
    <w:r w:rsidR="00884A8B" w:rsidRPr="00A96BF0">
      <w:rPr>
        <w:rFonts w:cs="David"/>
        <w:b/>
        <w:bCs/>
        <w:rtl/>
        <w:cs/>
      </w:rPr>
      <w:instrText>PAGE</w:instrText>
    </w:r>
    <w:r w:rsidR="00884A8B" w:rsidRPr="00A96BF0">
      <w:rPr>
        <w:rFonts w:cs="David"/>
        <w:b/>
        <w:bCs/>
      </w:rPr>
      <w:fldChar w:fldCharType="separate"/>
    </w:r>
    <w:r w:rsidR="00A96BF0">
      <w:rPr>
        <w:rFonts w:cs="David"/>
        <w:b/>
        <w:bCs/>
        <w:noProof/>
        <w:rtl/>
      </w:rPr>
      <w:t>6</w:t>
    </w:r>
    <w:r w:rsidR="00884A8B" w:rsidRPr="00A96BF0">
      <w:rPr>
        <w:rFonts w:cs="David"/>
        <w:b/>
        <w:bCs/>
      </w:rPr>
      <w:fldChar w:fldCharType="end"/>
    </w:r>
    <w:r w:rsidR="00884A8B" w:rsidRPr="00A96BF0">
      <w:rPr>
        <w:rFonts w:cs="David"/>
        <w:rtl/>
        <w:cs/>
        <w:lang w:val="he-IL"/>
      </w:rPr>
      <w:t xml:space="preserve"> מתוך </w:t>
    </w:r>
    <w:r w:rsidR="00884A8B" w:rsidRPr="00A96BF0">
      <w:rPr>
        <w:rFonts w:cs="David"/>
        <w:b/>
        <w:bCs/>
      </w:rPr>
      <w:fldChar w:fldCharType="begin"/>
    </w:r>
    <w:r w:rsidR="00884A8B" w:rsidRPr="00A96BF0">
      <w:rPr>
        <w:rFonts w:cs="David"/>
        <w:b/>
        <w:bCs/>
        <w:rtl/>
        <w:cs/>
      </w:rPr>
      <w:instrText>NUMPAGES</w:instrText>
    </w:r>
    <w:r w:rsidR="00884A8B" w:rsidRPr="00A96BF0">
      <w:rPr>
        <w:rFonts w:cs="David"/>
        <w:b/>
        <w:bCs/>
      </w:rPr>
      <w:fldChar w:fldCharType="separate"/>
    </w:r>
    <w:r w:rsidR="00A96BF0">
      <w:rPr>
        <w:rFonts w:cs="David"/>
        <w:b/>
        <w:bCs/>
        <w:noProof/>
        <w:rtl/>
      </w:rPr>
      <w:t>6</w:t>
    </w:r>
    <w:r w:rsidR="00884A8B" w:rsidRPr="00A96BF0">
      <w:rPr>
        <w:rFonts w:cs="Davi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8B" w:rsidRPr="00D921A2" w:rsidRDefault="00884A8B" w:rsidP="00884A8B">
    <w:pPr>
      <w:spacing w:line="360" w:lineRule="auto"/>
      <w:ind w:left="-760"/>
      <w:jc w:val="center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</w:t>
    </w:r>
    <w:r>
      <w:rPr>
        <w:sz w:val="20"/>
        <w:szCs w:val="20"/>
        <w:rtl/>
      </w:rPr>
      <w:t>–</w:t>
    </w:r>
    <w:r>
      <w:rPr>
        <w:rFonts w:hint="cs"/>
        <w:sz w:val="20"/>
        <w:szCs w:val="20"/>
        <w:rtl/>
      </w:rPr>
      <w:t xml:space="preserve"> הנכסים וההתחייבויות של המשק מול חו"ל</w:t>
    </w:r>
    <w:r w:rsidRPr="00D921A2">
      <w:rPr>
        <w:rFonts w:hint="cs"/>
        <w:sz w:val="20"/>
        <w:szCs w:val="20"/>
        <w:rtl/>
      </w:rPr>
      <w:t xml:space="preserve"> ברביע </w:t>
    </w:r>
    <w:r>
      <w:rPr>
        <w:rFonts w:hint="cs"/>
        <w:sz w:val="20"/>
        <w:szCs w:val="20"/>
        <w:rtl/>
      </w:rPr>
      <w:t>השני</w:t>
    </w:r>
    <w:r w:rsidRPr="00D921A2">
      <w:rPr>
        <w:rFonts w:hint="cs"/>
        <w:sz w:val="20"/>
        <w:szCs w:val="20"/>
        <w:rtl/>
      </w:rPr>
      <w:t xml:space="preserve"> של שנת </w:t>
    </w:r>
    <w:r>
      <w:rPr>
        <w:rFonts w:hint="cs"/>
        <w:sz w:val="20"/>
        <w:szCs w:val="20"/>
        <w:rtl/>
      </w:rPr>
      <w:t>2014</w:t>
    </w:r>
    <w:r>
      <w:rPr>
        <w:rFonts w:hint="cs"/>
        <w:sz w:val="20"/>
        <w:szCs w:val="20"/>
        <w:rtl/>
        <w:cs/>
        <w:lang w:val="he-IL"/>
      </w:rPr>
      <w:tab/>
    </w:r>
    <w:r>
      <w:rPr>
        <w:rFonts w:hint="cs"/>
        <w:sz w:val="20"/>
        <w:szCs w:val="20"/>
        <w:rtl/>
        <w:cs/>
        <w:lang w:val="he-IL"/>
      </w:rPr>
      <w:tab/>
    </w:r>
    <w:r>
      <w:rPr>
        <w:rFonts w:hint="cs"/>
        <w:sz w:val="20"/>
        <w:szCs w:val="20"/>
        <w:rtl/>
        <w:cs/>
        <w:lang w:val="he-IL"/>
      </w:rPr>
      <w:tab/>
    </w:r>
    <w:r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  <w:rtl/>
      </w:rPr>
      <w:t>1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  <w:rtl/>
      </w:rPr>
      <w:t>5</w:t>
    </w:r>
    <w:r w:rsidRPr="00D921A2">
      <w:rPr>
        <w:b/>
        <w:bCs/>
        <w:sz w:val="20"/>
        <w:szCs w:val="20"/>
      </w:rPr>
      <w:fldChar w:fldCharType="end"/>
    </w:r>
  </w:p>
  <w:p w:rsidR="00BD0A6B" w:rsidRDefault="00BD0A6B">
    <w:pPr>
      <w:pStyle w:val="a4"/>
      <w:rPr>
        <w:rFonts w:cs="David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C4" w:rsidRDefault="002007C4">
      <w:r>
        <w:separator/>
      </w:r>
    </w:p>
  </w:footnote>
  <w:footnote w:type="continuationSeparator" w:id="0">
    <w:p w:rsidR="002007C4" w:rsidRDefault="0020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 w:rsidP="002C56FA">
    <w:pPr>
      <w:pStyle w:val="a3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BD0A6B" w:rsidRDefault="00BD0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015"/>
    <w:multiLevelType w:val="hybridMultilevel"/>
    <w:tmpl w:val="DB446C8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584648"/>
    <w:multiLevelType w:val="hybridMultilevel"/>
    <w:tmpl w:val="0ACED7C2"/>
    <w:lvl w:ilvl="0" w:tplc="73CA77A2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5B477119"/>
    <w:multiLevelType w:val="hybridMultilevel"/>
    <w:tmpl w:val="E058161A"/>
    <w:lvl w:ilvl="0" w:tplc="7BA4BFCE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6D687443"/>
    <w:multiLevelType w:val="hybridMultilevel"/>
    <w:tmpl w:val="745210B4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D54"/>
    <w:rsid w:val="00016D59"/>
    <w:rsid w:val="00016D85"/>
    <w:rsid w:val="00017A9A"/>
    <w:rsid w:val="00020465"/>
    <w:rsid w:val="00020B1B"/>
    <w:rsid w:val="000218D0"/>
    <w:rsid w:val="000222AF"/>
    <w:rsid w:val="00023172"/>
    <w:rsid w:val="00023411"/>
    <w:rsid w:val="000246DB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E7"/>
    <w:rsid w:val="000B636E"/>
    <w:rsid w:val="000B643A"/>
    <w:rsid w:val="000B6FCA"/>
    <w:rsid w:val="000B74D0"/>
    <w:rsid w:val="000C0A77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7BE3"/>
    <w:rsid w:val="000D7D13"/>
    <w:rsid w:val="000E0BB9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84"/>
    <w:rsid w:val="000E79DA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1154"/>
    <w:rsid w:val="00132688"/>
    <w:rsid w:val="001326F0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07C4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207F2"/>
    <w:rsid w:val="00222132"/>
    <w:rsid w:val="00223441"/>
    <w:rsid w:val="002247F3"/>
    <w:rsid w:val="00224CBF"/>
    <w:rsid w:val="00225510"/>
    <w:rsid w:val="00226793"/>
    <w:rsid w:val="00226DD0"/>
    <w:rsid w:val="00227233"/>
    <w:rsid w:val="00227E47"/>
    <w:rsid w:val="002302A5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7759"/>
    <w:rsid w:val="0029184D"/>
    <w:rsid w:val="00294B6F"/>
    <w:rsid w:val="0029548E"/>
    <w:rsid w:val="00296AF2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34DE"/>
    <w:rsid w:val="002D4CFA"/>
    <w:rsid w:val="002D4FD1"/>
    <w:rsid w:val="002D52ED"/>
    <w:rsid w:val="002D6205"/>
    <w:rsid w:val="002D63AF"/>
    <w:rsid w:val="002D72DF"/>
    <w:rsid w:val="002D748C"/>
    <w:rsid w:val="002D7C52"/>
    <w:rsid w:val="002E0BD9"/>
    <w:rsid w:val="002E0DA5"/>
    <w:rsid w:val="002E1C54"/>
    <w:rsid w:val="002E3186"/>
    <w:rsid w:val="002E46BC"/>
    <w:rsid w:val="002E4902"/>
    <w:rsid w:val="002E4C4C"/>
    <w:rsid w:val="002E5744"/>
    <w:rsid w:val="002E5C61"/>
    <w:rsid w:val="002E6764"/>
    <w:rsid w:val="002E6B1D"/>
    <w:rsid w:val="002E7247"/>
    <w:rsid w:val="002E7E24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45B0"/>
    <w:rsid w:val="003B6784"/>
    <w:rsid w:val="003B722A"/>
    <w:rsid w:val="003C00A0"/>
    <w:rsid w:val="003C0CDF"/>
    <w:rsid w:val="003C18AB"/>
    <w:rsid w:val="003C1C0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498A"/>
    <w:rsid w:val="003E5C97"/>
    <w:rsid w:val="003E5DFB"/>
    <w:rsid w:val="003E629D"/>
    <w:rsid w:val="003E72E0"/>
    <w:rsid w:val="003E72E9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4437"/>
    <w:rsid w:val="00414470"/>
    <w:rsid w:val="00415150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F42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FC6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14F7"/>
    <w:rsid w:val="00501A45"/>
    <w:rsid w:val="00501DEA"/>
    <w:rsid w:val="00502209"/>
    <w:rsid w:val="00503A63"/>
    <w:rsid w:val="005048B1"/>
    <w:rsid w:val="00504C0C"/>
    <w:rsid w:val="0050675C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628EA"/>
    <w:rsid w:val="00563811"/>
    <w:rsid w:val="00563D92"/>
    <w:rsid w:val="0056525D"/>
    <w:rsid w:val="0056536B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3013"/>
    <w:rsid w:val="005B316D"/>
    <w:rsid w:val="005B3293"/>
    <w:rsid w:val="005B3C5B"/>
    <w:rsid w:val="005B57DA"/>
    <w:rsid w:val="005B5DAA"/>
    <w:rsid w:val="005B773D"/>
    <w:rsid w:val="005B78A4"/>
    <w:rsid w:val="005B7A8E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0E74"/>
    <w:rsid w:val="005F11E3"/>
    <w:rsid w:val="005F1742"/>
    <w:rsid w:val="005F25FC"/>
    <w:rsid w:val="005F3687"/>
    <w:rsid w:val="005F36FB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E06"/>
    <w:rsid w:val="00633476"/>
    <w:rsid w:val="0063358C"/>
    <w:rsid w:val="00633A4B"/>
    <w:rsid w:val="00633BFD"/>
    <w:rsid w:val="00634C4E"/>
    <w:rsid w:val="00635C4F"/>
    <w:rsid w:val="0063601A"/>
    <w:rsid w:val="0063708D"/>
    <w:rsid w:val="006379AF"/>
    <w:rsid w:val="00640564"/>
    <w:rsid w:val="00640EA4"/>
    <w:rsid w:val="00643B9C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5C1C"/>
    <w:rsid w:val="006570F2"/>
    <w:rsid w:val="00657198"/>
    <w:rsid w:val="006630E0"/>
    <w:rsid w:val="0066390E"/>
    <w:rsid w:val="006646B7"/>
    <w:rsid w:val="00664DBC"/>
    <w:rsid w:val="006666C7"/>
    <w:rsid w:val="006676D5"/>
    <w:rsid w:val="00670AFB"/>
    <w:rsid w:val="00670C47"/>
    <w:rsid w:val="00672B32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125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7B4"/>
    <w:rsid w:val="00705A8C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3791"/>
    <w:rsid w:val="007347A9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22D6"/>
    <w:rsid w:val="00793377"/>
    <w:rsid w:val="00793846"/>
    <w:rsid w:val="0079495A"/>
    <w:rsid w:val="00795EA8"/>
    <w:rsid w:val="00796CD1"/>
    <w:rsid w:val="007976AA"/>
    <w:rsid w:val="007A1866"/>
    <w:rsid w:val="007A2B2B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FC1"/>
    <w:rsid w:val="007F304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16A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3B22"/>
    <w:rsid w:val="00853E21"/>
    <w:rsid w:val="00856481"/>
    <w:rsid w:val="008565B0"/>
    <w:rsid w:val="008571E3"/>
    <w:rsid w:val="00857BD6"/>
    <w:rsid w:val="00857D91"/>
    <w:rsid w:val="00861C59"/>
    <w:rsid w:val="00862A15"/>
    <w:rsid w:val="008637F8"/>
    <w:rsid w:val="00864F15"/>
    <w:rsid w:val="008677EF"/>
    <w:rsid w:val="00870DB4"/>
    <w:rsid w:val="00871B0D"/>
    <w:rsid w:val="0087208C"/>
    <w:rsid w:val="0087334E"/>
    <w:rsid w:val="00873827"/>
    <w:rsid w:val="008742A1"/>
    <w:rsid w:val="0087447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55"/>
    <w:rsid w:val="008B4E7C"/>
    <w:rsid w:val="008B5734"/>
    <w:rsid w:val="008B6014"/>
    <w:rsid w:val="008C25A3"/>
    <w:rsid w:val="008C4233"/>
    <w:rsid w:val="008C4F6B"/>
    <w:rsid w:val="008C530B"/>
    <w:rsid w:val="008C54E3"/>
    <w:rsid w:val="008C5DB7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6BB"/>
    <w:rsid w:val="00931C57"/>
    <w:rsid w:val="00932766"/>
    <w:rsid w:val="009342A6"/>
    <w:rsid w:val="009350AC"/>
    <w:rsid w:val="00936611"/>
    <w:rsid w:val="00936F9A"/>
    <w:rsid w:val="00937101"/>
    <w:rsid w:val="00937616"/>
    <w:rsid w:val="00941287"/>
    <w:rsid w:val="00941522"/>
    <w:rsid w:val="00942110"/>
    <w:rsid w:val="0094243F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F77"/>
    <w:rsid w:val="009869ED"/>
    <w:rsid w:val="00986B8B"/>
    <w:rsid w:val="0098788D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41A"/>
    <w:rsid w:val="00A166CA"/>
    <w:rsid w:val="00A16F73"/>
    <w:rsid w:val="00A20002"/>
    <w:rsid w:val="00A20193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B56"/>
    <w:rsid w:val="00A55BAF"/>
    <w:rsid w:val="00A55F05"/>
    <w:rsid w:val="00A579D3"/>
    <w:rsid w:val="00A57A9C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6C6D"/>
    <w:rsid w:val="00A774AA"/>
    <w:rsid w:val="00A82803"/>
    <w:rsid w:val="00A82D94"/>
    <w:rsid w:val="00A836F2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BF0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C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D35"/>
    <w:rsid w:val="00B24031"/>
    <w:rsid w:val="00B2487A"/>
    <w:rsid w:val="00B248E1"/>
    <w:rsid w:val="00B278B5"/>
    <w:rsid w:val="00B32084"/>
    <w:rsid w:val="00B32626"/>
    <w:rsid w:val="00B332F0"/>
    <w:rsid w:val="00B33887"/>
    <w:rsid w:val="00B341F4"/>
    <w:rsid w:val="00B35F9E"/>
    <w:rsid w:val="00B369B2"/>
    <w:rsid w:val="00B36FEC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20DA"/>
    <w:rsid w:val="00B83B00"/>
    <w:rsid w:val="00B83CB3"/>
    <w:rsid w:val="00B84834"/>
    <w:rsid w:val="00B84898"/>
    <w:rsid w:val="00B854F3"/>
    <w:rsid w:val="00B8648E"/>
    <w:rsid w:val="00B9014C"/>
    <w:rsid w:val="00B90368"/>
    <w:rsid w:val="00B908C5"/>
    <w:rsid w:val="00B917DB"/>
    <w:rsid w:val="00B92A72"/>
    <w:rsid w:val="00B931E5"/>
    <w:rsid w:val="00B93349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C73"/>
    <w:rsid w:val="00BB0CEF"/>
    <w:rsid w:val="00BB1270"/>
    <w:rsid w:val="00BB1EA3"/>
    <w:rsid w:val="00BB21B2"/>
    <w:rsid w:val="00BB2BEA"/>
    <w:rsid w:val="00BB2C46"/>
    <w:rsid w:val="00BB6657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230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3B9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56AD"/>
    <w:rsid w:val="00C46071"/>
    <w:rsid w:val="00C46875"/>
    <w:rsid w:val="00C46E6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707B1"/>
    <w:rsid w:val="00C724CC"/>
    <w:rsid w:val="00C726B1"/>
    <w:rsid w:val="00C727BC"/>
    <w:rsid w:val="00C738FD"/>
    <w:rsid w:val="00C73C05"/>
    <w:rsid w:val="00C73E9E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581D"/>
    <w:rsid w:val="00C96A3D"/>
    <w:rsid w:val="00C976E1"/>
    <w:rsid w:val="00C97AC5"/>
    <w:rsid w:val="00CA02AE"/>
    <w:rsid w:val="00CA0E23"/>
    <w:rsid w:val="00CA3086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2913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65A"/>
    <w:rsid w:val="00CD2F05"/>
    <w:rsid w:val="00CD3A99"/>
    <w:rsid w:val="00CD5D7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705F"/>
    <w:rsid w:val="00CF0925"/>
    <w:rsid w:val="00CF0992"/>
    <w:rsid w:val="00CF0A9F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41F8"/>
    <w:rsid w:val="00D443B3"/>
    <w:rsid w:val="00D45999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63FD"/>
    <w:rsid w:val="00DA0C9C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2CF0"/>
    <w:rsid w:val="00DC2E04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61C6"/>
    <w:rsid w:val="00E465F4"/>
    <w:rsid w:val="00E46FD8"/>
    <w:rsid w:val="00E47276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56D"/>
    <w:rsid w:val="00E74259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EFC"/>
    <w:rsid w:val="00F209B4"/>
    <w:rsid w:val="00F20E07"/>
    <w:rsid w:val="00F219D6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3247"/>
    <w:rsid w:val="00FC3506"/>
    <w:rsid w:val="00FC39C4"/>
    <w:rsid w:val="00FC3C71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73E2"/>
    <w:rsid w:val="00FE7414"/>
    <w:rsid w:val="00FF0219"/>
    <w:rsid w:val="00FF106A"/>
    <w:rsid w:val="00FF1FED"/>
    <w:rsid w:val="00FF231C"/>
    <w:rsid w:val="00FF31D8"/>
    <w:rsid w:val="00FF4885"/>
    <w:rsid w:val="00FF4F2A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Title"/>
    <w:basedOn w:val="1"/>
    <w:next w:val="a"/>
    <w:link w:val="ac"/>
    <w:qFormat/>
    <w:rsid w:val="00A96BF0"/>
    <w:pPr>
      <w:spacing w:after="240"/>
    </w:pPr>
    <w:rPr>
      <w:rFonts w:cs="David"/>
      <w:sz w:val="28"/>
      <w:szCs w:val="28"/>
    </w:rPr>
  </w:style>
  <w:style w:type="character" w:customStyle="1" w:styleId="ac">
    <w:name w:val="כותרת טקסט תו"/>
    <w:basedOn w:val="a0"/>
    <w:link w:val="ab"/>
    <w:rsid w:val="00A96BF0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A96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Title"/>
    <w:basedOn w:val="1"/>
    <w:next w:val="a"/>
    <w:link w:val="ac"/>
    <w:qFormat/>
    <w:rsid w:val="00A96BF0"/>
    <w:pPr>
      <w:spacing w:after="240"/>
    </w:pPr>
    <w:rPr>
      <w:rFonts w:cs="David"/>
      <w:sz w:val="28"/>
      <w:szCs w:val="28"/>
    </w:rPr>
  </w:style>
  <w:style w:type="character" w:customStyle="1" w:styleId="ac">
    <w:name w:val="כותרת טקסט תו"/>
    <w:basedOn w:val="a0"/>
    <w:link w:val="ab"/>
    <w:rsid w:val="00A96BF0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A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A5E2-9D70-4C2B-9681-A589472E014F}"/>
</file>

<file path=customXml/itemProps2.xml><?xml version="1.0" encoding="utf-8"?>
<ds:datastoreItem xmlns:ds="http://schemas.openxmlformats.org/officeDocument/2006/customXml" ds:itemID="{FD4513A3-B57C-4214-9647-5F3217DBF473}"/>
</file>

<file path=customXml/itemProps3.xml><?xml version="1.0" encoding="utf-8"?>
<ds:datastoreItem xmlns:ds="http://schemas.openxmlformats.org/officeDocument/2006/customXml" ds:itemID="{43453C94-6F2F-4502-87A4-40E9FE2D75BA}"/>
</file>

<file path=customXml/itemProps4.xml><?xml version="1.0" encoding="utf-8"?>
<ds:datastoreItem xmlns:ds="http://schemas.openxmlformats.org/officeDocument/2006/customXml" ds:itemID="{A62667FA-D97F-4A65-99E7-DC65D05BC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5249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2016-07-03T12:03:00Z</dcterms:created>
  <dcterms:modified xsi:type="dcterms:W3CDTF">2016-07-03T12:03:00Z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