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98" w:rsidRPr="004F33A1" w:rsidRDefault="00F62298" w:rsidP="00F62298">
      <w:pPr>
        <w:pStyle w:val="Style7"/>
        <w:widowControl/>
        <w:bidi/>
        <w:spacing w:beforeLines="40" w:before="96" w:afterLines="40" w:after="96" w:line="320" w:lineRule="atLeast"/>
        <w:jc w:val="both"/>
        <w:rPr>
          <w:rStyle w:val="FontStyle19"/>
          <w:rFonts w:asciiTheme="minorBidi" w:eastAsia="Times New Roman" w:hAnsiTheme="minorBidi" w:cstheme="minorBidi" w:hint="cs"/>
          <w:sz w:val="36"/>
          <w:szCs w:val="36"/>
          <w:rtl/>
        </w:rPr>
      </w:pPr>
      <w:bookmarkStart w:id="0" w:name="_GoBack"/>
      <w:bookmarkEnd w:id="0"/>
    </w:p>
    <w:p w:rsidR="007510FE" w:rsidRPr="007510FE" w:rsidRDefault="007510FE" w:rsidP="00F62298">
      <w:pPr>
        <w:pStyle w:val="Style7"/>
        <w:widowControl/>
        <w:bidi/>
        <w:spacing w:beforeLines="40" w:before="96" w:afterLines="40" w:after="96" w:line="320" w:lineRule="atLeast"/>
        <w:jc w:val="both"/>
        <w:rPr>
          <w:rStyle w:val="FontStyle19"/>
          <w:rFonts w:asciiTheme="minorBidi" w:hAnsiTheme="minorBidi" w:cstheme="minorBidi"/>
          <w:position w:val="3"/>
          <w:sz w:val="36"/>
          <w:szCs w:val="36"/>
        </w:rPr>
      </w:pPr>
      <w:r>
        <w:rPr>
          <w:rStyle w:val="FontStyle19"/>
          <w:rFonts w:asciiTheme="minorBidi" w:eastAsia="Times New Roman" w:hAnsiTheme="minorBidi" w:cstheme="minorBidi"/>
          <w:sz w:val="36"/>
          <w:szCs w:val="36"/>
          <w:rtl/>
          <w:lang w:val="he" w:bidi="he"/>
        </w:rPr>
        <w:t>סטנלי פישר</w:t>
      </w:r>
      <w:r>
        <w:rPr>
          <w:rStyle w:val="FontStyle19"/>
          <w:rFonts w:asciiTheme="minorBidi" w:eastAsia="Times New Roman" w:hAnsiTheme="minorBidi" w:cstheme="minorBidi"/>
          <w:sz w:val="36"/>
          <w:szCs w:val="36"/>
          <w:rtl/>
          <w:lang w:val="he"/>
        </w:rPr>
        <w:t xml:space="preserve">, </w:t>
      </w:r>
      <w:r>
        <w:rPr>
          <w:rStyle w:val="FontStyle19"/>
          <w:rFonts w:asciiTheme="minorBidi" w:eastAsia="Times New Roman" w:hAnsiTheme="minorBidi" w:cstheme="minorBidi"/>
          <w:sz w:val="36"/>
          <w:szCs w:val="36"/>
          <w:rtl/>
          <w:lang w:val="he" w:bidi="he"/>
        </w:rPr>
        <w:t>נגיד בנק ישראל</w:t>
      </w:r>
    </w:p>
    <w:p w:rsidR="007510FE" w:rsidRPr="007510FE" w:rsidRDefault="007510FE" w:rsidP="007510FE">
      <w:pPr>
        <w:pStyle w:val="Style8"/>
        <w:widowControl/>
        <w:bidi/>
        <w:spacing w:beforeLines="40" w:before="96" w:afterLines="40" w:after="96" w:line="320" w:lineRule="atLeast"/>
        <w:rPr>
          <w:rStyle w:val="FontStyle22"/>
          <w:rFonts w:asciiTheme="minorBidi" w:hAnsiTheme="minorBidi" w:cstheme="minorBidi"/>
          <w:sz w:val="28"/>
          <w:szCs w:val="28"/>
        </w:rPr>
      </w:pPr>
      <w:r>
        <w:rPr>
          <w:rStyle w:val="FontStyle22"/>
          <w:rFonts w:asciiTheme="minorBidi" w:eastAsia="Times New Roman" w:hAnsiTheme="minorBidi" w:cstheme="minorBidi"/>
          <w:sz w:val="28"/>
          <w:szCs w:val="28"/>
          <w:rtl/>
          <w:lang w:val="he" w:bidi="he"/>
        </w:rPr>
        <w:t>בנקאות מרכזית במעבר</w:t>
      </w:r>
      <w:r>
        <w:rPr>
          <w:rStyle w:val="FontStyle22"/>
          <w:rFonts w:asciiTheme="minorBidi" w:eastAsia="Times New Roman" w:hAnsiTheme="minorBidi" w:cstheme="minorBidi"/>
          <w:sz w:val="28"/>
          <w:szCs w:val="28"/>
          <w:rtl/>
          <w:lang w:val="he"/>
        </w:rPr>
        <w:t xml:space="preserve">: </w:t>
      </w:r>
      <w:r>
        <w:rPr>
          <w:rStyle w:val="FontStyle22"/>
          <w:rFonts w:asciiTheme="minorBidi" w:eastAsia="Times New Roman" w:hAnsiTheme="minorBidi" w:cstheme="minorBidi"/>
          <w:sz w:val="28"/>
          <w:szCs w:val="28"/>
          <w:rtl/>
          <w:lang w:val="he" w:bidi="he"/>
        </w:rPr>
        <w:t>גישות חדשות למדיניות</w:t>
      </w:r>
    </w:p>
    <w:p w:rsidR="007510FE" w:rsidRPr="007510FE" w:rsidRDefault="007510FE" w:rsidP="007510FE">
      <w:pPr>
        <w:pStyle w:val="Style7"/>
        <w:widowControl/>
        <w:spacing w:beforeLines="40" w:before="96" w:afterLines="40" w:after="96" w:line="320" w:lineRule="atLeast"/>
        <w:jc w:val="both"/>
        <w:rPr>
          <w:rStyle w:val="FontStyle22"/>
          <w:rFonts w:asciiTheme="minorBidi" w:hAnsiTheme="minorBidi" w:cstheme="minorBidi"/>
          <w:sz w:val="24"/>
          <w:szCs w:val="24"/>
        </w:rPr>
      </w:pPr>
    </w:p>
    <w:p w:rsidR="007510FE" w:rsidRPr="007510FE" w:rsidRDefault="007510FE" w:rsidP="00F62298">
      <w:pPr>
        <w:pStyle w:val="Style4"/>
        <w:widowControl/>
        <w:shd w:val="clear" w:color="auto" w:fill="17365D" w:themeFill="text2" w:themeFillShade="BF"/>
        <w:bidi/>
        <w:spacing w:beforeLines="40" w:before="96" w:afterLines="40" w:after="96" w:line="320" w:lineRule="atLeast"/>
        <w:ind w:firstLine="202"/>
        <w:jc w:val="both"/>
        <w:rPr>
          <w:rStyle w:val="FontStyle15"/>
          <w:rFonts w:asciiTheme="minorBidi" w:hAnsiTheme="minorBidi" w:cstheme="minorBidi"/>
          <w:sz w:val="24"/>
          <w:szCs w:val="24"/>
        </w:rPr>
      </w:pPr>
      <w:r>
        <w:rPr>
          <w:rStyle w:val="FontStyle15"/>
          <w:rFonts w:asciiTheme="minorBidi" w:eastAsia="Times New Roman" w:hAnsiTheme="minorBidi" w:cstheme="minorBidi"/>
          <w:sz w:val="24"/>
          <w:szCs w:val="24"/>
        </w:rPr>
        <w:t>13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ביוני 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</w:rPr>
        <w:t>2013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</w:rPr>
        <w:t>Armourers' Hall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15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לונדון</w:t>
      </w:r>
    </w:p>
    <w:p w:rsidR="007510FE" w:rsidRPr="007510FE" w:rsidRDefault="007510FE" w:rsidP="00B82C45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פרופ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'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סטנלי פישר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נגיד בנק ישראל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נשא הרצאה כחלק מסדרת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"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הרצאות הזהב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" (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Golden Series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)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של הפורום הרשמי למוסדות מוניטריים ופיננסיים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(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OMFIF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)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בלונדון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/>
        </w:rPr>
        <w:t xml:space="preserve">. 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האירוע התקיים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13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ביוני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 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מנחה ההרצאה היה גבריאל סטיין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היועץ הכלכלי הראשי של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OMFIF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5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B82C45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הרצאתו של פישר, </w:t>
      </w:r>
      <w:r w:rsidRPr="00B82C45">
        <w:rPr>
          <w:rStyle w:val="FontStyle20"/>
          <w:rFonts w:asciiTheme="minorBidi" w:hAnsiTheme="minorBidi" w:cstheme="minorBidi"/>
          <w:i/>
          <w:iCs/>
          <w:sz w:val="24"/>
          <w:szCs w:val="24"/>
          <w:rtl/>
          <w:lang w:bidi="he"/>
        </w:rPr>
        <w:t>בנקאות מרכזית במעבר: גישות חדשות למדיניות,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התמקדה בלקחים שהופקו 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לגבי</w:t>
      </w:r>
      <w:r w:rsidR="00B82C45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מדיניות המוניטרית ותפקידה המשתנה של הבנקאות המרכזית כתוצאה מהמשבר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קרא להגברת הדגש על יציבות פיננסית מערכתית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להגברת התיאום בין גופי הרגולציה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ולקביעת יעדי אינ</w:t>
      </w:r>
      <w:r w:rsidR="00B82C45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פלציה גמישים כמסלול הנכון לעתיד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1F327C" w:rsidRPr="007510FE" w:rsidRDefault="001F327C" w:rsidP="007510FE">
      <w:pPr>
        <w:spacing w:beforeLines="40" w:before="96" w:afterLines="40" w:after="96" w:line="320" w:lineRule="atLeast"/>
        <w:rPr>
          <w:rFonts w:asciiTheme="minorBidi" w:hAnsiTheme="minorBidi" w:cstheme="minorBidi"/>
          <w:rtl/>
        </w:rPr>
      </w:pPr>
    </w:p>
    <w:p w:rsidR="007510FE" w:rsidRPr="007510FE" w:rsidRDefault="007510FE" w:rsidP="007510FE">
      <w:pPr>
        <w:spacing w:beforeLines="40" w:before="96" w:afterLines="40" w:after="96" w:line="320" w:lineRule="atLeast"/>
        <w:rPr>
          <w:rFonts w:asciiTheme="minorBidi" w:hAnsiTheme="minorBidi" w:cstheme="minorBidi"/>
          <w:rtl/>
        </w:rPr>
      </w:pPr>
    </w:p>
    <w:p w:rsidR="00F62298" w:rsidRDefault="00F62298" w:rsidP="007510FE">
      <w:pPr>
        <w:spacing w:beforeLines="40" w:before="96" w:afterLines="40" w:after="96" w:line="320" w:lineRule="atLeast"/>
        <w:rPr>
          <w:rFonts w:asciiTheme="minorBidi" w:hAnsiTheme="minorBidi" w:cstheme="minorBidi"/>
          <w:rtl/>
          <w:lang w:val="he" w:bidi="he"/>
        </w:rPr>
      </w:pPr>
    </w:p>
    <w:p w:rsidR="00F62298" w:rsidRDefault="00F62298">
      <w:pPr>
        <w:bidi w:val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br w:type="page"/>
      </w:r>
    </w:p>
    <w:p w:rsidR="007510FE" w:rsidRPr="007510FE" w:rsidRDefault="007510FE" w:rsidP="007510FE">
      <w:pPr>
        <w:spacing w:beforeLines="40" w:before="96" w:afterLines="40" w:after="96" w:line="320" w:lineRule="atLeast"/>
        <w:rPr>
          <w:rFonts w:asciiTheme="minorBidi" w:hAnsiTheme="minorBidi" w:cstheme="minorBidi"/>
          <w:rtl/>
        </w:rPr>
      </w:pPr>
    </w:p>
    <w:p w:rsidR="00F62298" w:rsidRDefault="00F62298" w:rsidP="00F62298">
      <w:pPr>
        <w:pStyle w:val="Style7"/>
        <w:widowControl/>
        <w:shd w:val="clear" w:color="auto" w:fill="17365D" w:themeFill="text2" w:themeFillShade="BF"/>
        <w:bidi/>
        <w:spacing w:beforeLines="40" w:before="96" w:afterLines="40" w:after="96" w:line="320" w:lineRule="atLeast"/>
        <w:jc w:val="both"/>
        <w:rPr>
          <w:rStyle w:val="FontStyle19"/>
          <w:rFonts w:asciiTheme="minorBidi" w:eastAsia="Times New Roman" w:hAnsiTheme="minorBidi" w:cstheme="minorBidi"/>
          <w:sz w:val="36"/>
          <w:szCs w:val="36"/>
          <w:rtl/>
          <w:lang w:val="he" w:bidi="he"/>
        </w:rPr>
      </w:pPr>
    </w:p>
    <w:p w:rsidR="007510FE" w:rsidRPr="007510FE" w:rsidRDefault="00F62298" w:rsidP="00F62298">
      <w:pPr>
        <w:pStyle w:val="Style7"/>
        <w:widowControl/>
        <w:bidi/>
        <w:spacing w:beforeLines="40" w:before="96" w:afterLines="40" w:after="96" w:line="320" w:lineRule="atLeast"/>
        <w:jc w:val="both"/>
        <w:rPr>
          <w:rStyle w:val="FontStyle19"/>
          <w:rFonts w:asciiTheme="minorBidi" w:hAnsiTheme="minorBidi" w:cstheme="minorBidi"/>
          <w:position w:val="2"/>
          <w:sz w:val="36"/>
          <w:szCs w:val="36"/>
        </w:rPr>
      </w:pPr>
      <w:r>
        <w:rPr>
          <w:rStyle w:val="FontStyle19"/>
          <w:rFonts w:asciiTheme="minorBidi" w:eastAsia="Times New Roman" w:hAnsiTheme="minorBidi" w:cstheme="minorBidi" w:hint="cs"/>
          <w:sz w:val="36"/>
          <w:szCs w:val="36"/>
          <w:rtl/>
          <w:lang w:val="he" w:bidi="he"/>
        </w:rPr>
        <w:t>תקציר</w:t>
      </w:r>
      <w:r w:rsidR="007510FE">
        <w:rPr>
          <w:rStyle w:val="FontStyle19"/>
          <w:rFonts w:asciiTheme="minorBidi" w:eastAsia="Times New Roman" w:hAnsiTheme="minorBidi" w:cstheme="minorBidi"/>
          <w:sz w:val="36"/>
          <w:szCs w:val="36"/>
          <w:rtl/>
          <w:lang w:val="he" w:bidi="he"/>
        </w:rPr>
        <w:t xml:space="preserve"> הדיו</w:t>
      </w:r>
      <w:r>
        <w:rPr>
          <w:rStyle w:val="FontStyle19"/>
          <w:rFonts w:asciiTheme="minorBidi" w:eastAsia="Times New Roman" w:hAnsiTheme="minorBidi" w:cstheme="minorBidi" w:hint="cs"/>
          <w:sz w:val="36"/>
          <w:szCs w:val="36"/>
          <w:rtl/>
          <w:lang w:val="he" w:bidi="he"/>
        </w:rPr>
        <w:t>נים</w:t>
      </w:r>
    </w:p>
    <w:p w:rsidR="007510FE" w:rsidRPr="007510FE" w:rsidRDefault="007510FE" w:rsidP="007510FE">
      <w:pPr>
        <w:pStyle w:val="Style8"/>
        <w:widowControl/>
        <w:bidi/>
        <w:spacing w:beforeLines="40" w:before="96" w:afterLines="40" w:after="96" w:line="320" w:lineRule="atLeast"/>
        <w:jc w:val="both"/>
        <w:rPr>
          <w:rStyle w:val="FontStyle22"/>
          <w:rFonts w:asciiTheme="minorBidi" w:hAnsiTheme="minorBidi" w:cstheme="minorBidi"/>
          <w:sz w:val="28"/>
          <w:szCs w:val="28"/>
        </w:rPr>
      </w:pPr>
      <w:r>
        <w:rPr>
          <w:rStyle w:val="FontStyle22"/>
          <w:rFonts w:asciiTheme="minorBidi" w:eastAsia="Times New Roman" w:hAnsiTheme="minorBidi" w:cstheme="minorBidi"/>
          <w:sz w:val="28"/>
          <w:szCs w:val="28"/>
          <w:rtl/>
          <w:lang w:val="he" w:bidi="he"/>
        </w:rPr>
        <w:t>תמיכה ביעדי אינפלציה גמישים</w:t>
      </w:r>
    </w:p>
    <w:p w:rsidR="007510FE" w:rsidRDefault="007510FE" w:rsidP="00F62298">
      <w:pPr>
        <w:pStyle w:val="Style11"/>
        <w:widowControl/>
        <w:shd w:val="clear" w:color="auto" w:fill="17365D" w:themeFill="text2" w:themeFillShade="BF"/>
        <w:spacing w:beforeLines="40" w:before="96" w:afterLines="40" w:after="96" w:line="320" w:lineRule="atLeast"/>
        <w:jc w:val="left"/>
        <w:rPr>
          <w:rStyle w:val="FontStyle26"/>
          <w:rFonts w:asciiTheme="minorBidi" w:hAnsiTheme="minorBidi" w:cstheme="minorBidi"/>
          <w:sz w:val="24"/>
          <w:szCs w:val="24"/>
        </w:rPr>
      </w:pPr>
    </w:p>
    <w:p w:rsidR="007510FE" w:rsidRPr="007510FE" w:rsidRDefault="007510FE" w:rsidP="007510FE">
      <w:pPr>
        <w:pStyle w:val="Style11"/>
        <w:widowControl/>
        <w:bidi/>
        <w:spacing w:beforeLines="40" w:before="96" w:afterLines="40" w:after="96" w:line="320" w:lineRule="atLeast"/>
        <w:jc w:val="left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אין אתאיסטים בשוחות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Fonts w:asciiTheme="minorBidi" w:hAnsiTheme="minorBidi" w:cstheme="minorBidi"/>
          <w:rtl/>
        </w:rPr>
      </w:pPr>
    </w:p>
    <w:p w:rsidR="007510FE" w:rsidRPr="007510FE" w:rsidRDefault="007510FE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הדגיש כי במשבר פיננסי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בנקים מרכזיים מגלי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ם נכונות ונטייה רבה יותר לנקוט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אמצעים קיצוניים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דיבר על לקחי המשבר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בהתמקד על הלקחים שהופקו בנוגע למדיניות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מוניטרית ותפקידה המשתנה של הבנקאות המרכזית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5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2C082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הסביר כי לפני המשבר הפיננסי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ספרי הלימוד הסבירו כי מרגע ששיעורי הריבית מגיעים לאפס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4A496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קובעי המדיניות חייבים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לפעול דרך המדיניות הפיסקלית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אולם המשבר הוכיח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כי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מדיניות מוניטרית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בהגדרתה הרחבה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עדיין יכולה להשפיע על הכלכלה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אפילו כאשר מגיעים </w:t>
      </w:r>
      <w:r w:rsidR="002C082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לגבול התחתון של ריבית אפסית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602001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עדויות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אמפיריות 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הראו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כי פעולות של הקלה כמותית להגדלת הנזילות אכן השפיעו על מחירי הנכסים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לרבות שער החליפין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יתרה מכך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בנקים מרכזיים פעלו כעושי שוק של מוצא אחרון בשווקים פיננסיים מסוימים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11"/>
        <w:widowControl/>
        <w:spacing w:beforeLines="40" w:before="96" w:afterLines="40" w:after="96" w:line="320" w:lineRule="atLeast"/>
        <w:jc w:val="left"/>
        <w:rPr>
          <w:rFonts w:asciiTheme="minorBidi" w:hAnsiTheme="minorBidi" w:cstheme="minorBidi"/>
        </w:rPr>
      </w:pPr>
    </w:p>
    <w:p w:rsidR="007510FE" w:rsidRPr="007510FE" w:rsidRDefault="007510FE" w:rsidP="007510FE">
      <w:pPr>
        <w:pStyle w:val="Style11"/>
        <w:widowControl/>
        <w:bidi/>
        <w:spacing w:beforeLines="40" w:before="96" w:afterLines="40" w:after="96" w:line="320" w:lineRule="atLeast"/>
        <w:jc w:val="left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 פיננסית מערכתית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לא 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מקרו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יציבותית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אמר כי אף שפרידמן ושוורץ ייחסו את השפל הגדול לכישלון בהגדלת היצע הכסף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בן ברננקי בעבודתו דווקא הדגיש את קריסת מנגנון האשראי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יש בכך כדי להבליט את הקריטיות של המשך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תפקוד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של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צד האשראי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5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F056B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הרגולציה התחזקה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ובהקשר זה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צוינו במיוחד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הוראות באזל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I</w:t>
      </w:r>
      <w:r w:rsidR="00F056B6">
        <w:rPr>
          <w:rStyle w:val="FontStyle20"/>
          <w:rFonts w:asciiTheme="minorBidi" w:eastAsia="Times New Roman" w:hAnsiTheme="minorBidi" w:cstheme="minorBidi"/>
          <w:sz w:val="24"/>
          <w:szCs w:val="24"/>
        </w:rPr>
        <w:t>I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I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וה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פורום ליציבות פיננסית 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שהוחלף על ידי 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מועצה ליציבות פיננסית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 (</w:t>
      </w:r>
      <w:r w:rsidR="00F056B6">
        <w:rPr>
          <w:rStyle w:val="FontStyle20"/>
          <w:rFonts w:asciiTheme="minorBidi" w:eastAsia="Times New Roman" w:hAnsiTheme="minorBidi" w:cstheme="minorBidi"/>
          <w:sz w:val="24"/>
          <w:szCs w:val="24"/>
          <w:lang w:bidi="he"/>
        </w:rPr>
        <w:t>FSB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/>
        </w:rPr>
        <w:t>)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ועם זאת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עדיין לא ידוע עד כמה אפקטיביים יהיו שינויים אלה במשברים פיננסיים עתידיים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F62298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פישר הסב את תשומת הלב לשימוש המופרז והשגוי במונח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מקרו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' (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macroprudential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).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התפיסה של מדיניות מקרו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יציבותית מתייחסת לקשרי גומלין מערכתיים ולאופן ההתמודדות עמם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אולם אמצעים רבים המתוארים כמקרו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יציבותיים דומים יותר לתקנות הרגולציה משנות השישים והשבעים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המתמקדים בשווקים ספציפיים מסיבות של ניהול המערכת הפיננסית ברמת המיקרו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יש בכך כדי להסוות את סוגיית הליבה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והיא הטיפול של הבנקים המרכזיים ביציבות פיננסית מערכתית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11"/>
        <w:widowControl/>
        <w:bidi/>
        <w:spacing w:beforeLines="40" w:before="96" w:afterLines="40" w:after="96" w:line="320" w:lineRule="atLeast"/>
        <w:jc w:val="left"/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F62298">
      <w:pPr>
        <w:pStyle w:val="Style11"/>
        <w:widowControl/>
        <w:bidi/>
        <w:spacing w:beforeLines="40" w:before="96" w:afterLines="40" w:after="96" w:line="320" w:lineRule="atLeast"/>
        <w:jc w:val="left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lastRenderedPageBreak/>
        <w:t>תיאום מוגבר בין הרגולטורים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דרוש תיאום מוגבר בין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רגולטורים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/>
        </w:rPr>
        <w:t>.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בישראל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מדובר במפקח על הבנקים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שנמצא בבנק ישראל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ברשות ניירות ערך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ובממונה על שוק ההון ועל מוסדות כספיים אחרים שאינם בנקאיים הפועל כאגף באוצר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האתגר העיקרי טמון בכך שהרגולטורים פועלים על פי כללים שונים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ובנוסף קיים אי רצון מבני וכללי לוותר על זכויות יתר מסוימות לטובת המערכת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במקרה של ישראל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שיתוף פעולה בין הבנק המרכזי למשרד האוצר בפרט יכול לסלול את הדרך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לקידום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שמירה על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יציבות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פיננסית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12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602001">
      <w:pPr>
        <w:pStyle w:val="Style12"/>
        <w:widowControl/>
        <w:bidi/>
        <w:spacing w:beforeLines="40" w:before="96" w:afterLines="40" w:after="96" w:line="320" w:lineRule="atLeast"/>
        <w:rPr>
          <w:rStyle w:val="FontStyle17"/>
          <w:rFonts w:asciiTheme="minorBidi" w:hAnsiTheme="minorBidi" w:cstheme="minorBidi"/>
          <w:sz w:val="28"/>
          <w:szCs w:val="28"/>
        </w:rPr>
      </w:pPr>
    </w:p>
    <w:p w:rsidR="00F62298" w:rsidRDefault="00F62298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F056B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התייחס ל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מודל של הבנק אוף </w:t>
      </w:r>
      <w:proofErr w:type="spellStart"/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אינגלנד</w:t>
      </w:r>
      <w:proofErr w:type="spellEnd"/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כמודל מבטיח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שטמונה בו יכולת רבה יותר יחסית להגיע להסכמות ולעורר נכונות לשתף מידע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לדברי פישר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צמצום עצמאות הבנק המרכזי שתיגרם ביחס לשמירת היציבות הפיננסית היא בלתי נמנעת כמעט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היא אינה יוצרת בעיות מיוחדות כל עוד הבנק המרכזי שומר על עצמאותו בקביעת מדיניות מוניטרית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ללא ספק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דעת מיעוט בקרב אנשי בנקים מרכזיים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F056B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פישר ציין כי המשבר גם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שפך אור על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הקשר בין משברים פיננסיים למשברים פיסקליים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בעיות פיסקליות מובילות לעתים לבעיות במגזר הבנקאי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אך במקרים רבים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משבר פיננסי מוביל לקשיים 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במימון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הציבורי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מכיוון שהממשלה מתערבת במטרה למנוע קריסה של מוסדות כספיים שהייתה גורמת הפסדים גדולים למפקידים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F056B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קשר כזה ניכר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לדוגמה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במשבר האחרון באירלנד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F056B6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נהיה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ברור כי עלינו לפתח מנגנונים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שינתקו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או לפחות יחלישו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את הקשר בין משברים פיננסיים למשברים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פיסקליים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5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F056B6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מספר מכשירים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פותחו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בניסיון לנתק את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הזיקה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הז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ולצמצם את הסבירות </w:t>
      </w:r>
      <w:proofErr w:type="spellStart"/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שיווצר</w:t>
      </w:r>
      <w:proofErr w:type="spellEnd"/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חוסר יציבות דומה בעתיד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במובן מסוים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המגזר הפרטי הוכנס למערכת כמלווה של מוצא אחרון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02001" w:rsidRDefault="00602001" w:rsidP="007510FE">
      <w:pPr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02001">
      <w:pPr>
        <w:spacing w:beforeLines="40" w:before="96" w:afterLines="40" w:after="96" w:line="320" w:lineRule="atLeast"/>
        <w:rPr>
          <w:rFonts w:asciiTheme="minorBidi" w:hAnsiTheme="minorBidi" w:cstheme="minorBidi"/>
        </w:rPr>
      </w:pP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 xml:space="preserve">הדבר בלט במיוחד במשבר האחרון </w:t>
      </w:r>
      <w:r w:rsidR="00602001"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>ב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קפריסין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 xml:space="preserve">כאשר פיקדונות שלא היו מבוטחים חולצו כדי להפחית את הביקוש </w:t>
      </w:r>
      <w:r w:rsidR="00602001"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>להון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 xml:space="preserve"> </w:t>
      </w:r>
      <w:r w:rsidR="00602001"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>ה</w:t>
      </w:r>
      <w:r w:rsidR="00602001"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ציבורי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מחשבה רבה הוקדשה לחיזוק המנגנונים לפתרון מצבי משבר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בפרט באמצעות קביעת קדימויות ברורה עבור סוגים שונים של נושים</w:t>
      </w:r>
      <w:r>
        <w:rPr>
          <w:rFonts w:asciiTheme="minorBidi" w:hAnsiTheme="minorBidi" w:cstheme="minorBidi"/>
          <w:rtl/>
          <w:lang w:val="he"/>
        </w:rPr>
        <w:t>.</w:t>
      </w:r>
    </w:p>
    <w:p w:rsidR="007510FE" w:rsidRPr="007510FE" w:rsidRDefault="007510FE" w:rsidP="007510FE">
      <w:pPr>
        <w:bidi w:val="0"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502D8C" w:rsidRDefault="007510FE" w:rsidP="00602001">
      <w:pPr>
        <w:keepNext/>
        <w:bidi w:val="0"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602001">
      <w:pPr>
        <w:pStyle w:val="Style5"/>
        <w:keepNext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אמנם הבהרת מקומם של נושים בנקאיים שונים בדירוג הקדימו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יו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ת תסייע להפחית את הנטל על התקציב הציבורי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אך אין לשער שניתן יהיה להפחית את התערבויות המגזר הציבורי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עד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lastRenderedPageBreak/>
        <w:t>לאפס מבלי לגרום נזק ליציבות הפיננסית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בנוסף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כמו במקרים של איסלנד וקפריסין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אפשר שיהיה הכרח להפעיל בקרות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פיקוח על 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הון כדי לצמצם את השפעות המשבר הפיננסי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עם זאת,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ודאי נוכל להצליח יותר בניהול משברים פיננסיים ממה שהיה במקרים רבים בשנים האחרונות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11"/>
        <w:widowControl/>
        <w:spacing w:beforeLines="40" w:before="96" w:afterLines="40" w:after="96" w:line="320" w:lineRule="atLeast"/>
        <w:jc w:val="left"/>
        <w:rPr>
          <w:rFonts w:asciiTheme="minorBidi" w:hAnsiTheme="minorBidi" w:cstheme="minorBidi"/>
        </w:rPr>
      </w:pPr>
    </w:p>
    <w:p w:rsidR="007510FE" w:rsidRPr="007510FE" w:rsidRDefault="007510FE" w:rsidP="007510FE">
      <w:pPr>
        <w:pStyle w:val="Style11"/>
        <w:widowControl/>
        <w:bidi/>
        <w:spacing w:beforeLines="40" w:before="96" w:afterLines="40" w:after="96" w:line="320" w:lineRule="atLeast"/>
        <w:jc w:val="left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יעדי אינפלציה גמישים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02001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לא פעם נטען כי מאחר שלרשות בנקים מרכזיים עומד מכשיר אחד ויחיד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שיעור הריבית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או כמות הכסף </w:t>
      </w:r>
      <w:r w:rsidR="00602001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עליו לקבוע רק יעד מדיניות אחד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, והוא</w:t>
      </w:r>
      <w:r w:rsidR="00602001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שיעור האינפלציה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בפועל זה מעולם לא היה נכון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מכיוון שכל בנק מרכזי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בין אם הוא משתמש ביעדי אינפלציה ובין אם לאו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נותן את דעתו להשפעת מדיניותו גם על התוצר ועל התעסוקה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עובדה זו נלקחה בחשבון בפיתוח הגישה של יעדי אינפלציה גמישים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bidi w:val="0"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502D8C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בפועל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בנקים מרכזיים בוחרים </w:t>
      </w:r>
      <w:r w:rsidR="00502D8C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תוואי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זמן לאינפלציה ולתוצר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(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או תעסוקה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),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כך שההבדל בין גישת המנדט הכפול של הפדרל ריזרב ובין יעדי אינפלציה גמישים הוא קטן יחסית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בשני המקרים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קובעי המדיניות פועלים לגבי אופק של שנתיים עד שלוש שנים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/>
        </w:rPr>
        <w:t xml:space="preserve">, 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עם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עין פקוחה לעתיד</w:t>
      </w:r>
      <w:r w:rsidR="00B82C45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 הרחוק יותר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02001" w:rsidRDefault="00602001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16"/>
          <w:rFonts w:asciiTheme="minorBidi" w:hAnsiTheme="minorBidi" w:cstheme="minorBidi"/>
          <w:sz w:val="24"/>
          <w:szCs w:val="24"/>
          <w:rtl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פישר טען שהגישה של יעדי אינפלציה גמישים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הבנויה סביב מערך יעדים תלת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צדדי של מדיניות מוניטרית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ראשית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שמירה על יציבות מחירים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כהגדרתה על ידי הממשלה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שנית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תרומה ליעדים אחרים של מדיניות ממשלתית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בפרט צמיחה ותעסוקה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ושלישית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תרומה ליציבות הפיננסית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היא עדיין הדרך הנכונה עבור המדיניות המוניטרית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Pr="007510FE" w:rsidRDefault="00F62298" w:rsidP="00F62298">
      <w:pPr>
        <w:pStyle w:val="Style5"/>
        <w:widowControl/>
        <w:bidi/>
        <w:spacing w:beforeLines="40" w:before="96" w:afterLines="40" w:after="96" w:line="320" w:lineRule="atLeast"/>
        <w:rPr>
          <w:rStyle w:val="FontStyle16"/>
          <w:rFonts w:asciiTheme="minorBidi" w:hAnsiTheme="minorBidi" w:cstheme="minorBidi"/>
          <w:sz w:val="24"/>
          <w:szCs w:val="24"/>
        </w:rPr>
      </w:pPr>
    </w:p>
    <w:p w:rsidR="007510FE" w:rsidRPr="007510FE" w:rsidRDefault="007510FE" w:rsidP="007510FE">
      <w:pPr>
        <w:bidi w:val="0"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683A32" w:rsidRDefault="00683A32">
      <w:pPr>
        <w:bidi w:val="0"/>
        <w:rPr>
          <w:rStyle w:val="FontStyle21"/>
          <w:rFonts w:asciiTheme="minorBidi" w:hAnsiTheme="minorBidi" w:cstheme="minorBidi"/>
          <w:sz w:val="40"/>
          <w:szCs w:val="40"/>
          <w:rtl/>
          <w:lang w:val="he" w:bidi="he"/>
        </w:rPr>
      </w:pPr>
      <w:r>
        <w:rPr>
          <w:rStyle w:val="FontStyle21"/>
          <w:rFonts w:asciiTheme="minorBidi" w:hAnsiTheme="minorBidi" w:cstheme="minorBidi"/>
          <w:sz w:val="40"/>
          <w:szCs w:val="40"/>
          <w:rtl/>
          <w:lang w:val="he" w:bidi="he"/>
        </w:rPr>
        <w:br w:type="page"/>
      </w:r>
    </w:p>
    <w:p w:rsidR="007510FE" w:rsidRPr="007510FE" w:rsidRDefault="00F62298" w:rsidP="007510FE">
      <w:pPr>
        <w:pStyle w:val="Style1"/>
        <w:widowControl/>
        <w:bidi/>
        <w:spacing w:beforeLines="40" w:before="96" w:afterLines="40" w:after="96" w:line="320" w:lineRule="atLeast"/>
        <w:rPr>
          <w:rStyle w:val="FontStyle21"/>
          <w:rFonts w:asciiTheme="minorBidi" w:hAnsiTheme="minorBidi" w:cstheme="minorBidi"/>
          <w:sz w:val="40"/>
          <w:szCs w:val="40"/>
        </w:rPr>
      </w:pPr>
      <w:r>
        <w:rPr>
          <w:rStyle w:val="FontStyle21"/>
          <w:rFonts w:asciiTheme="minorBidi" w:eastAsia="Times New Roman" w:hAnsiTheme="minorBidi" w:cstheme="minorBidi" w:hint="cs"/>
          <w:sz w:val="40"/>
          <w:szCs w:val="40"/>
          <w:rtl/>
          <w:lang w:val="he" w:bidi="he"/>
        </w:rPr>
        <w:lastRenderedPageBreak/>
        <w:t>מן</w:t>
      </w:r>
      <w:r w:rsidR="007510FE">
        <w:rPr>
          <w:rStyle w:val="FontStyle21"/>
          <w:rFonts w:asciiTheme="minorBidi" w:eastAsia="Times New Roman" w:hAnsiTheme="minorBidi" w:cstheme="minorBidi"/>
          <w:sz w:val="40"/>
          <w:szCs w:val="40"/>
          <w:rtl/>
          <w:lang w:val="he" w:bidi="he"/>
        </w:rPr>
        <w:t xml:space="preserve"> החזית</w:t>
      </w:r>
    </w:p>
    <w:p w:rsidR="007510FE" w:rsidRDefault="007510FE" w:rsidP="007510FE">
      <w:pPr>
        <w:pStyle w:val="Style8"/>
        <w:widowControl/>
        <w:bidi/>
        <w:spacing w:beforeLines="40" w:before="96" w:afterLines="40" w:after="96" w:line="320" w:lineRule="atLeast"/>
        <w:rPr>
          <w:rStyle w:val="FontStyle22"/>
          <w:rFonts w:asciiTheme="minorBidi" w:hAnsiTheme="minorBidi" w:cstheme="minorBidi"/>
          <w:sz w:val="32"/>
          <w:szCs w:val="32"/>
          <w:rtl/>
        </w:rPr>
      </w:pPr>
      <w:r>
        <w:rPr>
          <w:rStyle w:val="FontStyle22"/>
          <w:rFonts w:asciiTheme="minorBidi" w:eastAsia="Times New Roman" w:hAnsiTheme="minorBidi" w:cstheme="minorBidi"/>
          <w:sz w:val="32"/>
          <w:szCs w:val="32"/>
          <w:rtl/>
          <w:lang w:val="he" w:bidi="he"/>
        </w:rPr>
        <w:t>אחרי המיתון הגדול</w:t>
      </w:r>
    </w:p>
    <w:p w:rsidR="00683A32" w:rsidRPr="007510FE" w:rsidRDefault="00683A32" w:rsidP="00683A32">
      <w:pPr>
        <w:pStyle w:val="Style8"/>
        <w:widowControl/>
        <w:bidi/>
        <w:spacing w:beforeLines="40" w:before="96" w:afterLines="40" w:after="96" w:line="320" w:lineRule="atLeast"/>
        <w:rPr>
          <w:rStyle w:val="FontStyle22"/>
          <w:rFonts w:asciiTheme="minorBidi" w:hAnsiTheme="minorBidi" w:cstheme="minorBidi"/>
          <w:sz w:val="32"/>
          <w:szCs w:val="32"/>
        </w:rPr>
      </w:pPr>
    </w:p>
    <w:p w:rsidR="007510FE" w:rsidRPr="007510FE" w:rsidRDefault="007510FE" w:rsidP="00F62298">
      <w:pPr>
        <w:pStyle w:val="Style3"/>
        <w:widowControl/>
        <w:shd w:val="clear" w:color="auto" w:fill="17365D" w:themeFill="text2" w:themeFillShade="BF"/>
        <w:bidi/>
        <w:spacing w:beforeLines="40" w:before="96" w:afterLines="40" w:after="96" w:line="320" w:lineRule="atLeast"/>
        <w:ind w:firstLine="234"/>
        <w:jc w:val="both"/>
        <w:rPr>
          <w:rStyle w:val="FontStyle23"/>
          <w:rFonts w:asciiTheme="minorBidi" w:hAnsiTheme="minorBidi" w:cstheme="minorBidi"/>
          <w:sz w:val="24"/>
          <w:szCs w:val="24"/>
        </w:rPr>
      </w:pPr>
      <w:r>
        <w:rPr>
          <w:rStyle w:val="FontStyle23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גבריאל סטיין</w:t>
      </w:r>
      <w:r>
        <w:rPr>
          <w:rStyle w:val="FontStyle23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3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יועץ כלכלי ראשי</w:t>
      </w:r>
      <w:r>
        <w:rPr>
          <w:rStyle w:val="FontStyle23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3"/>
          <w:rFonts w:asciiTheme="minorBidi" w:eastAsia="Times New Roman" w:hAnsiTheme="minorBidi" w:cstheme="minorBidi"/>
          <w:sz w:val="24"/>
          <w:szCs w:val="24"/>
        </w:rPr>
        <w:t>OMFIF</w:t>
      </w:r>
    </w:p>
    <w:p w:rsidR="00683A32" w:rsidRDefault="00683A32" w:rsidP="007510FE">
      <w:pPr>
        <w:pStyle w:val="Style11"/>
        <w:widowControl/>
        <w:bidi/>
        <w:spacing w:beforeLines="40" w:before="96" w:afterLines="40" w:after="96" w:line="320" w:lineRule="atLeast"/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683A32" w:rsidP="00683A32">
      <w:pPr>
        <w:pStyle w:val="Style11"/>
        <w:widowControl/>
        <w:bidi/>
        <w:spacing w:beforeLines="40" w:before="96" w:afterLines="40" w:after="96" w:line="320" w:lineRule="atLeast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הרצאת נגיד בנק ישראל פישר במסגרת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7510FE">
        <w:rPr>
          <w:rStyle w:val="FontStyle26"/>
          <w:rFonts w:asciiTheme="minorBidi" w:eastAsia="Times New Roman" w:hAnsiTheme="minorBidi" w:cstheme="minorBidi"/>
          <w:i/>
          <w:iCs/>
          <w:sz w:val="24"/>
          <w:szCs w:val="24"/>
          <w:rtl/>
          <w:lang w:val="he" w:bidi="he"/>
        </w:rPr>
        <w:t>הרצאות הזהב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נתנה לא מעט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"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מזון למחשבה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".</w:t>
      </w:r>
      <w:r w:rsidR="007510FE">
        <w:rPr>
          <w:rStyle w:val="FontStyle26"/>
          <w:rFonts w:asciiTheme="minorBidi" w:eastAsia="Times New Roman" w:hAnsiTheme="minorBidi" w:cstheme="minorBidi"/>
          <w:b w:val="0"/>
          <w:bCs w:val="0"/>
          <w:sz w:val="24"/>
          <w:szCs w:val="24"/>
          <w:rtl/>
          <w:lang w:val="he"/>
        </w:rPr>
        <w:t xml:space="preserve">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אולי המעניין מכול הוא שחלק מטיעוניו קור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אים תיגר על מה שכבר התקבע כדעה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מוסכמת על המשבר 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החל בדעה המקובלת מאוד שאיש לא צפה את המשבר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(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המוכר גם בכינוי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"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שאלת המלכה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").</w:t>
      </w:r>
      <w:r w:rsidR="007510FE">
        <w:rPr>
          <w:rStyle w:val="FontStyle26"/>
          <w:rFonts w:asciiTheme="minorBidi" w:eastAsia="Times New Roman" w:hAnsiTheme="minorBidi" w:cstheme="minorBidi"/>
          <w:b w:val="0"/>
          <w:bCs w:val="0"/>
          <w:sz w:val="24"/>
          <w:szCs w:val="24"/>
          <w:rtl/>
          <w:lang w:val="he"/>
        </w:rPr>
        <w:t xml:space="preserve">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כפי שאמר פישר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השאלה הנכונה הייתה צריכה להיות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: 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מדוע התעלמו מהאזהרות הרבות</w:t>
      </w:r>
      <w:r w:rsidR="007510FE"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?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נקודה נוספת שהוזכרה הייתה הטענה העולה שוב ושוב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כי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הבנקים המרכזיים התמקדו באופן מופרז על יעדי האינפלציה ויציבות המחירים והתעלמו מההשלכות של צמיחת התוצר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לדברי פישר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כל הבנקים המרכזיים מודעים לשקלולי התמורות בין צמיחה ויציבות מחירים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ומביאים את שניהם בחשבון בבואם לקבוע מדיניות מוניטרית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אבל זה היה בעבר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המעניין יותר הוא מה שהיה לפישר לומר על העתיד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אחד הדברים שהוא הבהיר למן ההתחלה הוא שבעתיד יהיו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גם יהיו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משברים פיננסיים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האם מאמצינו להגברת הרגולציה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כמו הסכמי באזל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III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או המועצה ליציבות פיננסית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יספיקו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כדי להפחית את ההסתברות למשברים אלה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?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זאת לא נוכל לדעת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הדבר יקרה למרות מבחני הקיצון או תרגילים אחרים שמנסים למדוד סיכונים עתידיים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גם לא נוכל לדעת אם מכשירים חדשים שנועדו להפחית את פגיעותם של בנקים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כמו אג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"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ח תלויים להמרה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(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</w:rPr>
        <w:t>CoCos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),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באמת עובדים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,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אלא לאחר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שהם ייכנסו לפעולה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683A32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לדעה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זו השלכות על הגישה הכללית למדיניות מקרו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ז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ו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הפ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כה מכבר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לאח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 xml:space="preserve">מ'מילות </w:t>
      </w:r>
      <w:proofErr w:type="spellStart"/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הבאז</w:t>
      </w:r>
      <w:proofErr w:type="spellEnd"/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'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של הארכיטקטורה הפיננסית לאחר המשבר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אולם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כפי שציין פישר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פיקוח מקרו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 ורגולציה אינם נטולי בעיות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ראשית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מפני שהאינטראקציה שלהם עם המערכת הפיננסית עשויה בעצמה לייצר חוסר יציבות</w:t>
      </w:r>
      <w:r w:rsidR="007510FE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שנית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מפני שיש פיתוי עז להשתמש במילה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מקרו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-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יציבותי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'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בצורה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גמישה ביותר,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כך שמשמעותה היא כל דבר שנרצה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–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בעיקר כדי להצדיק התערבויות מפורטות שאין להן דבר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ואף חצי דבר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עם יציבות פיננסיות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5"/>
        <w:widowControl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p w:rsidR="007510FE" w:rsidRPr="007510FE" w:rsidRDefault="007510FE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lastRenderedPageBreak/>
        <w:t>האם משמעו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ת הדבר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שבנקים מרכזיים ורשויות פיננסיות צריכים להימנע מהניסיון להסדיר ולייצב את השווקים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?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לא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משמעו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ת הדבר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שהם חייבים לנהוג במידה מסוימת של ענווה בריאה כלפי מה שניתן או לא ניתן להשיג באמצעות רגולציה ומניעה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ולהיות מודעים להשלכות בלתי רצויות שהן בלתי נמנעות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7510FE" w:rsidP="00683A32">
      <w:pPr>
        <w:pStyle w:val="Style5"/>
        <w:widowControl/>
        <w:bidi/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</w:rPr>
      </w:pP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בנוסף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 w:rsidR="00683A32"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אין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זה אומר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שבנקים מרכזיים ורשויות פיננסיות צריכים להימנע מפעולה לנוכח משבר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.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אדרבא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בין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דברי הביקורת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שהושמעו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נגד סר </w:t>
      </w:r>
      <w:proofErr w:type="spellStart"/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מרווין</w:t>
      </w:r>
      <w:proofErr w:type="spellEnd"/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קינג 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נאמר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שחששותיו לייצור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'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בהל</w:t>
      </w:r>
      <w:r w:rsidR="00683A32">
        <w:rPr>
          <w:rStyle w:val="FontStyle20"/>
          <w:rFonts w:asciiTheme="minorBidi" w:eastAsia="Times New Roman" w:hAnsiTheme="minorBidi" w:cstheme="minorBidi" w:hint="cs"/>
          <w:sz w:val="24"/>
          <w:szCs w:val="24"/>
          <w:rtl/>
          <w:lang w:val="he" w:bidi="he"/>
        </w:rPr>
        <w:t>ת מוסר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' 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 w:bidi="he"/>
        </w:rPr>
        <w:t>מנעו מבנק אנגליה לנקוט מעשים כאשר המשבר פרץ</w:t>
      </w:r>
      <w:r>
        <w:rPr>
          <w:rStyle w:val="FontStyle20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683A32" w:rsidRDefault="00683A32" w:rsidP="007510FE">
      <w:pPr>
        <w:spacing w:beforeLines="40" w:before="96" w:afterLines="40" w:after="96" w:line="320" w:lineRule="atLeast"/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</w:pPr>
    </w:p>
    <w:p w:rsidR="007510FE" w:rsidRPr="007510FE" w:rsidRDefault="00683A32" w:rsidP="00683A32">
      <w:pPr>
        <w:spacing w:beforeLines="40" w:before="96" w:afterLines="40" w:after="96" w:line="320" w:lineRule="atLeast"/>
        <w:rPr>
          <w:rFonts w:asciiTheme="minorBidi" w:hAnsiTheme="minorBidi" w:cstheme="minorBidi"/>
        </w:rPr>
      </w:pPr>
      <w:r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>במילותיו של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 xml:space="preserve"> פישר</w:t>
      </w:r>
      <w:r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>: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 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במצבי קיצון</w:t>
      </w:r>
      <w:r>
        <w:rPr>
          <w:rStyle w:val="FontStyle20"/>
          <w:rFonts w:asciiTheme="minorBidi" w:hAnsiTheme="minorBidi" w:cstheme="minorBidi" w:hint="cs"/>
          <w:sz w:val="24"/>
          <w:szCs w:val="24"/>
          <w:rtl/>
          <w:lang w:val="he" w:bidi="he"/>
        </w:rPr>
        <w:t xml:space="preserve"> 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אל תהיה טהרן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. 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 xml:space="preserve">עד כמה יצליח העולם לעמוד במשבר הפיננסי הבא </w:t>
      </w:r>
      <w:r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>–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 xml:space="preserve"> 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 w:bidi="he"/>
        </w:rPr>
        <w:t>הדבר יהיה תלוי במידה רבה במידת האימוץ של לקחים אלה</w:t>
      </w:r>
      <w:r w:rsidR="007510FE">
        <w:rPr>
          <w:rStyle w:val="FontStyle20"/>
          <w:rFonts w:asciiTheme="minorBidi" w:hAnsiTheme="minorBidi" w:cstheme="minorBidi"/>
          <w:sz w:val="24"/>
          <w:szCs w:val="24"/>
          <w:rtl/>
          <w:lang w:val="he"/>
        </w:rPr>
        <w:t>.</w:t>
      </w:r>
    </w:p>
    <w:p w:rsidR="00F62298" w:rsidRDefault="00F62298" w:rsidP="007510FE">
      <w:pPr>
        <w:pStyle w:val="Style11"/>
        <w:widowControl/>
        <w:bidi/>
        <w:spacing w:beforeLines="40" w:before="96" w:afterLines="40" w:after="96" w:line="320" w:lineRule="atLeast"/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</w:p>
    <w:p w:rsidR="00F62298" w:rsidRDefault="00F62298" w:rsidP="00F62298">
      <w:pPr>
        <w:pStyle w:val="Style11"/>
        <w:widowControl/>
        <w:bidi/>
        <w:spacing w:beforeLines="40" w:before="96" w:afterLines="40" w:after="96" w:line="320" w:lineRule="atLeast"/>
        <w:jc w:val="center"/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</w:pPr>
      <w:r>
        <w:rPr>
          <w:noProof/>
        </w:rPr>
        <w:drawing>
          <wp:inline distT="0" distB="0" distL="0" distR="0" wp14:anchorId="3E315465" wp14:editId="08A08581">
            <wp:extent cx="2946032" cy="863492"/>
            <wp:effectExtent l="0" t="0" r="698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6032" cy="86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FE" w:rsidRDefault="007510FE" w:rsidP="00F62298">
      <w:pPr>
        <w:pStyle w:val="Style11"/>
        <w:widowControl/>
        <w:bidi/>
        <w:spacing w:beforeLines="40" w:before="96" w:afterLines="40" w:after="96" w:line="320" w:lineRule="atLeast"/>
        <w:jc w:val="center"/>
        <w:rPr>
          <w:rStyle w:val="FontStyle26"/>
          <w:rFonts w:asciiTheme="minorBidi" w:hAnsiTheme="minorBidi" w:cstheme="minorBidi"/>
          <w:sz w:val="24"/>
          <w:szCs w:val="24"/>
        </w:rPr>
      </w:pP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לפרטים נוספים על דוחות וסיכומים של 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</w:rPr>
        <w:t>OMFIF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 בנושאים דומים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 xml:space="preserve">, </w:t>
      </w:r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 w:bidi="he"/>
        </w:rPr>
        <w:t xml:space="preserve">נא לפנות אל </w:t>
      </w:r>
      <w:hyperlink r:id="rId8" w:history="1">
        <w:r>
          <w:rPr>
            <w:rStyle w:val="FontStyle26"/>
            <w:rFonts w:asciiTheme="minorBidi" w:eastAsia="Times New Roman" w:hAnsiTheme="minorBidi" w:cstheme="minorBidi"/>
            <w:sz w:val="24"/>
            <w:szCs w:val="24"/>
            <w:u w:val="single"/>
          </w:rPr>
          <w:t>editorial@omfif.org</w:t>
        </w:r>
      </w:hyperlink>
      <w:r>
        <w:rPr>
          <w:rStyle w:val="FontStyle26"/>
          <w:rFonts w:asciiTheme="minorBidi" w:eastAsia="Times New Roman" w:hAnsiTheme="minorBidi" w:cstheme="minorBidi"/>
          <w:sz w:val="24"/>
          <w:szCs w:val="24"/>
          <w:rtl/>
          <w:lang w:val="he"/>
        </w:rPr>
        <w:t>.</w:t>
      </w:r>
    </w:p>
    <w:p w:rsidR="007510FE" w:rsidRPr="007510FE" w:rsidRDefault="007510FE" w:rsidP="007510FE">
      <w:pPr>
        <w:pStyle w:val="Style11"/>
        <w:widowControl/>
        <w:spacing w:beforeLines="40" w:before="96" w:afterLines="40" w:after="96" w:line="320" w:lineRule="atLeast"/>
        <w:rPr>
          <w:rStyle w:val="FontStyle26"/>
          <w:rFonts w:asciiTheme="minorBidi" w:hAnsiTheme="minorBidi" w:cstheme="minorBidi"/>
          <w:sz w:val="24"/>
          <w:szCs w:val="24"/>
        </w:rPr>
      </w:pPr>
    </w:p>
    <w:p w:rsidR="00F62298" w:rsidRDefault="007510FE" w:rsidP="007510FE">
      <w:pPr>
        <w:pStyle w:val="Style13"/>
        <w:widowControl/>
        <w:bidi/>
        <w:spacing w:beforeLines="40" w:before="96" w:afterLines="40" w:after="96" w:line="320" w:lineRule="atLeast"/>
        <w:ind w:left="756" w:right="756"/>
        <w:rPr>
          <w:rStyle w:val="FontStyle27"/>
          <w:rFonts w:asciiTheme="minorBidi" w:eastAsia="Times New Roman" w:hAnsiTheme="minorBidi" w:cstheme="minorBidi"/>
          <w:sz w:val="24"/>
          <w:szCs w:val="24"/>
        </w:rPr>
      </w:pPr>
      <w:r w:rsidRPr="00F62298">
        <w:rPr>
          <w:rStyle w:val="FontStyle27"/>
          <w:rFonts w:asciiTheme="minorBidi" w:eastAsia="Times New Roman" w:hAnsiTheme="minorBidi" w:cstheme="minorBidi"/>
          <w:sz w:val="24"/>
          <w:szCs w:val="24"/>
        </w:rPr>
        <w:t xml:space="preserve">Official Monetary and Financial Institutions Forum, One Lyric Square, London W6 0NB </w:t>
      </w:r>
    </w:p>
    <w:p w:rsidR="00F62298" w:rsidRDefault="007510FE" w:rsidP="00F62298">
      <w:pPr>
        <w:pStyle w:val="Style13"/>
        <w:widowControl/>
        <w:bidi/>
        <w:spacing w:beforeLines="40" w:before="96" w:afterLines="40" w:after="96" w:line="320" w:lineRule="atLeast"/>
        <w:ind w:left="756" w:right="756"/>
        <w:rPr>
          <w:rStyle w:val="FontStyle27"/>
          <w:rFonts w:asciiTheme="minorBidi" w:eastAsia="Times New Roman" w:hAnsiTheme="minorBidi" w:cstheme="minorBidi"/>
          <w:sz w:val="24"/>
          <w:szCs w:val="24"/>
        </w:rPr>
      </w:pPr>
      <w:r w:rsidRPr="00F62298">
        <w:rPr>
          <w:rStyle w:val="FontStyle27"/>
          <w:rFonts w:asciiTheme="minorBidi" w:eastAsia="Times New Roman" w:hAnsiTheme="minorBidi" w:cstheme="minorBidi"/>
          <w:sz w:val="24"/>
          <w:szCs w:val="24"/>
        </w:rPr>
        <w:t xml:space="preserve">Tel: +44 (0)20 3008 5262 </w:t>
      </w:r>
    </w:p>
    <w:p w:rsidR="00F62298" w:rsidRDefault="007510FE" w:rsidP="00F62298">
      <w:pPr>
        <w:pStyle w:val="Style13"/>
        <w:widowControl/>
        <w:bidi/>
        <w:spacing w:beforeLines="40" w:before="96" w:afterLines="40" w:after="96" w:line="320" w:lineRule="atLeast"/>
        <w:ind w:left="756" w:right="756"/>
        <w:rPr>
          <w:rStyle w:val="FontStyle27"/>
          <w:rFonts w:asciiTheme="minorBidi" w:eastAsia="Times New Roman" w:hAnsiTheme="minorBidi" w:cstheme="minorBidi"/>
          <w:sz w:val="24"/>
          <w:szCs w:val="24"/>
        </w:rPr>
      </w:pPr>
      <w:r w:rsidRPr="00F62298">
        <w:rPr>
          <w:rStyle w:val="FontStyle27"/>
          <w:rFonts w:asciiTheme="minorBidi" w:eastAsia="Times New Roman" w:hAnsiTheme="minorBidi" w:cstheme="minorBidi"/>
          <w:sz w:val="24"/>
          <w:szCs w:val="24"/>
        </w:rPr>
        <w:t xml:space="preserve">Fax: +44 (0)20 3008 8426 </w:t>
      </w:r>
    </w:p>
    <w:p w:rsidR="007510FE" w:rsidRPr="00F62298" w:rsidRDefault="007510FE" w:rsidP="00F62298">
      <w:pPr>
        <w:pStyle w:val="Style13"/>
        <w:widowControl/>
        <w:bidi/>
        <w:spacing w:beforeLines="40" w:before="96" w:afterLines="40" w:after="96" w:line="320" w:lineRule="atLeast"/>
        <w:ind w:left="756" w:right="756"/>
        <w:rPr>
          <w:rStyle w:val="FontStyle27"/>
          <w:rFonts w:asciiTheme="minorBidi" w:eastAsia="Times New Roman" w:hAnsiTheme="minorBidi" w:cstheme="minorBidi"/>
          <w:sz w:val="24"/>
          <w:szCs w:val="24"/>
        </w:rPr>
      </w:pPr>
      <w:proofErr w:type="gramStart"/>
      <w:r w:rsidRPr="00F62298">
        <w:rPr>
          <w:rStyle w:val="FontStyle27"/>
          <w:rFonts w:asciiTheme="minorBidi" w:eastAsia="Times New Roman" w:hAnsiTheme="minorBidi" w:cstheme="minorBidi"/>
          <w:sz w:val="24"/>
          <w:szCs w:val="24"/>
        </w:rPr>
        <w:t>www</w:t>
      </w:r>
      <w:proofErr w:type="gramEnd"/>
      <w:r w:rsidRPr="00F62298">
        <w:rPr>
          <w:rStyle w:val="FontStyle27"/>
          <w:rFonts w:asciiTheme="minorBidi" w:eastAsia="Times New Roman" w:hAnsiTheme="minorBidi" w:cstheme="minorBidi"/>
          <w:sz w:val="24"/>
          <w:szCs w:val="24"/>
        </w:rPr>
        <w:t xml:space="preserve">. </w:t>
      </w:r>
      <w:hyperlink r:id="rId9" w:history="1">
        <w:r w:rsidRPr="00F62298">
          <w:rPr>
            <w:rStyle w:val="FontStyle27"/>
            <w:rFonts w:asciiTheme="minorBidi" w:eastAsia="Times New Roman" w:hAnsiTheme="minorBidi" w:cstheme="minorBidi"/>
            <w:sz w:val="24"/>
            <w:szCs w:val="24"/>
          </w:rPr>
          <w:t>omfif.org</w:t>
        </w:r>
        <w:r w:rsidRPr="00F62298">
          <w:rPr>
            <w:rStyle w:val="FontStyle27"/>
            <w:rFonts w:asciiTheme="minorBidi" w:eastAsia="Times New Roman" w:hAnsiTheme="minorBidi" w:cstheme="minorBidi"/>
            <w:sz w:val="24"/>
            <w:szCs w:val="24"/>
            <w:rtl/>
            <w:lang w:val="he"/>
          </w:rPr>
          <w:t xml:space="preserve"> </w:t>
        </w:r>
      </w:hyperlink>
    </w:p>
    <w:p w:rsidR="007510FE" w:rsidRPr="007510FE" w:rsidRDefault="007510FE" w:rsidP="007510FE">
      <w:pPr>
        <w:pStyle w:val="Style13"/>
        <w:widowControl/>
        <w:bidi/>
        <w:spacing w:beforeLines="40" w:before="96" w:afterLines="40" w:after="96" w:line="320" w:lineRule="atLeast"/>
        <w:ind w:left="756" w:right="756"/>
        <w:rPr>
          <w:rStyle w:val="FontStyle27"/>
          <w:rFonts w:asciiTheme="minorBidi" w:hAnsiTheme="minorBidi" w:cstheme="minorBidi"/>
          <w:sz w:val="24"/>
          <w:szCs w:val="24"/>
        </w:rPr>
      </w:pPr>
      <w:r>
        <w:rPr>
          <w:rStyle w:val="FontStyle27"/>
          <w:rFonts w:asciiTheme="minorBidi" w:eastAsia="Times New Roman" w:hAnsiTheme="minorBidi" w:cstheme="minorBidi"/>
          <w:sz w:val="24"/>
          <w:szCs w:val="24"/>
        </w:rPr>
        <w:t>Registered in England and Wales 7032533</w:t>
      </w:r>
    </w:p>
    <w:p w:rsidR="007510FE" w:rsidRPr="007510FE" w:rsidRDefault="007510FE" w:rsidP="007510FE">
      <w:pPr>
        <w:bidi w:val="0"/>
        <w:spacing w:beforeLines="40" w:before="96" w:afterLines="40" w:after="96" w:line="320" w:lineRule="atLeast"/>
        <w:rPr>
          <w:rFonts w:asciiTheme="minorBidi" w:hAnsiTheme="minorBidi" w:cstheme="minorBidi"/>
        </w:rPr>
      </w:pPr>
    </w:p>
    <w:sectPr w:rsidR="007510FE" w:rsidRPr="007510FE" w:rsidSect="00281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F0" w:rsidRDefault="005965F0" w:rsidP="005965F0">
      <w:r>
        <w:separator/>
      </w:r>
    </w:p>
  </w:endnote>
  <w:endnote w:type="continuationSeparator" w:id="0">
    <w:p w:rsidR="005965F0" w:rsidRDefault="005965F0" w:rsidP="0059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F0" w:rsidRDefault="005965F0" w:rsidP="005965F0">
      <w:r>
        <w:separator/>
      </w:r>
    </w:p>
  </w:footnote>
  <w:footnote w:type="continuationSeparator" w:id="0">
    <w:p w:rsidR="005965F0" w:rsidRDefault="005965F0" w:rsidP="00596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F0" w:rsidRDefault="005965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E"/>
    <w:rsid w:val="00033262"/>
    <w:rsid w:val="00056CDF"/>
    <w:rsid w:val="00060A8C"/>
    <w:rsid w:val="00083DC0"/>
    <w:rsid w:val="00134F31"/>
    <w:rsid w:val="00136291"/>
    <w:rsid w:val="001E444A"/>
    <w:rsid w:val="001F327C"/>
    <w:rsid w:val="002442C0"/>
    <w:rsid w:val="002453C0"/>
    <w:rsid w:val="0025125E"/>
    <w:rsid w:val="00266FE8"/>
    <w:rsid w:val="0028109A"/>
    <w:rsid w:val="00286F77"/>
    <w:rsid w:val="002C0826"/>
    <w:rsid w:val="002C6034"/>
    <w:rsid w:val="002E6E4F"/>
    <w:rsid w:val="00331EE1"/>
    <w:rsid w:val="00374316"/>
    <w:rsid w:val="003D3F53"/>
    <w:rsid w:val="00405363"/>
    <w:rsid w:val="0046153A"/>
    <w:rsid w:val="004A4966"/>
    <w:rsid w:val="004F33A1"/>
    <w:rsid w:val="00502D8C"/>
    <w:rsid w:val="00551C2B"/>
    <w:rsid w:val="00557434"/>
    <w:rsid w:val="005965F0"/>
    <w:rsid w:val="005D4B3B"/>
    <w:rsid w:val="005F3463"/>
    <w:rsid w:val="00602001"/>
    <w:rsid w:val="00643320"/>
    <w:rsid w:val="0068299F"/>
    <w:rsid w:val="00683A32"/>
    <w:rsid w:val="00696008"/>
    <w:rsid w:val="006E2C3D"/>
    <w:rsid w:val="006F0017"/>
    <w:rsid w:val="006F13E9"/>
    <w:rsid w:val="00715763"/>
    <w:rsid w:val="0071789C"/>
    <w:rsid w:val="00732EBC"/>
    <w:rsid w:val="007510FE"/>
    <w:rsid w:val="007F0A8B"/>
    <w:rsid w:val="00844627"/>
    <w:rsid w:val="00914A5A"/>
    <w:rsid w:val="00944DA3"/>
    <w:rsid w:val="00951054"/>
    <w:rsid w:val="0097061C"/>
    <w:rsid w:val="009D0EB4"/>
    <w:rsid w:val="009D737A"/>
    <w:rsid w:val="00A13B2E"/>
    <w:rsid w:val="00B022BC"/>
    <w:rsid w:val="00B72CFB"/>
    <w:rsid w:val="00B82C45"/>
    <w:rsid w:val="00C73F08"/>
    <w:rsid w:val="00C86363"/>
    <w:rsid w:val="00D26699"/>
    <w:rsid w:val="00D572E0"/>
    <w:rsid w:val="00DB7721"/>
    <w:rsid w:val="00E6018A"/>
    <w:rsid w:val="00EE5B21"/>
    <w:rsid w:val="00F056B6"/>
    <w:rsid w:val="00F07E66"/>
    <w:rsid w:val="00F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paragraph" w:customStyle="1" w:styleId="Style5">
    <w:name w:val="Style5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238" w:lineRule="exact"/>
      <w:jc w:val="both"/>
    </w:pPr>
    <w:rPr>
      <w:rFonts w:ascii="Century Gothic" w:eastAsiaTheme="minorEastAsia" w:hAnsi="Century Gothic" w:cs="Arial"/>
    </w:rPr>
  </w:style>
  <w:style w:type="paragraph" w:customStyle="1" w:styleId="Style7">
    <w:name w:val="Style7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paragraph" w:customStyle="1" w:styleId="Style8">
    <w:name w:val="Style8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15">
    <w:name w:val="Font Style15"/>
    <w:basedOn w:val="a0"/>
    <w:uiPriority w:val="99"/>
    <w:rsid w:val="007510FE"/>
    <w:rPr>
      <w:rFonts w:ascii="Century Gothic" w:hAnsi="Century Gothic" w:cs="Century Gothic"/>
      <w:b/>
      <w:bCs/>
      <w:sz w:val="22"/>
      <w:szCs w:val="22"/>
      <w:lang w:bidi="he-IL"/>
    </w:rPr>
  </w:style>
  <w:style w:type="character" w:customStyle="1" w:styleId="FontStyle16">
    <w:name w:val="Font Style16"/>
    <w:basedOn w:val="a0"/>
    <w:uiPriority w:val="99"/>
    <w:rsid w:val="007510FE"/>
    <w:rPr>
      <w:rFonts w:ascii="Century Gothic" w:hAnsi="Century Gothic" w:cs="Century Gothic"/>
      <w:i/>
      <w:iCs/>
      <w:spacing w:val="-10"/>
      <w:sz w:val="16"/>
      <w:szCs w:val="16"/>
      <w:lang w:bidi="he-IL"/>
    </w:rPr>
  </w:style>
  <w:style w:type="character" w:customStyle="1" w:styleId="FontStyle19">
    <w:name w:val="Font Style19"/>
    <w:basedOn w:val="a0"/>
    <w:uiPriority w:val="99"/>
    <w:rsid w:val="007510FE"/>
    <w:rPr>
      <w:rFonts w:ascii="Century Gothic" w:hAnsi="Century Gothic" w:cs="Century Gothic"/>
      <w:b/>
      <w:bCs/>
      <w:sz w:val="50"/>
      <w:szCs w:val="50"/>
      <w:lang w:bidi="he-IL"/>
    </w:rPr>
  </w:style>
  <w:style w:type="character" w:customStyle="1" w:styleId="FontStyle20">
    <w:name w:val="Font Style20"/>
    <w:basedOn w:val="a0"/>
    <w:uiPriority w:val="99"/>
    <w:rsid w:val="007510FE"/>
    <w:rPr>
      <w:rFonts w:ascii="Century Gothic" w:hAnsi="Century Gothic" w:cs="Century Gothic"/>
      <w:sz w:val="16"/>
      <w:szCs w:val="16"/>
      <w:lang w:bidi="he-IL"/>
    </w:rPr>
  </w:style>
  <w:style w:type="character" w:customStyle="1" w:styleId="FontStyle22">
    <w:name w:val="Font Style22"/>
    <w:basedOn w:val="a0"/>
    <w:uiPriority w:val="99"/>
    <w:rsid w:val="007510FE"/>
    <w:rPr>
      <w:rFonts w:ascii="Century Gothic" w:hAnsi="Century Gothic" w:cs="Century Gothic"/>
      <w:sz w:val="36"/>
      <w:szCs w:val="36"/>
      <w:lang w:bidi="he-IL"/>
    </w:rPr>
  </w:style>
  <w:style w:type="paragraph" w:customStyle="1" w:styleId="Style11">
    <w:name w:val="Style11"/>
    <w:basedOn w:val="a"/>
    <w:uiPriority w:val="99"/>
    <w:rsid w:val="007510FE"/>
    <w:pPr>
      <w:widowControl w:val="0"/>
      <w:autoSpaceDE w:val="0"/>
      <w:autoSpaceDN w:val="0"/>
      <w:bidi w:val="0"/>
      <w:adjustRightInd w:val="0"/>
      <w:jc w:val="both"/>
    </w:pPr>
    <w:rPr>
      <w:rFonts w:ascii="Century Gothic" w:eastAsiaTheme="minorEastAsia" w:hAnsi="Century Gothic" w:cs="Arial"/>
    </w:rPr>
  </w:style>
  <w:style w:type="paragraph" w:customStyle="1" w:styleId="Style12">
    <w:name w:val="Style12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336" w:lineRule="exact"/>
    </w:pPr>
    <w:rPr>
      <w:rFonts w:ascii="Century Gothic" w:eastAsiaTheme="minorEastAsia" w:hAnsi="Century Gothic" w:cs="Arial"/>
    </w:rPr>
  </w:style>
  <w:style w:type="character" w:customStyle="1" w:styleId="FontStyle17">
    <w:name w:val="Font Style17"/>
    <w:basedOn w:val="a0"/>
    <w:uiPriority w:val="99"/>
    <w:rsid w:val="007510FE"/>
    <w:rPr>
      <w:rFonts w:ascii="Century Gothic" w:hAnsi="Century Gothic" w:cs="Century Gothic"/>
      <w:i/>
      <w:iCs/>
      <w:sz w:val="24"/>
      <w:szCs w:val="24"/>
      <w:lang w:bidi="he-IL"/>
    </w:rPr>
  </w:style>
  <w:style w:type="character" w:customStyle="1" w:styleId="FontStyle26">
    <w:name w:val="Font Style26"/>
    <w:basedOn w:val="a0"/>
    <w:uiPriority w:val="99"/>
    <w:rsid w:val="007510FE"/>
    <w:rPr>
      <w:rFonts w:ascii="Century Gothic" w:hAnsi="Century Gothic" w:cs="Century Gothic"/>
      <w:b/>
      <w:bCs/>
      <w:sz w:val="18"/>
      <w:szCs w:val="18"/>
      <w:lang w:bidi="he-IL"/>
    </w:rPr>
  </w:style>
  <w:style w:type="paragraph" w:customStyle="1" w:styleId="Style2">
    <w:name w:val="Style2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3">
    <w:name w:val="Font Style23"/>
    <w:basedOn w:val="a0"/>
    <w:uiPriority w:val="99"/>
    <w:rsid w:val="007510FE"/>
    <w:rPr>
      <w:rFonts w:ascii="Century Gothic" w:hAnsi="Century Gothic" w:cs="Century Gothic"/>
      <w:b/>
      <w:bCs/>
      <w:sz w:val="22"/>
      <w:szCs w:val="22"/>
      <w:lang w:bidi="he-IL"/>
    </w:rPr>
  </w:style>
  <w:style w:type="paragraph" w:customStyle="1" w:styleId="Style1">
    <w:name w:val="Style1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1">
    <w:name w:val="Font Style21"/>
    <w:basedOn w:val="a0"/>
    <w:uiPriority w:val="99"/>
    <w:rsid w:val="007510FE"/>
    <w:rPr>
      <w:rFonts w:ascii="Century Gothic" w:hAnsi="Century Gothic" w:cs="Century Gothic"/>
      <w:i/>
      <w:iCs/>
      <w:spacing w:val="-20"/>
      <w:sz w:val="48"/>
      <w:szCs w:val="48"/>
      <w:lang w:bidi="he-IL"/>
    </w:rPr>
  </w:style>
  <w:style w:type="paragraph" w:customStyle="1" w:styleId="Style3">
    <w:name w:val="Style3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5">
    <w:name w:val="Font Style25"/>
    <w:basedOn w:val="a0"/>
    <w:uiPriority w:val="99"/>
    <w:rsid w:val="007510FE"/>
    <w:rPr>
      <w:rFonts w:ascii="Century Gothic" w:hAnsi="Century Gothic" w:cs="Century Gothic"/>
      <w:b/>
      <w:bCs/>
      <w:sz w:val="12"/>
      <w:szCs w:val="12"/>
      <w:lang w:bidi="he-IL"/>
    </w:rPr>
  </w:style>
  <w:style w:type="paragraph" w:customStyle="1" w:styleId="Style13">
    <w:name w:val="Style13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241" w:lineRule="exact"/>
      <w:jc w:val="center"/>
    </w:pPr>
    <w:rPr>
      <w:rFonts w:ascii="Century Gothic" w:eastAsiaTheme="minorEastAsia" w:hAnsi="Century Gothic" w:cs="Arial"/>
    </w:rPr>
  </w:style>
  <w:style w:type="character" w:customStyle="1" w:styleId="FontStyle27">
    <w:name w:val="Font Style27"/>
    <w:basedOn w:val="a0"/>
    <w:uiPriority w:val="99"/>
    <w:rsid w:val="007510FE"/>
    <w:rPr>
      <w:rFonts w:ascii="Century Gothic" w:hAnsi="Century Gothic" w:cs="Century Gothic"/>
      <w:sz w:val="16"/>
      <w:szCs w:val="16"/>
      <w:lang w:bidi="he-IL"/>
    </w:rPr>
  </w:style>
  <w:style w:type="paragraph" w:styleId="a3">
    <w:name w:val="Balloon Text"/>
    <w:basedOn w:val="a"/>
    <w:link w:val="a4"/>
    <w:rsid w:val="00F6229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F622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965F0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5965F0"/>
    <w:rPr>
      <w:sz w:val="24"/>
      <w:szCs w:val="24"/>
    </w:rPr>
  </w:style>
  <w:style w:type="paragraph" w:styleId="a7">
    <w:name w:val="footer"/>
    <w:basedOn w:val="a"/>
    <w:link w:val="a8"/>
    <w:rsid w:val="005965F0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rsid w:val="005965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paragraph" w:customStyle="1" w:styleId="Style5">
    <w:name w:val="Style5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238" w:lineRule="exact"/>
      <w:jc w:val="both"/>
    </w:pPr>
    <w:rPr>
      <w:rFonts w:ascii="Century Gothic" w:eastAsiaTheme="minorEastAsia" w:hAnsi="Century Gothic" w:cs="Arial"/>
    </w:rPr>
  </w:style>
  <w:style w:type="paragraph" w:customStyle="1" w:styleId="Style7">
    <w:name w:val="Style7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paragraph" w:customStyle="1" w:styleId="Style8">
    <w:name w:val="Style8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15">
    <w:name w:val="Font Style15"/>
    <w:basedOn w:val="a0"/>
    <w:uiPriority w:val="99"/>
    <w:rsid w:val="007510FE"/>
    <w:rPr>
      <w:rFonts w:ascii="Century Gothic" w:hAnsi="Century Gothic" w:cs="Century Gothic"/>
      <w:b/>
      <w:bCs/>
      <w:sz w:val="22"/>
      <w:szCs w:val="22"/>
      <w:lang w:bidi="he-IL"/>
    </w:rPr>
  </w:style>
  <w:style w:type="character" w:customStyle="1" w:styleId="FontStyle16">
    <w:name w:val="Font Style16"/>
    <w:basedOn w:val="a0"/>
    <w:uiPriority w:val="99"/>
    <w:rsid w:val="007510FE"/>
    <w:rPr>
      <w:rFonts w:ascii="Century Gothic" w:hAnsi="Century Gothic" w:cs="Century Gothic"/>
      <w:i/>
      <w:iCs/>
      <w:spacing w:val="-10"/>
      <w:sz w:val="16"/>
      <w:szCs w:val="16"/>
      <w:lang w:bidi="he-IL"/>
    </w:rPr>
  </w:style>
  <w:style w:type="character" w:customStyle="1" w:styleId="FontStyle19">
    <w:name w:val="Font Style19"/>
    <w:basedOn w:val="a0"/>
    <w:uiPriority w:val="99"/>
    <w:rsid w:val="007510FE"/>
    <w:rPr>
      <w:rFonts w:ascii="Century Gothic" w:hAnsi="Century Gothic" w:cs="Century Gothic"/>
      <w:b/>
      <w:bCs/>
      <w:sz w:val="50"/>
      <w:szCs w:val="50"/>
      <w:lang w:bidi="he-IL"/>
    </w:rPr>
  </w:style>
  <w:style w:type="character" w:customStyle="1" w:styleId="FontStyle20">
    <w:name w:val="Font Style20"/>
    <w:basedOn w:val="a0"/>
    <w:uiPriority w:val="99"/>
    <w:rsid w:val="007510FE"/>
    <w:rPr>
      <w:rFonts w:ascii="Century Gothic" w:hAnsi="Century Gothic" w:cs="Century Gothic"/>
      <w:sz w:val="16"/>
      <w:szCs w:val="16"/>
      <w:lang w:bidi="he-IL"/>
    </w:rPr>
  </w:style>
  <w:style w:type="character" w:customStyle="1" w:styleId="FontStyle22">
    <w:name w:val="Font Style22"/>
    <w:basedOn w:val="a0"/>
    <w:uiPriority w:val="99"/>
    <w:rsid w:val="007510FE"/>
    <w:rPr>
      <w:rFonts w:ascii="Century Gothic" w:hAnsi="Century Gothic" w:cs="Century Gothic"/>
      <w:sz w:val="36"/>
      <w:szCs w:val="36"/>
      <w:lang w:bidi="he-IL"/>
    </w:rPr>
  </w:style>
  <w:style w:type="paragraph" w:customStyle="1" w:styleId="Style11">
    <w:name w:val="Style11"/>
    <w:basedOn w:val="a"/>
    <w:uiPriority w:val="99"/>
    <w:rsid w:val="007510FE"/>
    <w:pPr>
      <w:widowControl w:val="0"/>
      <w:autoSpaceDE w:val="0"/>
      <w:autoSpaceDN w:val="0"/>
      <w:bidi w:val="0"/>
      <w:adjustRightInd w:val="0"/>
      <w:jc w:val="both"/>
    </w:pPr>
    <w:rPr>
      <w:rFonts w:ascii="Century Gothic" w:eastAsiaTheme="minorEastAsia" w:hAnsi="Century Gothic" w:cs="Arial"/>
    </w:rPr>
  </w:style>
  <w:style w:type="paragraph" w:customStyle="1" w:styleId="Style12">
    <w:name w:val="Style12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336" w:lineRule="exact"/>
    </w:pPr>
    <w:rPr>
      <w:rFonts w:ascii="Century Gothic" w:eastAsiaTheme="minorEastAsia" w:hAnsi="Century Gothic" w:cs="Arial"/>
    </w:rPr>
  </w:style>
  <w:style w:type="character" w:customStyle="1" w:styleId="FontStyle17">
    <w:name w:val="Font Style17"/>
    <w:basedOn w:val="a0"/>
    <w:uiPriority w:val="99"/>
    <w:rsid w:val="007510FE"/>
    <w:rPr>
      <w:rFonts w:ascii="Century Gothic" w:hAnsi="Century Gothic" w:cs="Century Gothic"/>
      <w:i/>
      <w:iCs/>
      <w:sz w:val="24"/>
      <w:szCs w:val="24"/>
      <w:lang w:bidi="he-IL"/>
    </w:rPr>
  </w:style>
  <w:style w:type="character" w:customStyle="1" w:styleId="FontStyle26">
    <w:name w:val="Font Style26"/>
    <w:basedOn w:val="a0"/>
    <w:uiPriority w:val="99"/>
    <w:rsid w:val="007510FE"/>
    <w:rPr>
      <w:rFonts w:ascii="Century Gothic" w:hAnsi="Century Gothic" w:cs="Century Gothic"/>
      <w:b/>
      <w:bCs/>
      <w:sz w:val="18"/>
      <w:szCs w:val="18"/>
      <w:lang w:bidi="he-IL"/>
    </w:rPr>
  </w:style>
  <w:style w:type="paragraph" w:customStyle="1" w:styleId="Style2">
    <w:name w:val="Style2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3">
    <w:name w:val="Font Style23"/>
    <w:basedOn w:val="a0"/>
    <w:uiPriority w:val="99"/>
    <w:rsid w:val="007510FE"/>
    <w:rPr>
      <w:rFonts w:ascii="Century Gothic" w:hAnsi="Century Gothic" w:cs="Century Gothic"/>
      <w:b/>
      <w:bCs/>
      <w:sz w:val="22"/>
      <w:szCs w:val="22"/>
      <w:lang w:bidi="he-IL"/>
    </w:rPr>
  </w:style>
  <w:style w:type="paragraph" w:customStyle="1" w:styleId="Style1">
    <w:name w:val="Style1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1">
    <w:name w:val="Font Style21"/>
    <w:basedOn w:val="a0"/>
    <w:uiPriority w:val="99"/>
    <w:rsid w:val="007510FE"/>
    <w:rPr>
      <w:rFonts w:ascii="Century Gothic" w:hAnsi="Century Gothic" w:cs="Century Gothic"/>
      <w:i/>
      <w:iCs/>
      <w:spacing w:val="-20"/>
      <w:sz w:val="48"/>
      <w:szCs w:val="48"/>
      <w:lang w:bidi="he-IL"/>
    </w:rPr>
  </w:style>
  <w:style w:type="paragraph" w:customStyle="1" w:styleId="Style3">
    <w:name w:val="Style3"/>
    <w:basedOn w:val="a"/>
    <w:uiPriority w:val="99"/>
    <w:rsid w:val="007510FE"/>
    <w:pPr>
      <w:widowControl w:val="0"/>
      <w:autoSpaceDE w:val="0"/>
      <w:autoSpaceDN w:val="0"/>
      <w:bidi w:val="0"/>
      <w:adjustRightInd w:val="0"/>
    </w:pPr>
    <w:rPr>
      <w:rFonts w:ascii="Century Gothic" w:eastAsiaTheme="minorEastAsia" w:hAnsi="Century Gothic" w:cs="Arial"/>
    </w:rPr>
  </w:style>
  <w:style w:type="character" w:customStyle="1" w:styleId="FontStyle25">
    <w:name w:val="Font Style25"/>
    <w:basedOn w:val="a0"/>
    <w:uiPriority w:val="99"/>
    <w:rsid w:val="007510FE"/>
    <w:rPr>
      <w:rFonts w:ascii="Century Gothic" w:hAnsi="Century Gothic" w:cs="Century Gothic"/>
      <w:b/>
      <w:bCs/>
      <w:sz w:val="12"/>
      <w:szCs w:val="12"/>
      <w:lang w:bidi="he-IL"/>
    </w:rPr>
  </w:style>
  <w:style w:type="paragraph" w:customStyle="1" w:styleId="Style13">
    <w:name w:val="Style13"/>
    <w:basedOn w:val="a"/>
    <w:uiPriority w:val="99"/>
    <w:rsid w:val="007510FE"/>
    <w:pPr>
      <w:widowControl w:val="0"/>
      <w:autoSpaceDE w:val="0"/>
      <w:autoSpaceDN w:val="0"/>
      <w:bidi w:val="0"/>
      <w:adjustRightInd w:val="0"/>
      <w:spacing w:line="241" w:lineRule="exact"/>
      <w:jc w:val="center"/>
    </w:pPr>
    <w:rPr>
      <w:rFonts w:ascii="Century Gothic" w:eastAsiaTheme="minorEastAsia" w:hAnsi="Century Gothic" w:cs="Arial"/>
    </w:rPr>
  </w:style>
  <w:style w:type="character" w:customStyle="1" w:styleId="FontStyle27">
    <w:name w:val="Font Style27"/>
    <w:basedOn w:val="a0"/>
    <w:uiPriority w:val="99"/>
    <w:rsid w:val="007510FE"/>
    <w:rPr>
      <w:rFonts w:ascii="Century Gothic" w:hAnsi="Century Gothic" w:cs="Century Gothic"/>
      <w:sz w:val="16"/>
      <w:szCs w:val="16"/>
      <w:lang w:bidi="he-IL"/>
    </w:rPr>
  </w:style>
  <w:style w:type="paragraph" w:styleId="a3">
    <w:name w:val="Balloon Text"/>
    <w:basedOn w:val="a"/>
    <w:link w:val="a4"/>
    <w:rsid w:val="00F6229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F622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965F0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5965F0"/>
    <w:rPr>
      <w:sz w:val="24"/>
      <w:szCs w:val="24"/>
    </w:rPr>
  </w:style>
  <w:style w:type="paragraph" w:styleId="a7">
    <w:name w:val="footer"/>
    <w:basedOn w:val="a"/>
    <w:link w:val="a8"/>
    <w:rsid w:val="005965F0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rsid w:val="00596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ial@omfif.or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omfif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1F996F92905D6438B7766F97F9430E5" ma:contentTypeVersion="2" ma:contentTypeDescription="צור מסמך חדש." ma:contentTypeScope="" ma:versionID="6036f03bd8a12d29b784f5a794bb38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04f75fadc857042686ee9e53c11a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059C6-A44C-4B26-BBED-6C578519FB35}"/>
</file>

<file path=customXml/itemProps2.xml><?xml version="1.0" encoding="utf-8"?>
<ds:datastoreItem xmlns:ds="http://schemas.openxmlformats.org/officeDocument/2006/customXml" ds:itemID="{AA1E5F21-D57E-4F41-AAA4-5711E7FC79F3}"/>
</file>

<file path=customXml/itemProps3.xml><?xml version="1.0" encoding="utf-8"?>
<ds:datastoreItem xmlns:ds="http://schemas.openxmlformats.org/officeDocument/2006/customXml" ds:itemID="{6023F7A6-A850-460D-921B-37E20DF7F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6524</Characters>
  <Application>Microsoft Office Word</Application>
  <DocSecurity>0</DocSecurity>
  <Lines>54</Lines>
  <Paragraphs>15</Paragraphs>
  <ScaleCrop>false</ScaleCrop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2013-07-15T09:12:00Z</dcterms:created>
  <dcterms:modified xsi:type="dcterms:W3CDTF">2013-07-15T09:12:00Z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0x010100D1F996F92905D6438B7766F97F9430E5</vt:lpwstr>
  </property>
</Properties>
</file>