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21"/>
        <w:bidiVisual/>
        <w:tblW w:w="10991" w:type="dxa"/>
        <w:tblLayout w:type="fixed"/>
        <w:tblLook w:val="0000" w:firstRow="0" w:lastRow="0" w:firstColumn="0" w:lastColumn="0" w:noHBand="0" w:noVBand="0"/>
      </w:tblPr>
      <w:tblGrid>
        <w:gridCol w:w="3404"/>
        <w:gridCol w:w="4182"/>
        <w:gridCol w:w="3405"/>
      </w:tblGrid>
      <w:tr w:rsidR="002D01FB" w:rsidRPr="001A6D01" w14:paraId="1C784A97" w14:textId="77777777" w:rsidTr="001A6D01">
        <w:trPr>
          <w:trHeight w:val="149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6E89" w14:textId="77777777" w:rsidR="002D01FB" w:rsidRPr="001A6D01" w:rsidRDefault="002D01FB" w:rsidP="001A6D0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A6D01">
              <w:rPr>
                <w:rFonts w:asciiTheme="minorHAnsi" w:hAnsiTheme="minorHAnsi"/>
                <w:b/>
                <w:bCs/>
                <w:rtl/>
              </w:rPr>
              <w:t>בנק ישראל</w:t>
            </w:r>
          </w:p>
          <w:p w14:paraId="7DE55F9F" w14:textId="77777777" w:rsidR="002D01FB" w:rsidRPr="001A6D01" w:rsidRDefault="002D01FB" w:rsidP="001A6D01">
            <w:pPr>
              <w:shd w:val="clear" w:color="auto" w:fill="FFFFFF" w:themeFill="background1"/>
              <w:bidi/>
              <w:spacing w:line="360" w:lineRule="auto"/>
              <w:ind w:right="-101"/>
              <w:jc w:val="center"/>
              <w:rPr>
                <w:rFonts w:asciiTheme="minorHAnsi" w:hAnsiTheme="minorHAnsi" w:cstheme="minorHAnsi"/>
              </w:rPr>
            </w:pPr>
            <w:r w:rsidRPr="001A6D01">
              <w:rPr>
                <w:rFonts w:asciiTheme="minorHAnsi" w:hAnsiTheme="minorHAnsi"/>
                <w:rtl/>
              </w:rPr>
              <w:t>דוברות והסברה כלכלית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5F81" w14:textId="77777777" w:rsidR="002D01FB" w:rsidRPr="001A6D01" w:rsidRDefault="002D01FB" w:rsidP="001A6D01">
            <w:pPr>
              <w:shd w:val="clear" w:color="auto" w:fill="FFFFFF" w:themeFill="background1"/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1A6D01">
              <w:rPr>
                <w:rFonts w:asciiTheme="minorHAnsi" w:hAnsiTheme="minorHAnsi" w:cstheme="minorHAnsi"/>
                <w:noProof/>
                <w:rtl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2385FC2E" wp14:editId="66283BDD">
                  <wp:simplePos x="0" y="0"/>
                  <wp:positionH relativeFrom="column">
                    <wp:posOffset>791667</wp:posOffset>
                  </wp:positionH>
                  <wp:positionV relativeFrom="paragraph">
                    <wp:posOffset>142164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200" y="900"/>
                      <wp:lineTo x="4500" y="3600"/>
                      <wp:lineTo x="900" y="7650"/>
                      <wp:lineTo x="900" y="9900"/>
                      <wp:lineTo x="2250" y="16200"/>
                      <wp:lineTo x="7200" y="19800"/>
                      <wp:lineTo x="9000" y="20700"/>
                      <wp:lineTo x="11250" y="20700"/>
                      <wp:lineTo x="13500" y="19800"/>
                      <wp:lineTo x="18900" y="16200"/>
                      <wp:lineTo x="20700" y="7650"/>
                      <wp:lineTo x="16200" y="3150"/>
                      <wp:lineTo x="13050" y="900"/>
                      <wp:lineTo x="7200" y="900"/>
                    </wp:wrapPolygon>
                  </wp:wrapTight>
                  <wp:docPr id="1" name="תמונה 1" descr="C:\Users\z862\AppData\Local\Microsoft\Windows\Temporary Internet Files\Content.Outlook\M6E9SVHT\Logo Bank of Israel 2 colo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862\AppData\Local\Microsoft\Windows\Temporary Internet Files\Content.Outlook\M6E9SVHT\Logo Bank of Israel 2 colo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C4BD" w14:textId="77777777" w:rsidR="002D01FB" w:rsidRPr="001A6D01" w:rsidRDefault="002D01FB" w:rsidP="001A6D01">
            <w:pPr>
              <w:shd w:val="clear" w:color="auto" w:fill="FFFFFF" w:themeFill="background1"/>
              <w:bidi/>
              <w:spacing w:line="480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1A6D01">
              <w:rPr>
                <w:rFonts w:asciiTheme="minorHAnsi" w:hAnsiTheme="minorHAnsi" w:cstheme="minorHAnsi"/>
                <w:rtl/>
              </w:rPr>
              <w:t>‏</w:t>
            </w:r>
          </w:p>
          <w:p w14:paraId="5E963736" w14:textId="77777777" w:rsidR="002D01FB" w:rsidRPr="001A6D01" w:rsidRDefault="002D01FB" w:rsidP="001A6D01">
            <w:pPr>
              <w:shd w:val="clear" w:color="auto" w:fill="FFFFFF" w:themeFill="background1"/>
              <w:bidi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A6D01">
              <w:rPr>
                <w:rFonts w:asciiTheme="minorHAnsi" w:hAnsiTheme="minorHAnsi"/>
                <w:rtl/>
              </w:rPr>
              <w:t>ירושלים</w:t>
            </w:r>
            <w:r w:rsidRPr="001A6D01">
              <w:rPr>
                <w:rFonts w:asciiTheme="minorHAnsi" w:hAnsiTheme="minorHAnsi" w:cstheme="minorHAnsi"/>
                <w:rtl/>
              </w:rPr>
              <w:t xml:space="preserve">, </w:t>
            </w:r>
            <w:r w:rsidRPr="001A6D01">
              <w:rPr>
                <w:rFonts w:asciiTheme="minorHAnsi" w:hAnsiTheme="minorHAnsi" w:cstheme="minorHAnsi"/>
              </w:rPr>
              <w:fldChar w:fldCharType="begin"/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</w:instrText>
            </w:r>
            <w:r w:rsidRPr="001A6D01">
              <w:rPr>
                <w:rFonts w:asciiTheme="minorHAnsi" w:hAnsiTheme="minorHAnsi" w:cstheme="minorHAnsi"/>
              </w:rPr>
              <w:instrText>DATE</w:instrText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\@ "</w:instrText>
            </w:r>
            <w:r w:rsidRPr="001A6D01">
              <w:rPr>
                <w:rFonts w:asciiTheme="minorHAnsi" w:hAnsiTheme="minorHAnsi" w:cstheme="minorHAnsi"/>
              </w:rPr>
              <w:instrText>dd MMMM yyyy" \h</w:instrText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</w:instrText>
            </w:r>
            <w:r w:rsidRPr="001A6D01">
              <w:rPr>
                <w:rFonts w:asciiTheme="minorHAnsi" w:hAnsiTheme="minorHAnsi" w:cstheme="minorHAnsi"/>
              </w:rPr>
              <w:fldChar w:fldCharType="separate"/>
            </w:r>
            <w:r w:rsidR="00531781">
              <w:rPr>
                <w:rFonts w:asciiTheme="minorHAnsi" w:hAnsiTheme="minorHAnsi" w:cstheme="minorHAnsi"/>
                <w:noProof/>
                <w:rtl/>
              </w:rPr>
              <w:t>‏ח' ניסן תשפ"ד</w:t>
            </w:r>
            <w:r w:rsidRPr="001A6D01">
              <w:rPr>
                <w:rFonts w:asciiTheme="minorHAnsi" w:hAnsiTheme="minorHAnsi" w:cstheme="minorHAnsi"/>
              </w:rPr>
              <w:fldChar w:fldCharType="end"/>
            </w:r>
          </w:p>
          <w:p w14:paraId="43D1076F" w14:textId="77777777" w:rsidR="002D01FB" w:rsidRPr="001A6D01" w:rsidRDefault="002D01FB" w:rsidP="001A6D01">
            <w:pPr>
              <w:shd w:val="clear" w:color="auto" w:fill="FFFFFF" w:themeFill="background1"/>
              <w:bidi/>
              <w:spacing w:line="480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1A6D01">
              <w:rPr>
                <w:rFonts w:asciiTheme="minorHAnsi" w:hAnsiTheme="minorHAnsi" w:cstheme="minorHAnsi"/>
                <w:rtl/>
              </w:rPr>
              <w:t>‏‏</w:t>
            </w:r>
            <w:r w:rsidRPr="001A6D01">
              <w:rPr>
                <w:rFonts w:asciiTheme="minorHAnsi" w:hAnsiTheme="minorHAnsi" w:cstheme="minorHAnsi"/>
              </w:rPr>
              <w:fldChar w:fldCharType="begin"/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</w:instrText>
            </w:r>
            <w:r w:rsidRPr="001A6D01">
              <w:rPr>
                <w:rFonts w:asciiTheme="minorHAnsi" w:hAnsiTheme="minorHAnsi" w:cstheme="minorHAnsi"/>
              </w:rPr>
              <w:instrText>DATE</w:instrText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\@ "</w:instrText>
            </w:r>
            <w:r w:rsidRPr="001A6D01">
              <w:rPr>
                <w:rFonts w:asciiTheme="minorHAnsi" w:hAnsiTheme="minorHAnsi" w:cstheme="minorHAnsi"/>
              </w:rPr>
              <w:instrText>dd MMMM yyyy</w:instrText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" </w:instrText>
            </w:r>
            <w:r w:rsidRPr="001A6D01">
              <w:rPr>
                <w:rFonts w:asciiTheme="minorHAnsi" w:hAnsiTheme="minorHAnsi" w:cstheme="minorHAnsi"/>
              </w:rPr>
              <w:fldChar w:fldCharType="separate"/>
            </w:r>
            <w:r w:rsidR="00531781">
              <w:rPr>
                <w:rFonts w:asciiTheme="minorHAnsi" w:hAnsiTheme="minorHAnsi" w:cstheme="minorHAnsi"/>
                <w:noProof/>
                <w:rtl/>
              </w:rPr>
              <w:t>‏16 אפריל 2024</w:t>
            </w:r>
            <w:r w:rsidRPr="001A6D01">
              <w:rPr>
                <w:rFonts w:asciiTheme="minorHAnsi" w:hAnsiTheme="minorHAnsi" w:cstheme="minorHAnsi"/>
              </w:rPr>
              <w:fldChar w:fldCharType="end"/>
            </w:r>
          </w:p>
          <w:p w14:paraId="4516F315" w14:textId="77777777" w:rsidR="002D01FB" w:rsidRPr="001A6D01" w:rsidRDefault="002D01FB" w:rsidP="001A6D01">
            <w:pPr>
              <w:shd w:val="clear" w:color="auto" w:fill="FFFFFF" w:themeFill="background1"/>
              <w:bidi/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DD25427" w14:textId="77777777" w:rsidR="002D01FB" w:rsidRPr="001A6D01" w:rsidRDefault="002D01FB" w:rsidP="001A10F9">
      <w:pPr>
        <w:shd w:val="clear" w:color="auto" w:fill="FFFFFF" w:themeFill="background1"/>
        <w:bidi/>
        <w:spacing w:line="276" w:lineRule="auto"/>
        <w:jc w:val="both"/>
        <w:rPr>
          <w:rFonts w:asciiTheme="minorHAnsi" w:eastAsia="Times New Roman" w:hAnsiTheme="minorHAnsi" w:cstheme="minorHAnsi"/>
          <w:b/>
          <w:bCs/>
          <w:rtl/>
        </w:rPr>
      </w:pPr>
    </w:p>
    <w:p w14:paraId="18F33915" w14:textId="77777777" w:rsidR="002D01FB" w:rsidRPr="001A6D01" w:rsidRDefault="00F74C29" w:rsidP="00301798">
      <w:pPr>
        <w:shd w:val="clear" w:color="auto" w:fill="FFFFFF" w:themeFill="background1"/>
        <w:bidi/>
        <w:spacing w:line="276" w:lineRule="auto"/>
        <w:rPr>
          <w:rFonts w:asciiTheme="minorHAnsi" w:eastAsia="Times New Roman" w:hAnsiTheme="minorHAnsi" w:cstheme="minorHAnsi"/>
          <w:rtl/>
        </w:rPr>
      </w:pPr>
      <w:r>
        <w:rPr>
          <w:rFonts w:asciiTheme="minorHAnsi" w:eastAsia="Times New Roman" w:hAnsiTheme="minorHAnsi" w:hint="cs"/>
          <w:rtl/>
          <w:lang w:val="en-GB" w:bidi="ar-SA"/>
        </w:rPr>
        <w:t>إعلان للصحافة</w:t>
      </w:r>
      <w:r w:rsidR="002D01FB" w:rsidRPr="001A6D01">
        <w:rPr>
          <w:rFonts w:asciiTheme="minorHAnsi" w:eastAsia="Times New Roman" w:hAnsiTheme="minorHAnsi" w:cstheme="minorHAnsi"/>
          <w:rtl/>
        </w:rPr>
        <w:t>:</w:t>
      </w:r>
    </w:p>
    <w:p w14:paraId="45E19719" w14:textId="77777777" w:rsidR="00015E69" w:rsidRPr="001A6D01" w:rsidRDefault="00015E69" w:rsidP="001A10F9">
      <w:pPr>
        <w:shd w:val="clear" w:color="auto" w:fill="FFFFFF" w:themeFill="background1"/>
        <w:bidi/>
        <w:spacing w:line="276" w:lineRule="auto"/>
        <w:jc w:val="both"/>
        <w:rPr>
          <w:rFonts w:asciiTheme="minorHAnsi" w:eastAsia="Times New Roman" w:hAnsiTheme="minorHAnsi" w:cstheme="minorHAnsi"/>
          <w:rtl/>
        </w:rPr>
      </w:pPr>
    </w:p>
    <w:p w14:paraId="7A6E63F5" w14:textId="77777777" w:rsidR="00D57B1D" w:rsidRPr="00D57B1D" w:rsidRDefault="00D57B1D" w:rsidP="00D57B1D">
      <w:pPr>
        <w:shd w:val="clear" w:color="auto" w:fill="FFFFFF" w:themeFill="background1"/>
        <w:bidi/>
        <w:spacing w:line="360" w:lineRule="auto"/>
        <w:jc w:val="center"/>
        <w:rPr>
          <w:rFonts w:asciiTheme="minorHAnsi" w:hAnsiTheme="minorHAnsi" w:cstheme="minorBidi"/>
          <w:b/>
          <w:bCs/>
          <w:rtl/>
          <w:lang w:bidi="ar-SA"/>
        </w:rPr>
      </w:pPr>
      <w:r w:rsidRPr="00D57B1D">
        <w:rPr>
          <w:rFonts w:asciiTheme="minorHAnsi" w:hAnsiTheme="minorHAnsi" w:cs="Arial"/>
          <w:b/>
          <w:bCs/>
          <w:rtl/>
          <w:lang w:bidi="ar-SA"/>
        </w:rPr>
        <w:t xml:space="preserve">قرار بإيقاف نشر </w:t>
      </w:r>
      <w:r>
        <w:rPr>
          <w:rFonts w:asciiTheme="minorHAnsi" w:hAnsiTheme="minorHAnsi" w:cs="Arial" w:hint="cs"/>
          <w:b/>
          <w:bCs/>
          <w:rtl/>
          <w:lang w:bidi="ar-SA"/>
        </w:rPr>
        <w:t>فائدة</w:t>
      </w:r>
      <w:r w:rsidRPr="00D57B1D">
        <w:rPr>
          <w:rFonts w:asciiTheme="minorHAnsi" w:hAnsiTheme="minorHAnsi" w:cs="Arial"/>
          <w:b/>
          <w:bCs/>
          <w:rtl/>
          <w:lang w:bidi="ar-SA"/>
        </w:rPr>
        <w:t xml:space="preserve"> </w:t>
      </w:r>
      <w:r>
        <w:rPr>
          <w:rFonts w:asciiTheme="minorHAnsi" w:hAnsiTheme="minorHAnsi" w:cs="Arial" w:hint="cs"/>
          <w:b/>
          <w:bCs/>
          <w:rtl/>
          <w:lang w:bidi="ar-SA"/>
        </w:rPr>
        <w:t>الـ "</w:t>
      </w:r>
      <w:r w:rsidRPr="00D57B1D">
        <w:rPr>
          <w:rFonts w:asciiTheme="minorHAnsi" w:hAnsiTheme="minorHAnsi" w:cs="Arial"/>
          <w:b/>
          <w:bCs/>
          <w:rtl/>
          <w:lang w:bidi="ar-SA"/>
        </w:rPr>
        <w:t>تالبور</w:t>
      </w:r>
      <w:r>
        <w:rPr>
          <w:rFonts w:asciiTheme="minorHAnsi" w:hAnsiTheme="minorHAnsi" w:cs="Arial" w:hint="cs"/>
          <w:b/>
          <w:bCs/>
          <w:rtl/>
          <w:lang w:bidi="ar-SA"/>
        </w:rPr>
        <w:t>"</w:t>
      </w:r>
      <w:r w:rsidRPr="00D57B1D">
        <w:rPr>
          <w:rFonts w:asciiTheme="minorHAnsi" w:hAnsiTheme="minorHAnsi" w:cs="Arial"/>
          <w:b/>
          <w:bCs/>
          <w:rtl/>
          <w:lang w:bidi="ar-SA"/>
        </w:rPr>
        <w:t xml:space="preserve"> </w:t>
      </w:r>
      <w:r>
        <w:rPr>
          <w:rFonts w:asciiTheme="minorHAnsi" w:hAnsiTheme="minorHAnsi" w:cs="Arial" w:hint="cs"/>
          <w:b/>
          <w:bCs/>
          <w:rtl/>
          <w:lang w:bidi="ar-SA"/>
        </w:rPr>
        <w:t>ابتداءً من</w:t>
      </w:r>
      <w:r w:rsidRPr="00D57B1D">
        <w:rPr>
          <w:rFonts w:asciiTheme="minorHAnsi" w:hAnsiTheme="minorHAnsi" w:cs="Arial"/>
          <w:b/>
          <w:bCs/>
          <w:rtl/>
          <w:lang w:bidi="ar-SA"/>
        </w:rPr>
        <w:t xml:space="preserve"> 30 </w:t>
      </w:r>
      <w:r>
        <w:rPr>
          <w:rFonts w:asciiTheme="minorHAnsi" w:hAnsiTheme="minorHAnsi" w:cs="Arial" w:hint="cs"/>
          <w:b/>
          <w:bCs/>
          <w:rtl/>
          <w:lang w:bidi="ar-SA"/>
        </w:rPr>
        <w:t>حزيران</w:t>
      </w:r>
      <w:r w:rsidRPr="00D57B1D">
        <w:rPr>
          <w:rFonts w:asciiTheme="minorHAnsi" w:hAnsiTheme="minorHAnsi" w:cs="Arial"/>
          <w:b/>
          <w:bCs/>
          <w:rtl/>
          <w:lang w:bidi="ar-SA"/>
        </w:rPr>
        <w:t xml:space="preserve"> 2025</w:t>
      </w:r>
    </w:p>
    <w:p w14:paraId="77FDB1F3" w14:textId="77777777" w:rsidR="00F6211C" w:rsidRPr="001A6D01" w:rsidRDefault="00F6211C" w:rsidP="00F6211C">
      <w:pPr>
        <w:shd w:val="clear" w:color="auto" w:fill="FFFFFF" w:themeFill="background1"/>
        <w:bidi/>
        <w:spacing w:line="360" w:lineRule="auto"/>
        <w:jc w:val="center"/>
        <w:rPr>
          <w:rFonts w:asciiTheme="minorHAnsi" w:hAnsiTheme="minorHAnsi" w:cstheme="minorHAnsi"/>
          <w:b/>
          <w:bCs/>
          <w:rtl/>
        </w:rPr>
      </w:pPr>
    </w:p>
    <w:p w14:paraId="5AA0B288" w14:textId="77777777" w:rsidR="00D57B1D" w:rsidRPr="005F4FE4" w:rsidRDefault="00D57B1D" w:rsidP="005F4FE4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 xml:space="preserve">د. جولان بنيتا، مدير </w:t>
      </w:r>
      <w:r w:rsidRPr="005F4FE4">
        <w:rPr>
          <w:rFonts w:asciiTheme="minorHAnsi" w:hAnsiTheme="minorHAnsi" w:cs="Arial" w:hint="cs"/>
          <w:b/>
          <w:bCs/>
          <w:sz w:val="22"/>
          <w:szCs w:val="22"/>
          <w:rtl/>
          <w:lang w:bidi="ar-SA"/>
        </w:rPr>
        <w:t>شعبة</w:t>
      </w: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 xml:space="preserve"> الأسواق في بنك إسرائيل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: "القرار بشأن تاريخ التوقف عن نشر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فائدة 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تالبور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هو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محطة هامة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في عملية الانتقال من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فائدة الـ"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تالبور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إلى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فائدة الـ 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شير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. من المتوقع أن يساهم التحول إلى فائدة ال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ـ"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شير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في تعزيز وتطوير سوق مشتقات </w:t>
      </w:r>
      <w:r w:rsidR="005F4FE4">
        <w:rPr>
          <w:rFonts w:asciiTheme="minorHAnsi" w:hAnsiTheme="minorHAnsi" w:cs="Arial" w:hint="cs"/>
          <w:sz w:val="22"/>
          <w:szCs w:val="22"/>
          <w:rtl/>
          <w:lang w:bidi="ar-SA"/>
        </w:rPr>
        <w:t>ال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فائدة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ب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الشيكل".</w:t>
      </w:r>
    </w:p>
    <w:p w14:paraId="61EE03F7" w14:textId="77777777" w:rsidR="00D57B1D" w:rsidRPr="005F4FE4" w:rsidRDefault="00D57B1D" w:rsidP="00D57B1D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031AFE8A" w14:textId="77777777" w:rsidR="00D57B1D" w:rsidRPr="005F4FE4" w:rsidRDefault="00D57B1D" w:rsidP="00D57B1D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Bidi"/>
          <w:b/>
          <w:bCs/>
          <w:sz w:val="22"/>
          <w:szCs w:val="22"/>
          <w:rtl/>
          <w:lang w:bidi="ar-SA"/>
        </w:rPr>
      </w:pP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 xml:space="preserve">قررت لجنة </w:t>
      </w:r>
      <w:r w:rsidRPr="005F4FE4">
        <w:rPr>
          <w:rFonts w:asciiTheme="minorHAnsi" w:hAnsiTheme="minorHAnsi" w:cs="Arial" w:hint="cs"/>
          <w:b/>
          <w:bCs/>
          <w:sz w:val="22"/>
          <w:szCs w:val="22"/>
          <w:rtl/>
          <w:lang w:bidi="ar-SA"/>
        </w:rPr>
        <w:t>الـ"</w:t>
      </w: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>تالبور</w:t>
      </w:r>
      <w:r w:rsidRPr="005F4FE4">
        <w:rPr>
          <w:rFonts w:asciiTheme="minorHAnsi" w:hAnsiTheme="minorHAnsi" w:cs="Arial" w:hint="cs"/>
          <w:b/>
          <w:bCs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 xml:space="preserve"> اليوم </w:t>
      </w:r>
      <w:r w:rsidRPr="005F4FE4">
        <w:rPr>
          <w:rFonts w:asciiTheme="minorHAnsi" w:hAnsiTheme="minorHAnsi" w:cs="Arial" w:hint="cs"/>
          <w:b/>
          <w:bCs/>
          <w:sz w:val="22"/>
          <w:szCs w:val="22"/>
          <w:rtl/>
          <w:lang w:bidi="ar-SA"/>
        </w:rPr>
        <w:t>ب</w:t>
      </w: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 xml:space="preserve">أن يتم إيقاف نشر </w:t>
      </w:r>
      <w:r w:rsidRPr="005F4FE4">
        <w:rPr>
          <w:rFonts w:asciiTheme="minorHAnsi" w:hAnsiTheme="minorHAnsi" w:cs="Arial" w:hint="cs"/>
          <w:b/>
          <w:bCs/>
          <w:sz w:val="22"/>
          <w:szCs w:val="22"/>
          <w:rtl/>
          <w:lang w:bidi="ar-SA"/>
        </w:rPr>
        <w:t>فائدة</w:t>
      </w: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 xml:space="preserve"> </w:t>
      </w:r>
      <w:r w:rsidRPr="005F4FE4">
        <w:rPr>
          <w:rFonts w:asciiTheme="minorHAnsi" w:hAnsiTheme="minorHAnsi" w:cs="Arial" w:hint="cs"/>
          <w:b/>
          <w:bCs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>تالبور</w:t>
      </w:r>
      <w:r w:rsidRPr="005F4FE4">
        <w:rPr>
          <w:rFonts w:asciiTheme="minorHAnsi" w:hAnsiTheme="minorHAnsi" w:cs="Arial" w:hint="cs"/>
          <w:b/>
          <w:bCs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 xml:space="preserve"> لجميع الفترات مباشرة بعد النشر الأخير الذي سيتم في 30 </w:t>
      </w:r>
      <w:r w:rsidRPr="005F4FE4">
        <w:rPr>
          <w:rFonts w:asciiTheme="minorHAnsi" w:hAnsiTheme="minorHAnsi" w:cs="Arial" w:hint="cs"/>
          <w:b/>
          <w:bCs/>
          <w:sz w:val="22"/>
          <w:szCs w:val="22"/>
          <w:rtl/>
          <w:lang w:bidi="ar-SA"/>
        </w:rPr>
        <w:t>حزيران</w:t>
      </w:r>
      <w:r w:rsidRPr="005F4FE4">
        <w:rPr>
          <w:rFonts w:asciiTheme="minorHAnsi" w:hAnsiTheme="minorHAnsi" w:cs="Arial"/>
          <w:b/>
          <w:bCs/>
          <w:sz w:val="22"/>
          <w:szCs w:val="22"/>
          <w:rtl/>
          <w:lang w:bidi="ar-SA"/>
        </w:rPr>
        <w:t xml:space="preserve"> 2025.</w:t>
      </w:r>
    </w:p>
    <w:p w14:paraId="3DA3A583" w14:textId="77777777" w:rsidR="008A39BC" w:rsidRPr="005F4FE4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4A1160F8" w14:textId="77777777" w:rsidR="008A39BC" w:rsidRPr="005F4FE4" w:rsidRDefault="00D57B1D" w:rsidP="005F4FE4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5F4FE4">
        <w:rPr>
          <w:rFonts w:asciiTheme="minorHAnsi" w:hAnsiTheme="minorHAnsi"/>
          <w:sz w:val="22"/>
          <w:szCs w:val="22"/>
          <w:rtl/>
          <w:lang w:bidi="ar-SA"/>
        </w:rPr>
        <w:t>يشكل هذا القرار "</w:t>
      </w:r>
      <w:r w:rsidRPr="005F4FE4">
        <w:rPr>
          <w:rFonts w:asciiTheme="minorHAnsi" w:hAnsiTheme="minorHAnsi" w:cstheme="minorHAnsi"/>
          <w:sz w:val="22"/>
          <w:szCs w:val="22"/>
        </w:rPr>
        <w:t>Index Cessation Event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" </w:t>
      </w:r>
      <w:r w:rsidRPr="005F4FE4">
        <w:rPr>
          <w:rFonts w:asciiTheme="minorHAnsi" w:hAnsiTheme="minorHAnsi" w:hint="cs"/>
          <w:sz w:val="22"/>
          <w:szCs w:val="22"/>
          <w:rtl/>
          <w:lang w:bidi="ar-SA"/>
        </w:rPr>
        <w:t>وفقاً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 لتعريفات </w:t>
      </w:r>
      <w:r w:rsidRPr="005F4FE4">
        <w:rPr>
          <w:rFonts w:asciiTheme="minorHAnsi" w:hAnsiTheme="minorHAnsi" w:cstheme="minorHAnsi"/>
          <w:sz w:val="22"/>
          <w:szCs w:val="22"/>
        </w:rPr>
        <w:t>ISDA</w:t>
      </w:r>
      <w:r w:rsidR="008A39BC" w:rsidRPr="005F4FE4">
        <w:rPr>
          <w:rStyle w:val="FootnoteReference"/>
          <w:rFonts w:asciiTheme="minorHAnsi" w:hAnsiTheme="minorHAnsi" w:cstheme="minorHAnsi"/>
          <w:sz w:val="22"/>
          <w:szCs w:val="22"/>
          <w:rtl/>
        </w:rPr>
        <w:footnoteReference w:id="1"/>
      </w:r>
      <w:r w:rsidR="008A39BC" w:rsidRPr="005F4FE4">
        <w:rPr>
          <w:rFonts w:asciiTheme="minorHAnsi" w:hAnsiTheme="minorHAnsi" w:cstheme="minorHAnsi"/>
          <w:sz w:val="22"/>
          <w:szCs w:val="22"/>
          <w:rtl/>
        </w:rPr>
        <w:t xml:space="preserve"> - </w:t>
      </w:r>
      <w:r w:rsidR="008A39BC" w:rsidRPr="005F4FE4">
        <w:rPr>
          <w:rFonts w:asciiTheme="minorHAnsi" w:hAnsiTheme="minorHAnsi" w:cstheme="minorHAnsi"/>
          <w:sz w:val="22"/>
          <w:szCs w:val="22"/>
        </w:rPr>
        <w:t>2021 Interest Rate Derivatives Definitions</w:t>
      </w:r>
      <w:r w:rsidR="008A39BC" w:rsidRPr="005F4FE4">
        <w:rPr>
          <w:rFonts w:asciiTheme="minorHAnsi" w:hAnsiTheme="minorHAnsi"/>
          <w:sz w:val="22"/>
          <w:szCs w:val="22"/>
          <w:rtl/>
        </w:rPr>
        <w:t xml:space="preserve"> 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>و</w:t>
      </w:r>
      <w:r w:rsidRPr="005F4FE4">
        <w:rPr>
          <w:rFonts w:asciiTheme="minorHAnsi" w:hAnsiTheme="minorHAnsi" w:hint="cs"/>
          <w:sz w:val="22"/>
          <w:szCs w:val="22"/>
          <w:rtl/>
          <w:lang w:bidi="ar-SA"/>
        </w:rPr>
        <w:t xml:space="preserve"> </w:t>
      </w:r>
      <w:r w:rsidR="008A39BC" w:rsidRPr="005F4FE4">
        <w:rPr>
          <w:rFonts w:asciiTheme="minorHAnsi" w:hAnsiTheme="minorHAnsi" w:cstheme="minorHAnsi"/>
          <w:sz w:val="22"/>
          <w:szCs w:val="22"/>
        </w:rPr>
        <w:t>Benchmark Module</w:t>
      </w:r>
      <w:r w:rsidR="008A39BC" w:rsidRPr="005F4FE4">
        <w:rPr>
          <w:rFonts w:asciiTheme="minorHAnsi" w:hAnsiTheme="minorHAnsi"/>
          <w:sz w:val="22"/>
          <w:szCs w:val="22"/>
          <w:rtl/>
        </w:rPr>
        <w:t xml:space="preserve"> </w:t>
      </w:r>
      <w:r w:rsidRPr="005F4FE4">
        <w:rPr>
          <w:rFonts w:asciiTheme="minorHAnsi" w:hAnsiTheme="minorHAnsi" w:hint="cs"/>
          <w:sz w:val="22"/>
          <w:szCs w:val="22"/>
          <w:rtl/>
          <w:lang w:bidi="ar-SA"/>
        </w:rPr>
        <w:t xml:space="preserve">من 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شهر </w:t>
      </w:r>
      <w:r w:rsidRPr="005F4FE4">
        <w:rPr>
          <w:rFonts w:asciiTheme="minorHAnsi" w:hAnsiTheme="minorHAnsi" w:hint="cs"/>
          <w:sz w:val="22"/>
          <w:szCs w:val="22"/>
          <w:rtl/>
          <w:lang w:bidi="ar-SA"/>
        </w:rPr>
        <w:t>تشرين الثاني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 2022 </w:t>
      </w:r>
      <w:r w:rsidRPr="005F4FE4">
        <w:rPr>
          <w:rFonts w:asciiTheme="minorHAnsi" w:hAnsiTheme="minorHAnsi" w:hint="cs"/>
          <w:sz w:val="22"/>
          <w:szCs w:val="22"/>
          <w:rtl/>
          <w:lang w:bidi="ar-SA"/>
        </w:rPr>
        <w:t>في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 البروتوكول </w:t>
      </w:r>
      <w:r w:rsidR="008A39BC" w:rsidRPr="005F4FE4">
        <w:rPr>
          <w:rFonts w:asciiTheme="minorHAnsi" w:hAnsiTheme="minorHAnsi" w:cstheme="minorHAnsi"/>
          <w:sz w:val="22"/>
          <w:szCs w:val="22"/>
          <w:rtl/>
        </w:rPr>
        <w:t xml:space="preserve">- </w:t>
      </w:r>
      <w:r w:rsidR="008A39BC" w:rsidRPr="005F4FE4">
        <w:rPr>
          <w:rFonts w:asciiTheme="minorHAnsi" w:hAnsiTheme="minorHAnsi" w:cstheme="minorHAnsi"/>
          <w:sz w:val="22"/>
          <w:szCs w:val="22"/>
        </w:rPr>
        <w:t>ISDA 2021 Fallbacks</w:t>
      </w:r>
      <w:r w:rsidR="008A39BC" w:rsidRPr="005F4FE4">
        <w:rPr>
          <w:rFonts w:asciiTheme="minorHAnsi" w:hAnsiTheme="minorHAnsi" w:cstheme="minorHAnsi"/>
          <w:sz w:val="22"/>
          <w:szCs w:val="22"/>
          <w:rtl/>
        </w:rPr>
        <w:t>.</w:t>
      </w:r>
    </w:p>
    <w:p w14:paraId="17C1D46D" w14:textId="77777777" w:rsidR="00D57B1D" w:rsidRPr="005F4FE4" w:rsidRDefault="00D57B1D" w:rsidP="00D57B1D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01FF1445" w14:textId="77777777" w:rsidR="00D57B1D" w:rsidRPr="005F4FE4" w:rsidRDefault="00D57B1D" w:rsidP="005F4FE4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Bidi"/>
          <w:sz w:val="22"/>
          <w:szCs w:val="22"/>
          <w:rtl/>
          <w:lang w:bidi="ar-SA"/>
        </w:rPr>
      </w:pP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في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شباط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2022، قررت لجنة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الـ"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تالبور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أن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 xml:space="preserve"> تحل فائدة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</w:t>
      </w:r>
      <w:r w:rsidRPr="005F4FE4">
        <w:rPr>
          <w:rFonts w:asciiTheme="minorHAnsi" w:hAnsiTheme="minorHAnsi" w:cstheme="minorBidi"/>
          <w:sz w:val="22"/>
          <w:szCs w:val="22"/>
        </w:rPr>
        <w:t>SHIR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(</w:t>
      </w:r>
      <w:r w:rsidRPr="005F4FE4">
        <w:rPr>
          <w:rFonts w:asciiTheme="minorHAnsi" w:hAnsiTheme="minorHAnsi" w:cstheme="minorHAnsi"/>
          <w:color w:val="2E3D50"/>
          <w:sz w:val="22"/>
          <w:szCs w:val="22"/>
        </w:rPr>
        <w:t>Shekel overnight Interest Rate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) في الوقت المناسب محل فائدة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الـ"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تالبور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في معاملات مشتقات الفائدة، و</w:t>
      </w:r>
      <w:r w:rsidR="005F4FE4"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 xml:space="preserve">ذلك 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عندما يتوقف نشر 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فائدة الـ"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تالبور</w:t>
      </w:r>
      <w:r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>" مستقبلاً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، و</w:t>
      </w:r>
      <w:r w:rsidR="005F4FE4">
        <w:rPr>
          <w:rFonts w:asciiTheme="minorHAnsi" w:hAnsiTheme="minorHAnsi" w:cs="Arial" w:hint="cs"/>
          <w:sz w:val="22"/>
          <w:szCs w:val="22"/>
          <w:rtl/>
          <w:lang w:bidi="ar-SA"/>
        </w:rPr>
        <w:t xml:space="preserve">أن 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يتم استخدامه</w:t>
      </w:r>
      <w:r w:rsidR="005F4FE4">
        <w:rPr>
          <w:rFonts w:asciiTheme="minorHAnsi" w:hAnsiTheme="minorHAnsi" w:cs="Arial" w:hint="cs"/>
          <w:sz w:val="22"/>
          <w:szCs w:val="22"/>
          <w:rtl/>
          <w:lang w:bidi="ar-SA"/>
        </w:rPr>
        <w:t>ا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كسعر فائدة </w:t>
      </w:r>
      <w:r w:rsidR="005F4FE4" w:rsidRPr="005F4FE4">
        <w:rPr>
          <w:rFonts w:asciiTheme="minorHAnsi" w:hAnsiTheme="minorHAnsi" w:cstheme="minorHAnsi"/>
          <w:sz w:val="22"/>
          <w:szCs w:val="22"/>
        </w:rPr>
        <w:t>Over-night</w:t>
      </w:r>
      <w:r w:rsidR="005F4FE4" w:rsidRPr="005F4FE4">
        <w:rPr>
          <w:rFonts w:asciiTheme="minorHAnsi" w:hAnsiTheme="minorHAnsi" w:cstheme="minorBidi" w:hint="cs"/>
          <w:sz w:val="22"/>
          <w:szCs w:val="22"/>
          <w:rtl/>
          <w:lang w:bidi="ar-SA"/>
        </w:rPr>
        <w:t xml:space="preserve"> </w:t>
      </w:r>
      <w:r w:rsidR="005F4FE4">
        <w:rPr>
          <w:rFonts w:asciiTheme="minorHAnsi" w:hAnsiTheme="minorHAnsi" w:cs="Arial" w:hint="cs"/>
          <w:sz w:val="22"/>
          <w:szCs w:val="22"/>
          <w:rtl/>
          <w:lang w:bidi="ar-SA"/>
        </w:rPr>
        <w:t>لنفس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اليوم (</w:t>
      </w:r>
      <w:r w:rsidR="005F4FE4" w:rsidRPr="005F4FE4">
        <w:rPr>
          <w:rFonts w:asciiTheme="minorHAnsi" w:hAnsiTheme="minorHAnsi" w:cstheme="minorHAnsi"/>
          <w:sz w:val="22"/>
          <w:szCs w:val="22"/>
        </w:rPr>
        <w:t>Same Day Fixing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). </w:t>
      </w:r>
      <w:r w:rsidR="005F4FE4">
        <w:rPr>
          <w:rFonts w:asciiTheme="minorHAnsi" w:hAnsiTheme="minorHAnsi" w:cs="Arial" w:hint="cs"/>
          <w:sz w:val="22"/>
          <w:szCs w:val="22"/>
          <w:rtl/>
          <w:lang w:bidi="ar-SA"/>
        </w:rPr>
        <w:t xml:space="preserve">في 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وقت صدور القرار لم يكن قد تم تحديد موعد إيقاف نشر</w:t>
      </w:r>
      <w:r w:rsidR="005F4FE4"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 xml:space="preserve"> فائدة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"تالبور" بعد. يتماشى قرار استبدال سعر الفائدة </w:t>
      </w:r>
      <w:r w:rsidR="005F4FE4" w:rsidRPr="005F4FE4">
        <w:rPr>
          <w:rFonts w:asciiTheme="minorHAnsi" w:hAnsiTheme="minorHAnsi" w:cstheme="minorBidi" w:hint="cs"/>
          <w:sz w:val="22"/>
          <w:szCs w:val="22"/>
          <w:rtl/>
          <w:lang w:bidi="ar-SA"/>
        </w:rPr>
        <w:t>التالبور</w:t>
      </w:r>
      <w:r w:rsid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مع 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قرارات </w:t>
      </w:r>
      <w:r w:rsidR="005F4FE4">
        <w:rPr>
          <w:rFonts w:asciiTheme="minorHAnsi" w:hAnsiTheme="minorHAnsi" w:cs="Arial" w:hint="cs"/>
          <w:sz w:val="22"/>
          <w:szCs w:val="22"/>
          <w:rtl/>
          <w:lang w:bidi="ar-SA"/>
        </w:rPr>
        <w:t>مماثلة اتخذتها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الدول الكبرى في العالم</w:t>
      </w:r>
      <w:r w:rsidR="005F4FE4">
        <w:rPr>
          <w:rFonts w:asciiTheme="minorHAnsi" w:hAnsiTheme="minorHAnsi" w:cs="Arial" w:hint="cs"/>
          <w:sz w:val="22"/>
          <w:szCs w:val="22"/>
          <w:rtl/>
          <w:lang w:bidi="ar-SA"/>
        </w:rPr>
        <w:t>،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والتي </w:t>
      </w:r>
      <w:r w:rsidR="005F4FE4" w:rsidRPr="005F4FE4">
        <w:rPr>
          <w:rFonts w:asciiTheme="minorHAnsi" w:hAnsiTheme="minorHAnsi" w:cs="Arial" w:hint="cs"/>
          <w:sz w:val="22"/>
          <w:szCs w:val="22"/>
          <w:rtl/>
          <w:lang w:bidi="ar-SA"/>
        </w:rPr>
        <w:t xml:space="preserve">سيتم 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بموجبها استبدال أسعار الفائدة من نوع </w:t>
      </w:r>
      <w:r w:rsidRPr="005F4FE4">
        <w:rPr>
          <w:rFonts w:asciiTheme="minorHAnsi" w:hAnsiTheme="minorHAnsi" w:cstheme="minorBidi"/>
          <w:sz w:val="22"/>
          <w:szCs w:val="22"/>
        </w:rPr>
        <w:t>IBOR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 xml:space="preserve"> بأسعار فائدة </w:t>
      </w:r>
      <w:r w:rsidR="005F4FE4" w:rsidRPr="005F4FE4">
        <w:rPr>
          <w:rFonts w:asciiTheme="minorHAnsi" w:hAnsiTheme="minorHAnsi" w:cstheme="minorHAnsi"/>
          <w:sz w:val="22"/>
          <w:szCs w:val="22"/>
        </w:rPr>
        <w:t>Over Night</w:t>
      </w:r>
      <w:r w:rsidR="005F4FE4" w:rsidRPr="005F4FE4">
        <w:rPr>
          <w:rFonts w:asciiTheme="minorHAnsi" w:hAnsiTheme="minorHAnsi"/>
          <w:sz w:val="22"/>
          <w:szCs w:val="22"/>
          <w:rtl/>
        </w:rPr>
        <w:t xml:space="preserve"> </w:t>
      </w:r>
      <w:r w:rsidRPr="005F4FE4">
        <w:rPr>
          <w:rFonts w:asciiTheme="minorHAnsi" w:hAnsiTheme="minorHAnsi" w:cs="Arial"/>
          <w:sz w:val="22"/>
          <w:szCs w:val="22"/>
          <w:rtl/>
          <w:lang w:bidi="ar-SA"/>
        </w:rPr>
        <w:t>خالية من المخاطر.</w:t>
      </w:r>
    </w:p>
    <w:p w14:paraId="31B95729" w14:textId="77777777" w:rsidR="00196C1B" w:rsidRPr="005F4FE4" w:rsidRDefault="00196C1B" w:rsidP="00196C1B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2E518D4D" w14:textId="77777777" w:rsidR="00D57B1D" w:rsidRPr="005F4FE4" w:rsidRDefault="00D57B1D" w:rsidP="005F4FE4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لمزيد من المعلومات، يرجى الرجوع إلى الإعلان الذي نشرته </w:t>
      </w:r>
      <w:r w:rsidRPr="005F4FE4">
        <w:rPr>
          <w:rFonts w:asciiTheme="minorHAnsi" w:hAnsiTheme="minorHAnsi" w:cstheme="minorHAnsi"/>
          <w:sz w:val="22"/>
          <w:szCs w:val="22"/>
        </w:rPr>
        <w:t>ISDA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 بشأن وقف نشر </w:t>
      </w:r>
      <w:r w:rsidR="005F4FE4" w:rsidRPr="005F4FE4">
        <w:rPr>
          <w:rFonts w:asciiTheme="minorHAnsi" w:hAnsiTheme="minorHAnsi" w:hint="cs"/>
          <w:sz w:val="22"/>
          <w:szCs w:val="22"/>
          <w:rtl/>
          <w:lang w:bidi="ar-SA"/>
        </w:rPr>
        <w:t>فائدة التالبور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>.</w:t>
      </w:r>
    </w:p>
    <w:p w14:paraId="09A67F72" w14:textId="77777777" w:rsidR="00D57B1D" w:rsidRPr="005F4FE4" w:rsidRDefault="00D57B1D" w:rsidP="00D57B1D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3DBEE" w14:textId="77777777" w:rsidR="00D57B1D" w:rsidRPr="005F4FE4" w:rsidRDefault="005F4FE4" w:rsidP="005F4FE4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4FE4">
        <w:rPr>
          <w:rFonts w:asciiTheme="minorHAnsi" w:hAnsiTheme="minorHAnsi" w:hint="cs"/>
          <w:sz w:val="22"/>
          <w:szCs w:val="22"/>
          <w:rtl/>
          <w:lang w:bidi="ar-SA"/>
        </w:rPr>
        <w:t>تتوفر ال</w:t>
      </w:r>
      <w:r w:rsidR="00D57B1D" w:rsidRPr="005F4FE4">
        <w:rPr>
          <w:rFonts w:asciiTheme="minorHAnsi" w:hAnsiTheme="minorHAnsi"/>
          <w:sz w:val="22"/>
          <w:szCs w:val="22"/>
          <w:rtl/>
          <w:lang w:bidi="ar-SA"/>
        </w:rPr>
        <w:t xml:space="preserve">مزيد من المعلومات حول </w:t>
      </w:r>
      <w:r w:rsidRPr="005F4FE4">
        <w:rPr>
          <w:rFonts w:asciiTheme="minorHAnsi" w:hAnsiTheme="minorHAnsi" w:hint="cs"/>
          <w:sz w:val="22"/>
          <w:szCs w:val="22"/>
          <w:rtl/>
          <w:lang w:bidi="ar-SA"/>
        </w:rPr>
        <w:t>فائدة</w:t>
      </w:r>
      <w:r w:rsidR="00D57B1D" w:rsidRPr="005F4FE4">
        <w:rPr>
          <w:rFonts w:asciiTheme="minorHAnsi" w:hAnsiTheme="minorHAnsi"/>
          <w:sz w:val="22"/>
          <w:szCs w:val="22"/>
          <w:rtl/>
          <w:lang w:bidi="ar-SA"/>
        </w:rPr>
        <w:t xml:space="preserve"> </w:t>
      </w:r>
      <w:hyperlink r:id="rId8" w:history="1">
        <w:r w:rsidR="00D57B1D" w:rsidRPr="005F4FE4">
          <w:rPr>
            <w:rStyle w:val="Hyperlink"/>
            <w:rFonts w:asciiTheme="minorHAnsi" w:hAnsiTheme="minorHAnsi"/>
            <w:sz w:val="22"/>
            <w:szCs w:val="22"/>
            <w:rtl/>
            <w:lang w:bidi="ar-SA"/>
          </w:rPr>
          <w:t>تالبور</w:t>
        </w:r>
      </w:hyperlink>
      <w:r w:rsidR="00D57B1D" w:rsidRPr="005F4FE4">
        <w:rPr>
          <w:rFonts w:asciiTheme="minorHAnsi" w:hAnsiTheme="minorHAnsi"/>
          <w:sz w:val="22"/>
          <w:szCs w:val="22"/>
          <w:rtl/>
          <w:lang w:bidi="ar-SA"/>
        </w:rPr>
        <w:t xml:space="preserve"> و</w:t>
      </w:r>
      <w:r w:rsidRPr="005F4FE4">
        <w:rPr>
          <w:rFonts w:asciiTheme="minorHAnsi" w:hAnsiTheme="minorHAnsi" w:hint="cs"/>
          <w:sz w:val="22"/>
          <w:szCs w:val="22"/>
          <w:rtl/>
          <w:lang w:bidi="ar-SA"/>
        </w:rPr>
        <w:t xml:space="preserve">فائدة </w:t>
      </w:r>
      <w:hyperlink r:id="rId9" w:history="1">
        <w:r w:rsidRPr="005F4FE4">
          <w:rPr>
            <w:rStyle w:val="Hyperlink"/>
            <w:rFonts w:asciiTheme="minorHAnsi" w:hAnsiTheme="minorHAnsi" w:hint="cs"/>
            <w:sz w:val="22"/>
            <w:szCs w:val="22"/>
            <w:rtl/>
            <w:lang w:bidi="ar-SA"/>
          </w:rPr>
          <w:t>ال</w:t>
        </w:r>
        <w:r w:rsidR="00D57B1D" w:rsidRPr="005F4FE4">
          <w:rPr>
            <w:rStyle w:val="Hyperlink"/>
            <w:rFonts w:asciiTheme="minorHAnsi" w:hAnsiTheme="minorHAnsi"/>
            <w:sz w:val="22"/>
            <w:szCs w:val="22"/>
            <w:rtl/>
            <w:lang w:bidi="ar-SA"/>
          </w:rPr>
          <w:t>شير</w:t>
        </w:r>
      </w:hyperlink>
      <w:r w:rsidR="00D57B1D" w:rsidRPr="005F4FE4">
        <w:rPr>
          <w:rFonts w:asciiTheme="minorHAnsi" w:hAnsiTheme="minorHAnsi"/>
          <w:sz w:val="22"/>
          <w:szCs w:val="22"/>
          <w:rtl/>
          <w:lang w:bidi="ar-SA"/>
        </w:rPr>
        <w:t xml:space="preserve"> على موقع بنك إسرائيل.</w:t>
      </w:r>
    </w:p>
    <w:p w14:paraId="1EC9170C" w14:textId="50408864" w:rsidR="008A39BC" w:rsidRPr="005F4FE4" w:rsidRDefault="00D57B1D" w:rsidP="005F4FE4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يمكن إرسال </w:t>
      </w:r>
      <w:r w:rsidR="005F4FE4" w:rsidRPr="005F4FE4">
        <w:rPr>
          <w:rFonts w:asciiTheme="minorHAnsi" w:hAnsiTheme="minorHAnsi" w:hint="cs"/>
          <w:sz w:val="22"/>
          <w:szCs w:val="22"/>
          <w:rtl/>
          <w:lang w:bidi="ar-SA"/>
        </w:rPr>
        <w:t>الملاحظات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 </w:t>
      </w:r>
      <w:r w:rsidR="005F4FE4" w:rsidRPr="005F4FE4">
        <w:rPr>
          <w:rFonts w:asciiTheme="minorHAnsi" w:hAnsiTheme="minorHAnsi" w:hint="cs"/>
          <w:sz w:val="22"/>
          <w:szCs w:val="22"/>
          <w:rtl/>
          <w:lang w:bidi="ar-SA"/>
        </w:rPr>
        <w:t>والاستفسارات</w:t>
      </w:r>
      <w:r w:rsidRPr="005F4FE4">
        <w:rPr>
          <w:rFonts w:asciiTheme="minorHAnsi" w:hAnsiTheme="minorHAnsi"/>
          <w:sz w:val="22"/>
          <w:szCs w:val="22"/>
          <w:rtl/>
          <w:lang w:bidi="ar-SA"/>
        </w:rPr>
        <w:t xml:space="preserve"> المتعلقة بهذا القرار إلى </w:t>
      </w:r>
      <w:hyperlink r:id="rId10" w:history="1">
        <w:r w:rsidRPr="005F4FE4">
          <w:rPr>
            <w:rStyle w:val="Hyperlink"/>
            <w:rFonts w:asciiTheme="minorHAnsi" w:hAnsiTheme="minorHAnsi" w:cstheme="minorHAnsi"/>
            <w:sz w:val="22"/>
            <w:szCs w:val="22"/>
          </w:rPr>
          <w:t>shir@boi.org.il</w:t>
        </w:r>
      </w:hyperlink>
      <w:r w:rsidRPr="005F4FE4">
        <w:rPr>
          <w:rFonts w:asciiTheme="minorHAnsi" w:hAnsiTheme="minorHAnsi"/>
          <w:sz w:val="22"/>
          <w:szCs w:val="22"/>
          <w:rtl/>
          <w:lang w:bidi="ar-SA"/>
        </w:rPr>
        <w:t>.</w:t>
      </w:r>
      <w:r w:rsidR="001A6D01" w:rsidRPr="005F4FE4">
        <w:rPr>
          <w:rFonts w:asciiTheme="minorHAnsi" w:hAnsiTheme="minorHAnsi" w:cstheme="minorHAnsi"/>
          <w:sz w:val="22"/>
          <w:szCs w:val="22"/>
          <w:rtl/>
        </w:rPr>
        <w:tab/>
      </w:r>
    </w:p>
    <w:sectPr w:rsidR="008A39BC" w:rsidRPr="005F4FE4" w:rsidSect="001A6D01">
      <w:headerReference w:type="default" r:id="rId11"/>
      <w:footerReference w:type="default" r:id="rId12"/>
      <w:pgSz w:w="11906" w:h="16838"/>
      <w:pgMar w:top="1440" w:right="1800" w:bottom="1440" w:left="1800" w:header="708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528CA" w14:textId="77777777" w:rsidR="00750F44" w:rsidRDefault="00750F44" w:rsidP="00227603">
      <w:r>
        <w:separator/>
      </w:r>
    </w:p>
  </w:endnote>
  <w:endnote w:type="continuationSeparator" w:id="0">
    <w:p w14:paraId="112D86C0" w14:textId="77777777" w:rsidR="00750F44" w:rsidRDefault="00750F44" w:rsidP="002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8909F" w14:textId="77777777" w:rsidR="001A6D01" w:rsidRDefault="001A6D01" w:rsidP="001A6D01">
    <w:pPr>
      <w:pStyle w:val="Footer"/>
      <w:jc w:val="both"/>
      <w:rPr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7C9F35" wp14:editId="40F48421">
              <wp:simplePos x="0" y="0"/>
              <wp:positionH relativeFrom="column">
                <wp:posOffset>4607916</wp:posOffset>
              </wp:positionH>
              <wp:positionV relativeFrom="paragraph">
                <wp:posOffset>81584</wp:posOffset>
              </wp:positionV>
              <wp:extent cx="1535430" cy="457200"/>
              <wp:effectExtent l="0" t="0" r="0" b="0"/>
              <wp:wrapNone/>
              <wp:docPr id="2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AF7081" w14:textId="77777777" w:rsidR="001A6D01" w:rsidRPr="00B677DC" w:rsidRDefault="001A6D01" w:rsidP="001A6D01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7C9F35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362.85pt;margin-top:6.4pt;width:120.9pt;height:3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FcFAIAACw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" filled="f" stroked="f" strokeweight=".5pt">
              <v:textbox>
                <w:txbxContent>
                  <w:p w14:paraId="63AF7081" w14:textId="77777777" w:rsidR="001A6D01" w:rsidRPr="00B677DC" w:rsidRDefault="001A6D01" w:rsidP="001A6D01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71971">
      <w:rPr>
        <w:rFonts w:cs="Calibri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7F7DB196" wp14:editId="1412D243">
          <wp:simplePos x="0" y="0"/>
          <wp:positionH relativeFrom="rightMargin">
            <wp:align>left</wp:align>
          </wp:positionH>
          <wp:positionV relativeFrom="paragraph">
            <wp:posOffset>-144349</wp:posOffset>
          </wp:positionV>
          <wp:extent cx="310551" cy="310551"/>
          <wp:effectExtent l="0" t="0" r="0" b="0"/>
          <wp:wrapNone/>
          <wp:docPr id="6" name="תמונה 6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1" cy="31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19171A" wp14:editId="2A981437">
              <wp:simplePos x="0" y="0"/>
              <wp:positionH relativeFrom="column">
                <wp:posOffset>2796692</wp:posOffset>
              </wp:positionH>
              <wp:positionV relativeFrom="paragraph">
                <wp:posOffset>118796</wp:posOffset>
              </wp:positionV>
              <wp:extent cx="2181860" cy="457200"/>
              <wp:effectExtent l="0" t="0" r="0" b="0"/>
              <wp:wrapNone/>
              <wp:docPr id="3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F87016" w14:textId="77777777" w:rsidR="001A6D01" w:rsidRPr="00B677DC" w:rsidRDefault="001A6D01" w:rsidP="001A6D01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4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19171A" id="תיבת טקסט 2" o:spid="_x0000_s1027" type="#_x0000_t202" style="position:absolute;left:0;text-align:left;margin-left:220.2pt;margin-top:9.35pt;width:171.8pt;height:36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vzFw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" filled="f" stroked="f" strokeweight=".5pt">
              <v:textbox>
                <w:txbxContent>
                  <w:p w14:paraId="19F87016" w14:textId="77777777" w:rsidR="001A6D01" w:rsidRPr="00B677DC" w:rsidRDefault="001A6D01" w:rsidP="001A6D01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5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 wp14:anchorId="274C5EAB" wp14:editId="37D8940C">
          <wp:simplePos x="0" y="0"/>
          <wp:positionH relativeFrom="column">
            <wp:posOffset>3901821</wp:posOffset>
          </wp:positionH>
          <wp:positionV relativeFrom="paragraph">
            <wp:posOffset>-97740</wp:posOffset>
          </wp:positionV>
          <wp:extent cx="241539" cy="241539"/>
          <wp:effectExtent l="0" t="0" r="6350" b="635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39" cy="24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B4669B" wp14:editId="45D0FE68">
              <wp:simplePos x="0" y="0"/>
              <wp:positionH relativeFrom="margin">
                <wp:posOffset>1013562</wp:posOffset>
              </wp:positionH>
              <wp:positionV relativeFrom="paragraph">
                <wp:posOffset>150520</wp:posOffset>
              </wp:positionV>
              <wp:extent cx="2129790" cy="621030"/>
              <wp:effectExtent l="0" t="0" r="0" b="7620"/>
              <wp:wrapNone/>
              <wp:docPr id="4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F518D3" w14:textId="77777777" w:rsidR="001A6D01" w:rsidRPr="00B677DC" w:rsidRDefault="001A6D01" w:rsidP="001A6D01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4669B" id="תיבת טקסט 3" o:spid="_x0000_s1028" type="#_x0000_t202" style="position:absolute;left:0;text-align:left;margin-left:79.8pt;margin-top:11.85pt;width:167.7pt;height:48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" filled="f" stroked="f" strokeweight=".5pt">
              <v:textbox>
                <w:txbxContent>
                  <w:p w14:paraId="31F518D3" w14:textId="77777777" w:rsidR="001A6D01" w:rsidRPr="00B677DC" w:rsidRDefault="001A6D01" w:rsidP="001A6D01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59264" behindDoc="0" locked="0" layoutInCell="1" allowOverlap="1" wp14:anchorId="7DBCBB29" wp14:editId="4C651CDD">
          <wp:simplePos x="0" y="0"/>
          <wp:positionH relativeFrom="column">
            <wp:posOffset>1971548</wp:posOffset>
          </wp:positionH>
          <wp:positionV relativeFrom="paragraph">
            <wp:posOffset>-91364</wp:posOffset>
          </wp:positionV>
          <wp:extent cx="266528" cy="262039"/>
          <wp:effectExtent l="0" t="0" r="635" b="5080"/>
          <wp:wrapNone/>
          <wp:docPr id="12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28" cy="26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1259F" wp14:editId="52DD2EB6">
              <wp:simplePos x="0" y="0"/>
              <wp:positionH relativeFrom="margin">
                <wp:posOffset>-811480</wp:posOffset>
              </wp:positionH>
              <wp:positionV relativeFrom="paragraph">
                <wp:posOffset>149250</wp:posOffset>
              </wp:positionV>
              <wp:extent cx="2130281" cy="621030"/>
              <wp:effectExtent l="0" t="0" r="0" b="7620"/>
              <wp:wrapNone/>
              <wp:docPr id="5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CCD6A9" w14:textId="77777777" w:rsidR="001A6D01" w:rsidRPr="00F20046" w:rsidRDefault="001A6D01" w:rsidP="001A6D01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1259F" id="תיבת טקסט 4" o:spid="_x0000_s1029" type="#_x0000_t202" style="position:absolute;left:0;text-align:left;margin-left:-63.9pt;margin-top:11.75pt;width:167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" filled="f" stroked="f" strokeweight=".5pt">
              <v:textbox>
                <w:txbxContent>
                  <w:p w14:paraId="23CCD6A9" w14:textId="77777777" w:rsidR="001A6D01" w:rsidRPr="00F20046" w:rsidRDefault="001A6D01" w:rsidP="001A6D01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0288" behindDoc="0" locked="0" layoutInCell="1" allowOverlap="1" wp14:anchorId="0A55CFD1" wp14:editId="19123448">
          <wp:simplePos x="0" y="0"/>
          <wp:positionH relativeFrom="margin">
            <wp:align>left</wp:align>
          </wp:positionH>
          <wp:positionV relativeFrom="paragraph">
            <wp:posOffset>-92130</wp:posOffset>
          </wp:positionV>
          <wp:extent cx="329206" cy="241456"/>
          <wp:effectExtent l="0" t="0" r="0" b="6350"/>
          <wp:wrapNone/>
          <wp:docPr id="16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6C8033" wp14:editId="5F7F20C2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7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11BB0D" id="מחבר ישר 5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" strokecolor="black [3040]"/>
          </w:pict>
        </mc:Fallback>
      </mc:AlternateContent>
    </w:r>
  </w:p>
  <w:p w14:paraId="63D0E120" w14:textId="77777777" w:rsidR="00E3426C" w:rsidRDefault="00E34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E709C" w14:textId="77777777" w:rsidR="00750F44" w:rsidRDefault="00750F44" w:rsidP="00227603">
      <w:r>
        <w:separator/>
      </w:r>
    </w:p>
  </w:footnote>
  <w:footnote w:type="continuationSeparator" w:id="0">
    <w:p w14:paraId="11F34BE1" w14:textId="77777777" w:rsidR="00750F44" w:rsidRDefault="00750F44" w:rsidP="00227603">
      <w:r>
        <w:continuationSeparator/>
      </w:r>
    </w:p>
  </w:footnote>
  <w:footnote w:id="1">
    <w:p w14:paraId="2B189276" w14:textId="77777777" w:rsidR="008A39BC" w:rsidRPr="00D57B1D" w:rsidRDefault="008A39BC" w:rsidP="005F4FE4">
      <w:pPr>
        <w:pStyle w:val="FootnoteText"/>
        <w:bidi/>
        <w:rPr>
          <w:rFonts w:cstheme="minorBidi"/>
          <w:rtl/>
          <w:lang w:bidi="ar-SA"/>
        </w:rPr>
      </w:pPr>
      <w:r w:rsidRPr="00555EFA">
        <w:rPr>
          <w:rStyle w:val="FootnoteReference"/>
        </w:rPr>
        <w:footnoteRef/>
      </w:r>
      <w:r w:rsidRPr="00555EFA">
        <w:rPr>
          <w:rtl/>
        </w:rPr>
        <w:t xml:space="preserve"> </w:t>
      </w:r>
      <w:r w:rsidR="00D57B1D" w:rsidRPr="00D57B1D">
        <w:rPr>
          <w:rFonts w:ascii="David" w:hAnsi="David" w:cs="Arial"/>
          <w:rtl/>
          <w:lang w:bidi="ar-SA"/>
        </w:rPr>
        <w:t xml:space="preserve">لمزيد من المعلومات، </w:t>
      </w:r>
      <w:r w:rsidR="005F4FE4">
        <w:rPr>
          <w:rFonts w:ascii="David" w:hAnsi="David" w:cs="Arial" w:hint="cs"/>
          <w:rtl/>
          <w:lang w:bidi="ar-SA"/>
        </w:rPr>
        <w:t>يمكنكم</w:t>
      </w:r>
      <w:r w:rsidR="00D57B1D" w:rsidRPr="00D57B1D">
        <w:rPr>
          <w:rFonts w:ascii="David" w:hAnsi="David" w:cs="Arial"/>
          <w:rtl/>
          <w:lang w:bidi="ar-SA"/>
        </w:rPr>
        <w:t xml:space="preserve"> الرجوع إلى الإعلان الذي نشرته </w:t>
      </w:r>
      <w:r w:rsidR="00D57B1D" w:rsidRPr="00D57B1D">
        <w:rPr>
          <w:rFonts w:ascii="David" w:hAnsi="David" w:cstheme="minorBidi"/>
        </w:rPr>
        <w:t>ISDA</w:t>
      </w:r>
      <w:r w:rsidR="00D57B1D" w:rsidRPr="00D57B1D">
        <w:rPr>
          <w:rFonts w:ascii="David" w:hAnsi="David" w:cs="Arial"/>
          <w:rtl/>
          <w:lang w:bidi="ar-SA"/>
        </w:rPr>
        <w:t xml:space="preserve"> بشأن وقف نشر </w:t>
      </w:r>
      <w:r w:rsidR="005F4FE4">
        <w:rPr>
          <w:rFonts w:ascii="David" w:hAnsi="David" w:cs="Arial" w:hint="cs"/>
          <w:rtl/>
          <w:lang w:bidi="ar-SA"/>
        </w:rPr>
        <w:t>فائدة التالبور</w:t>
      </w:r>
      <w:r w:rsidR="00D57B1D" w:rsidRPr="00D57B1D">
        <w:rPr>
          <w:rFonts w:ascii="David" w:hAnsi="David" w:cs="Arial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7921297"/>
      <w:docPartObj>
        <w:docPartGallery w:val="Watermarks"/>
        <w:docPartUnique/>
      </w:docPartObj>
    </w:sdtPr>
    <w:sdtEndPr/>
    <w:sdtContent>
      <w:p w14:paraId="3760845C" w14:textId="77777777" w:rsidR="00E3426C" w:rsidRDefault="00531781">
        <w:pPr>
          <w:pStyle w:val="Header"/>
        </w:pPr>
        <w:r>
          <w:pict w14:anchorId="680972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530205" o:spid="_x0000_s2049" type="#_x0000_t136" style="position:absolute;margin-left:0;margin-top:0;width:232.35pt;height:353.1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חסוי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D9B"/>
    <w:rsid w:val="00015E69"/>
    <w:rsid w:val="0003660B"/>
    <w:rsid w:val="0004521F"/>
    <w:rsid w:val="00051D97"/>
    <w:rsid w:val="00057C3A"/>
    <w:rsid w:val="0008410E"/>
    <w:rsid w:val="00095639"/>
    <w:rsid w:val="0009719A"/>
    <w:rsid w:val="000A7937"/>
    <w:rsid w:val="000D6D69"/>
    <w:rsid w:val="000E2334"/>
    <w:rsid w:val="001018B6"/>
    <w:rsid w:val="00116A79"/>
    <w:rsid w:val="001349A2"/>
    <w:rsid w:val="001442CB"/>
    <w:rsid w:val="00161A89"/>
    <w:rsid w:val="00196C1B"/>
    <w:rsid w:val="001A10F9"/>
    <w:rsid w:val="001A6C26"/>
    <w:rsid w:val="001A6D01"/>
    <w:rsid w:val="001C7C21"/>
    <w:rsid w:val="0020466D"/>
    <w:rsid w:val="002125C3"/>
    <w:rsid w:val="002230EE"/>
    <w:rsid w:val="00227603"/>
    <w:rsid w:val="0024344D"/>
    <w:rsid w:val="00264002"/>
    <w:rsid w:val="002B22B7"/>
    <w:rsid w:val="002B4090"/>
    <w:rsid w:val="002C1D90"/>
    <w:rsid w:val="002D01FB"/>
    <w:rsid w:val="00301798"/>
    <w:rsid w:val="00317631"/>
    <w:rsid w:val="003676F4"/>
    <w:rsid w:val="003950E3"/>
    <w:rsid w:val="003E027F"/>
    <w:rsid w:val="0041150C"/>
    <w:rsid w:val="0041712C"/>
    <w:rsid w:val="004176C8"/>
    <w:rsid w:val="00497C40"/>
    <w:rsid w:val="004F4FDF"/>
    <w:rsid w:val="00522F57"/>
    <w:rsid w:val="00531781"/>
    <w:rsid w:val="005A2759"/>
    <w:rsid w:val="005F4FE4"/>
    <w:rsid w:val="0061012B"/>
    <w:rsid w:val="00611341"/>
    <w:rsid w:val="00626673"/>
    <w:rsid w:val="00626B56"/>
    <w:rsid w:val="0063388C"/>
    <w:rsid w:val="006521A2"/>
    <w:rsid w:val="00662D89"/>
    <w:rsid w:val="006F3CC3"/>
    <w:rsid w:val="00706313"/>
    <w:rsid w:val="00724815"/>
    <w:rsid w:val="00750F44"/>
    <w:rsid w:val="007A0490"/>
    <w:rsid w:val="007A1BEC"/>
    <w:rsid w:val="007F3ED9"/>
    <w:rsid w:val="0081216A"/>
    <w:rsid w:val="0081523E"/>
    <w:rsid w:val="00830464"/>
    <w:rsid w:val="00850291"/>
    <w:rsid w:val="00855B39"/>
    <w:rsid w:val="008623CE"/>
    <w:rsid w:val="00871CE8"/>
    <w:rsid w:val="008A1D40"/>
    <w:rsid w:val="008A39BC"/>
    <w:rsid w:val="008A6170"/>
    <w:rsid w:val="0093303B"/>
    <w:rsid w:val="00935B5E"/>
    <w:rsid w:val="009455AD"/>
    <w:rsid w:val="009F289F"/>
    <w:rsid w:val="00A028E8"/>
    <w:rsid w:val="00A17FD5"/>
    <w:rsid w:val="00A51C0F"/>
    <w:rsid w:val="00A611AD"/>
    <w:rsid w:val="00B33804"/>
    <w:rsid w:val="00B3588A"/>
    <w:rsid w:val="00B8544C"/>
    <w:rsid w:val="00C30403"/>
    <w:rsid w:val="00C9268F"/>
    <w:rsid w:val="00CC43BD"/>
    <w:rsid w:val="00CD6516"/>
    <w:rsid w:val="00D01801"/>
    <w:rsid w:val="00D050D3"/>
    <w:rsid w:val="00D051CE"/>
    <w:rsid w:val="00D20727"/>
    <w:rsid w:val="00D31B96"/>
    <w:rsid w:val="00D56D26"/>
    <w:rsid w:val="00D57B1D"/>
    <w:rsid w:val="00D95FF5"/>
    <w:rsid w:val="00DB3D9B"/>
    <w:rsid w:val="00DC603A"/>
    <w:rsid w:val="00E26CEF"/>
    <w:rsid w:val="00E3426C"/>
    <w:rsid w:val="00E436EF"/>
    <w:rsid w:val="00E86B70"/>
    <w:rsid w:val="00EB778D"/>
    <w:rsid w:val="00EE1B7F"/>
    <w:rsid w:val="00F0067E"/>
    <w:rsid w:val="00F36A11"/>
    <w:rsid w:val="00F415E5"/>
    <w:rsid w:val="00F6211C"/>
    <w:rsid w:val="00F74C29"/>
    <w:rsid w:val="00F77600"/>
    <w:rsid w:val="00FA3BFE"/>
    <w:rsid w:val="00FD2DCD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F0E762"/>
  <w15:docId w15:val="{894A657A-EA4B-4AE9-BB24-7DC5279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FF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95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7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70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76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60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6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27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2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2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boi.org.il/roles/markets/telbor/" TargetMode="Externa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image" Target="media/image1.png" />
  <Relationship Id="rId12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11" Type="http://schemas.openxmlformats.org/officeDocument/2006/relationships/header" Target="header1.xml" />
  <Relationship Id="rId5" Type="http://schemas.openxmlformats.org/officeDocument/2006/relationships/footnotes" Target="footnotes.xml" />
  <Relationship Id="rId10" Type="http://schemas.openxmlformats.org/officeDocument/2006/relationships/hyperlink" Target="file:///C:\Users\jamil\Downloads\shir@boi.org.il" TargetMode="External" />
  <Relationship Id="rId4" Type="http://schemas.openxmlformats.org/officeDocument/2006/relationships/webSettings" Target="webSettings.xml" />
  <Relationship Id="rId9" Type="http://schemas.openxmlformats.org/officeDocument/2006/relationships/hyperlink" Target="https://boi.org.il/roles/markets/shir/" TargetMode="External" />
  <Relationship Id="rId14" Type="http://schemas.openxmlformats.org/officeDocument/2006/relationships/theme" Target="theme/theme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image" Target="media/image5.png" />
  <Relationship Id="rId3" Type="http://schemas.openxmlformats.org/officeDocument/2006/relationships/image" Target="media/image2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youtube.com/user/thebankofisrael" TargetMode="External" />
  <Relationship Id="rId2" Type="http://schemas.openxmlformats.org/officeDocument/2006/relationships/hyperlink" Target="https://www.boi.org.il/" TargetMode="External" />
  <Relationship Id="rId1" Type="http://schemas.openxmlformats.org/officeDocument/2006/relationships/hyperlink" Target="https://www.boi.org.il/" TargetMode="External" />
  <Relationship Id="rId6" Type="http://schemas.openxmlformats.org/officeDocument/2006/relationships/image" Target="media/image3.png" />
  <Relationship Id="rId11" Type="http://schemas.openxmlformats.org/officeDocument/2006/relationships/hyperlink" Target="https://www.youtube.com/user/thebankofisrael" TargetMode="External" />
  <Relationship Id="rId5" Type="http://schemas.openxmlformats.org/officeDocument/2006/relationships/hyperlink" Target="https://www.facebook.com/bankisraelvc" TargetMode="External" />
  <Relationship Id="rId10" Type="http://schemas.microsoft.com/office/2007/relationships/hdphoto" Target="media/hdphoto1.wdp" />
  <Relationship Id="rId4" Type="http://schemas.openxmlformats.org/officeDocument/2006/relationships/hyperlink" Target="https://www.facebook.com/bankisraelvc" TargetMode="External" />
  <Relationship Id="rId9" Type="http://schemas.openxmlformats.org/officeDocument/2006/relationships/image" Target="media/image4.png" />
  <Relationship Id="rId14" Type="http://schemas.microsoft.com/office/2007/relationships/hdphoto" Target="media/hdphoto2.wdp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8DE1-536B-4021-920B-5B8C1304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צילה בילט בלנק</dc:creator>
  <cp:keywords/>
  <dc:description/>
  <cp:lastModifiedBy>Jamil Abu Aqel</cp:lastModifiedBy>
  <cp:revision>2</cp:revision>
  <dcterms:created xsi:type="dcterms:W3CDTF">2024-04-16T15:24:00Z</dcterms:created>
  <dcterms:modified xsi:type="dcterms:W3CDTF">2024-04-16T15:24:00Z</dcterms:modified>
</cp:coreProperties>
</file>