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55" w:rsidRDefault="009A4855">
      <w:pPr>
        <w:rPr>
          <w:rtl/>
        </w:rPr>
      </w:pPr>
    </w:p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A76EE4" w:rsidRPr="004D1E70" w:rsidTr="00C7527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EE4" w:rsidRPr="004D1E70" w:rsidRDefault="00A76EE4" w:rsidP="00C75273">
            <w:pPr>
              <w:spacing w:line="480" w:lineRule="auto"/>
              <w:ind w:left="97"/>
              <w:jc w:val="center"/>
              <w:rPr>
                <w:rFonts w:cs="David"/>
                <w:b/>
                <w:bCs/>
              </w:rPr>
            </w:pPr>
            <w:r w:rsidRPr="004D1E70">
              <w:rPr>
                <w:rFonts w:cs="David"/>
                <w:b/>
                <w:bCs/>
                <w:rtl/>
              </w:rPr>
              <w:t>בנ</w:t>
            </w:r>
            <w:r w:rsidRPr="004D1E70">
              <w:rPr>
                <w:rFonts w:cs="David" w:hint="cs"/>
                <w:b/>
                <w:bCs/>
                <w:rtl/>
              </w:rPr>
              <w:t xml:space="preserve">ק </w:t>
            </w:r>
            <w:r w:rsidRPr="004D1E70">
              <w:rPr>
                <w:rFonts w:cs="David"/>
                <w:b/>
                <w:bCs/>
                <w:rtl/>
              </w:rPr>
              <w:t>יש</w:t>
            </w:r>
            <w:r w:rsidRPr="004D1E70">
              <w:rPr>
                <w:rFonts w:cs="David" w:hint="cs"/>
                <w:b/>
                <w:bCs/>
                <w:rtl/>
              </w:rPr>
              <w:t>ראל</w:t>
            </w:r>
          </w:p>
          <w:p w:rsidR="00A76EE4" w:rsidRPr="004D1E70" w:rsidRDefault="00A76EE4" w:rsidP="00C75273">
            <w:pPr>
              <w:spacing w:line="480" w:lineRule="auto"/>
              <w:ind w:left="97" w:right="-101"/>
              <w:jc w:val="center"/>
            </w:pPr>
            <w:r w:rsidRPr="004D1E70">
              <w:rPr>
                <w:rFonts w:cs="David"/>
                <w:rtl/>
              </w:rPr>
              <w:t>דו</w:t>
            </w:r>
            <w:r w:rsidRPr="004D1E70">
              <w:rPr>
                <w:rFonts w:cs="David" w:hint="cs"/>
                <w:rtl/>
              </w:rPr>
              <w:t>בר</w:t>
            </w:r>
            <w:r w:rsidRPr="004D1E70">
              <w:rPr>
                <w:rFonts w:cs="David"/>
                <w:rtl/>
              </w:rPr>
              <w:t>ות</w:t>
            </w:r>
            <w:r w:rsidRPr="004D1E70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76EE4" w:rsidRPr="004D1E70" w:rsidRDefault="00A76EE4" w:rsidP="00C75273">
            <w:pPr>
              <w:jc w:val="center"/>
            </w:pPr>
            <w:r w:rsidRPr="004D1E70">
              <w:rPr>
                <w:noProof/>
              </w:rPr>
              <w:drawing>
                <wp:inline distT="0" distB="0" distL="0" distR="0" wp14:anchorId="3C6157E2" wp14:editId="7D755CD4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EE4" w:rsidRPr="004D1E70" w:rsidRDefault="00A76EE4" w:rsidP="00C75273">
            <w:pPr>
              <w:spacing w:line="480" w:lineRule="auto"/>
              <w:jc w:val="right"/>
              <w:rPr>
                <w:rFonts w:cs="David"/>
              </w:rPr>
            </w:pPr>
            <w:r w:rsidRPr="004D1E70">
              <w:rPr>
                <w:rFonts w:cs="David" w:hint="eastAsia"/>
                <w:rtl/>
              </w:rPr>
              <w:t>‏</w:t>
            </w:r>
            <w:r w:rsidRPr="004D1E70">
              <w:rPr>
                <w:rFonts w:cs="David" w:hint="cs"/>
                <w:rtl/>
              </w:rPr>
              <w:t>ירושלים, י"ט בכסלו</w:t>
            </w:r>
            <w:r w:rsidRPr="004D1E70">
              <w:rPr>
                <w:rFonts w:cs="David"/>
                <w:rtl/>
              </w:rPr>
              <w:t>, תש</w:t>
            </w:r>
            <w:r w:rsidRPr="004D1E70">
              <w:rPr>
                <w:rFonts w:cs="David" w:hint="cs"/>
                <w:rtl/>
              </w:rPr>
              <w:t>"ף</w:t>
            </w:r>
          </w:p>
          <w:p w:rsidR="00A76EE4" w:rsidRPr="004D1E70" w:rsidRDefault="00A76EE4" w:rsidP="00C75273">
            <w:pPr>
              <w:spacing w:line="480" w:lineRule="auto"/>
              <w:jc w:val="right"/>
              <w:rPr>
                <w:rFonts w:cs="David"/>
              </w:rPr>
            </w:pPr>
            <w:r w:rsidRPr="004D1E70">
              <w:rPr>
                <w:rFonts w:cs="David" w:hint="cs"/>
                <w:rtl/>
              </w:rPr>
              <w:t>17 בדצמבר 2019</w:t>
            </w:r>
          </w:p>
        </w:tc>
      </w:tr>
    </w:tbl>
    <w:p w:rsidR="002D5576" w:rsidRPr="008554AE" w:rsidRDefault="00DB2C69" w:rsidP="002D468D">
      <w:pPr>
        <w:spacing w:before="240" w:line="360" w:lineRule="auto"/>
        <w:rPr>
          <w:rtl/>
        </w:rPr>
      </w:pPr>
      <w:r w:rsidRPr="008554AE">
        <w:rPr>
          <w:rFonts w:cs="David"/>
          <w:rtl/>
        </w:rPr>
        <w:t>הודעה לעיתונות</w:t>
      </w:r>
      <w:r w:rsidR="002D5576" w:rsidRPr="008554AE">
        <w:rPr>
          <w:rFonts w:cs="David" w:hint="cs"/>
          <w:rtl/>
        </w:rPr>
        <w:t>:</w:t>
      </w:r>
    </w:p>
    <w:p w:rsidR="00BB4BBF" w:rsidRPr="00F453D2" w:rsidRDefault="00673D6C" w:rsidP="006F7C7B">
      <w:pPr>
        <w:pStyle w:val="ad"/>
        <w:rPr>
          <w:u w:val="none"/>
          <w:rtl/>
        </w:rPr>
      </w:pPr>
      <w:bookmarkStart w:id="0" w:name="_GoBack"/>
      <w:r w:rsidRPr="00F453D2">
        <w:rPr>
          <w:u w:val="none"/>
          <w:rtl/>
        </w:rPr>
        <w:t xml:space="preserve">הנכסים וההתחייבויות של המשק </w:t>
      </w:r>
      <w:r w:rsidR="00807F97" w:rsidRPr="00F453D2">
        <w:rPr>
          <w:rFonts w:hint="cs"/>
          <w:u w:val="none"/>
          <w:rtl/>
        </w:rPr>
        <w:t xml:space="preserve">מול </w:t>
      </w:r>
      <w:r w:rsidRPr="00F453D2">
        <w:rPr>
          <w:u w:val="none"/>
          <w:rtl/>
        </w:rPr>
        <w:t>חו"ל</w:t>
      </w:r>
      <w:r w:rsidR="00922F75" w:rsidRPr="00F453D2">
        <w:rPr>
          <w:rFonts w:hint="cs"/>
          <w:u w:val="none"/>
          <w:rtl/>
        </w:rPr>
        <w:t>,</w:t>
      </w:r>
      <w:r w:rsidR="00D77467" w:rsidRPr="00F453D2">
        <w:rPr>
          <w:rFonts w:hint="cs"/>
          <w:u w:val="none"/>
          <w:rtl/>
        </w:rPr>
        <w:t xml:space="preserve"> </w:t>
      </w:r>
      <w:r w:rsidR="000150C4" w:rsidRPr="00F453D2">
        <w:rPr>
          <w:rFonts w:hint="cs"/>
          <w:u w:val="none"/>
          <w:rtl/>
        </w:rPr>
        <w:t xml:space="preserve">רביע </w:t>
      </w:r>
      <w:r w:rsidR="006F7C7B">
        <w:rPr>
          <w:rFonts w:hint="cs"/>
          <w:u w:val="none"/>
          <w:rtl/>
        </w:rPr>
        <w:t>שלישי</w:t>
      </w:r>
      <w:r w:rsidR="008B5EE0" w:rsidRPr="00F453D2">
        <w:rPr>
          <w:rFonts w:hint="cs"/>
          <w:u w:val="none"/>
          <w:rtl/>
        </w:rPr>
        <w:t xml:space="preserve"> </w:t>
      </w:r>
      <w:r w:rsidR="00492A66" w:rsidRPr="00F453D2">
        <w:rPr>
          <w:rFonts w:hint="cs"/>
          <w:u w:val="none"/>
          <w:rtl/>
        </w:rPr>
        <w:t>2019</w:t>
      </w:r>
    </w:p>
    <w:bookmarkEnd w:id="0"/>
    <w:p w:rsidR="00DC15F9" w:rsidRPr="00A53CC2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  <w:highlight w:val="yellow"/>
        </w:rPr>
      </w:pPr>
    </w:p>
    <w:p w:rsidR="00316734" w:rsidRPr="00F453D2" w:rsidRDefault="002F5DFE" w:rsidP="00EE694C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F453D2">
        <w:rPr>
          <w:rFonts w:ascii="Arial" w:hAnsi="Arial" w:cs="David" w:hint="cs"/>
          <w:b/>
          <w:bCs/>
          <w:rtl/>
        </w:rPr>
        <w:t xml:space="preserve">יתרת הנכסים של תושבי ישראל בחו"ל עלתה ברביע </w:t>
      </w:r>
      <w:r w:rsidR="00A53CC2" w:rsidRPr="00F453D2">
        <w:rPr>
          <w:rFonts w:ascii="Arial" w:hAnsi="Arial" w:cs="David" w:hint="cs"/>
          <w:b/>
          <w:bCs/>
          <w:rtl/>
        </w:rPr>
        <w:t>ה</w:t>
      </w:r>
      <w:r w:rsidR="00342B58">
        <w:rPr>
          <w:rFonts w:ascii="Arial" w:hAnsi="Arial" w:cs="David" w:hint="cs"/>
          <w:b/>
          <w:bCs/>
          <w:rtl/>
        </w:rPr>
        <w:t>שלישי</w:t>
      </w:r>
      <w:r w:rsidR="008A4EAA" w:rsidRPr="00F453D2">
        <w:rPr>
          <w:rFonts w:ascii="Arial" w:hAnsi="Arial" w:cs="David" w:hint="cs"/>
          <w:b/>
          <w:bCs/>
          <w:rtl/>
        </w:rPr>
        <w:t xml:space="preserve"> </w:t>
      </w:r>
      <w:r w:rsidRPr="00F453D2">
        <w:rPr>
          <w:rFonts w:ascii="Arial" w:hAnsi="Arial" w:cs="David" w:hint="cs"/>
          <w:b/>
          <w:bCs/>
          <w:rtl/>
        </w:rPr>
        <w:t>של שנת 2019 בכ-</w:t>
      </w:r>
      <w:r w:rsidR="00342B58">
        <w:rPr>
          <w:rFonts w:ascii="Arial" w:hAnsi="Arial" w:cs="David" w:hint="cs"/>
          <w:b/>
          <w:bCs/>
          <w:rtl/>
        </w:rPr>
        <w:t>3</w:t>
      </w:r>
      <w:r w:rsidR="00A53CC2" w:rsidRPr="00F453D2">
        <w:rPr>
          <w:rFonts w:ascii="Arial" w:hAnsi="Arial" w:cs="David" w:hint="cs"/>
          <w:b/>
          <w:bCs/>
          <w:rtl/>
        </w:rPr>
        <w:t>.</w:t>
      </w:r>
      <w:r w:rsidR="00342B58">
        <w:rPr>
          <w:rFonts w:ascii="Arial" w:hAnsi="Arial" w:cs="David" w:hint="cs"/>
          <w:b/>
          <w:bCs/>
          <w:rtl/>
        </w:rPr>
        <w:t>7</w:t>
      </w:r>
      <w:r w:rsidRPr="00F453D2">
        <w:rPr>
          <w:rFonts w:ascii="Arial" w:hAnsi="Arial" w:cs="David" w:hint="cs"/>
          <w:b/>
          <w:bCs/>
          <w:rtl/>
        </w:rPr>
        <w:t xml:space="preserve"> מיליארדי דולרים (</w:t>
      </w:r>
      <w:r w:rsidR="00342B58">
        <w:rPr>
          <w:rFonts w:ascii="Arial" w:hAnsi="Arial" w:cs="David" w:hint="cs"/>
          <w:b/>
          <w:bCs/>
          <w:rtl/>
        </w:rPr>
        <w:t>0</w:t>
      </w:r>
      <w:r w:rsidR="00A53CC2" w:rsidRPr="00F453D2">
        <w:rPr>
          <w:rFonts w:ascii="Arial" w:hAnsi="Arial" w:cs="David" w:hint="cs"/>
          <w:b/>
          <w:bCs/>
          <w:rtl/>
        </w:rPr>
        <w:t>.8%</w:t>
      </w:r>
      <w:r w:rsidRPr="00F453D2">
        <w:rPr>
          <w:rFonts w:ascii="Arial" w:hAnsi="Arial" w:cs="David" w:hint="cs"/>
          <w:b/>
          <w:bCs/>
          <w:rtl/>
        </w:rPr>
        <w:t xml:space="preserve">) ועמדה בסוף </w:t>
      </w:r>
      <w:r w:rsidR="008B1CA7">
        <w:rPr>
          <w:rFonts w:ascii="Arial" w:hAnsi="Arial" w:cs="David" w:hint="cs"/>
          <w:b/>
          <w:bCs/>
          <w:rtl/>
        </w:rPr>
        <w:t>ספטמבר</w:t>
      </w:r>
      <w:r w:rsidRPr="00F453D2">
        <w:rPr>
          <w:rFonts w:ascii="Arial" w:hAnsi="Arial" w:cs="David" w:hint="cs"/>
          <w:b/>
          <w:bCs/>
          <w:rtl/>
        </w:rPr>
        <w:t xml:space="preserve"> על כ-</w:t>
      </w:r>
      <w:r w:rsidR="00A53CC2" w:rsidRPr="00F453D2">
        <w:rPr>
          <w:rFonts w:ascii="Arial" w:hAnsi="Arial" w:cs="David" w:hint="cs"/>
          <w:b/>
          <w:bCs/>
          <w:rtl/>
        </w:rPr>
        <w:t>4</w:t>
      </w:r>
      <w:r w:rsidR="00342B58">
        <w:rPr>
          <w:rFonts w:ascii="Arial" w:hAnsi="Arial" w:cs="David" w:hint="cs"/>
          <w:b/>
          <w:bCs/>
          <w:rtl/>
        </w:rPr>
        <w:t>70</w:t>
      </w:r>
      <w:r w:rsidR="00A53CC2" w:rsidRPr="00F453D2">
        <w:rPr>
          <w:rFonts w:ascii="Arial" w:hAnsi="Arial" w:cs="David" w:hint="cs"/>
          <w:b/>
          <w:bCs/>
          <w:rtl/>
        </w:rPr>
        <w:t xml:space="preserve"> </w:t>
      </w:r>
      <w:r w:rsidRPr="00F453D2">
        <w:rPr>
          <w:rFonts w:ascii="Arial" w:hAnsi="Arial" w:cs="David" w:hint="cs"/>
          <w:b/>
          <w:bCs/>
          <w:rtl/>
        </w:rPr>
        <w:t xml:space="preserve">מיליארדי דולרים. </w:t>
      </w:r>
      <w:r w:rsidR="00342B58" w:rsidRPr="00342B58">
        <w:rPr>
          <w:rFonts w:ascii="Arial" w:hAnsi="Arial" w:cs="David" w:hint="cs"/>
          <w:b/>
          <w:bCs/>
          <w:rtl/>
        </w:rPr>
        <w:t>העליי</w:t>
      </w:r>
      <w:r w:rsidR="00342B58" w:rsidRPr="00342B58">
        <w:rPr>
          <w:rFonts w:ascii="Arial" w:hAnsi="Arial" w:cs="David" w:hint="eastAsia"/>
          <w:b/>
          <w:bCs/>
          <w:rtl/>
        </w:rPr>
        <w:t>ה</w:t>
      </w:r>
      <w:r w:rsidR="00342B58" w:rsidRPr="00342B58">
        <w:rPr>
          <w:rFonts w:ascii="Arial" w:hAnsi="Arial" w:cs="David" w:hint="cs"/>
          <w:b/>
          <w:bCs/>
          <w:rtl/>
        </w:rPr>
        <w:t xml:space="preserve"> ביתרה נבעה מזרם השקעות ישירות </w:t>
      </w:r>
      <w:r w:rsidR="00EE694C" w:rsidRPr="00342B58">
        <w:rPr>
          <w:rFonts w:ascii="Arial" w:hAnsi="Arial" w:cs="David" w:hint="cs"/>
          <w:b/>
          <w:bCs/>
          <w:rtl/>
        </w:rPr>
        <w:t xml:space="preserve">של תושבי ישראל </w:t>
      </w:r>
      <w:r w:rsidR="00EE694C">
        <w:rPr>
          <w:rFonts w:ascii="Arial" w:hAnsi="Arial" w:cs="David" w:hint="cs"/>
          <w:b/>
          <w:bCs/>
          <w:rtl/>
        </w:rPr>
        <w:t xml:space="preserve">בחו"ל </w:t>
      </w:r>
      <w:r w:rsidR="00342B58" w:rsidRPr="00342B58">
        <w:rPr>
          <w:rFonts w:ascii="Arial" w:hAnsi="Arial" w:cs="David" w:hint="cs"/>
          <w:b/>
          <w:bCs/>
          <w:rtl/>
        </w:rPr>
        <w:t>והשקעות בתיק ני"ע בחו"ל ומעלייה במחירי ני"ע</w:t>
      </w:r>
      <w:r w:rsidR="00342B58" w:rsidRPr="00342B58">
        <w:rPr>
          <w:rFonts w:ascii="Arial" w:hAnsi="Arial" w:cs="David"/>
          <w:b/>
          <w:bCs/>
          <w:rtl/>
        </w:rPr>
        <w:t xml:space="preserve"> </w:t>
      </w:r>
      <w:r w:rsidR="00342B58" w:rsidRPr="00342B58">
        <w:rPr>
          <w:rFonts w:ascii="Arial" w:hAnsi="Arial" w:cs="David" w:hint="eastAsia"/>
          <w:b/>
          <w:bCs/>
          <w:rtl/>
        </w:rPr>
        <w:t>שמחזיקים</w:t>
      </w:r>
      <w:r w:rsidR="00342B58" w:rsidRPr="00342B58">
        <w:rPr>
          <w:rFonts w:ascii="Arial" w:hAnsi="Arial" w:cs="David"/>
          <w:b/>
          <w:bCs/>
          <w:rtl/>
        </w:rPr>
        <w:t xml:space="preserve"> </w:t>
      </w:r>
      <w:r w:rsidR="00342B58" w:rsidRPr="00342B58">
        <w:rPr>
          <w:rFonts w:ascii="Arial" w:hAnsi="Arial" w:cs="David" w:hint="eastAsia"/>
          <w:b/>
          <w:bCs/>
          <w:rtl/>
        </w:rPr>
        <w:t>תושבי</w:t>
      </w:r>
      <w:r w:rsidR="00342B58" w:rsidRPr="00342B58">
        <w:rPr>
          <w:rFonts w:ascii="Arial" w:hAnsi="Arial" w:cs="David"/>
          <w:b/>
          <w:bCs/>
          <w:rtl/>
        </w:rPr>
        <w:t xml:space="preserve"> </w:t>
      </w:r>
      <w:r w:rsidR="00342B58" w:rsidRPr="00342B58">
        <w:rPr>
          <w:rFonts w:ascii="Arial" w:hAnsi="Arial" w:cs="David" w:hint="eastAsia"/>
          <w:b/>
          <w:bCs/>
          <w:rtl/>
        </w:rPr>
        <w:t>ישראל</w:t>
      </w:r>
      <w:r w:rsidRPr="00F453D2">
        <w:rPr>
          <w:rFonts w:ascii="Arial" w:hAnsi="Arial" w:cs="David" w:hint="cs"/>
          <w:b/>
          <w:bCs/>
          <w:rtl/>
        </w:rPr>
        <w:t>.</w:t>
      </w:r>
    </w:p>
    <w:p w:rsidR="00624014" w:rsidRDefault="002F5DFE" w:rsidP="00B74EA8">
      <w:pPr>
        <w:pStyle w:val="af7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 w:rsidRPr="00624014">
        <w:rPr>
          <w:rFonts w:ascii="Arial" w:hAnsi="Arial" w:cs="David" w:hint="cs"/>
          <w:b/>
          <w:bCs/>
          <w:rtl/>
        </w:rPr>
        <w:t xml:space="preserve">יתרת ההתחייבויות של המשק לחו"ל </w:t>
      </w:r>
      <w:r w:rsidR="002367FB" w:rsidRPr="00624014">
        <w:rPr>
          <w:rFonts w:ascii="Arial" w:hAnsi="Arial" w:cs="David" w:hint="cs"/>
          <w:b/>
          <w:bCs/>
          <w:rtl/>
        </w:rPr>
        <w:t>עלת</w:t>
      </w:r>
      <w:r w:rsidR="00337599" w:rsidRPr="00624014">
        <w:rPr>
          <w:rFonts w:ascii="Arial" w:hAnsi="Arial" w:cs="David" w:hint="cs"/>
          <w:b/>
          <w:bCs/>
          <w:rtl/>
        </w:rPr>
        <w:t>ה</w:t>
      </w:r>
      <w:r w:rsidRPr="00624014">
        <w:rPr>
          <w:rFonts w:ascii="Arial" w:hAnsi="Arial" w:cs="David" w:hint="cs"/>
          <w:b/>
          <w:bCs/>
          <w:rtl/>
        </w:rPr>
        <w:t xml:space="preserve"> במהלך הרביע ה</w:t>
      </w:r>
      <w:r w:rsidR="002367FB" w:rsidRPr="00624014">
        <w:rPr>
          <w:rFonts w:ascii="Arial" w:hAnsi="Arial" w:cs="David" w:hint="cs"/>
          <w:b/>
          <w:bCs/>
          <w:rtl/>
        </w:rPr>
        <w:t>שלישי</w:t>
      </w:r>
      <w:r w:rsidRPr="00624014">
        <w:rPr>
          <w:rFonts w:ascii="Arial" w:hAnsi="Arial" w:cs="David" w:hint="cs"/>
          <w:b/>
          <w:bCs/>
          <w:rtl/>
        </w:rPr>
        <w:t xml:space="preserve"> בכ-</w:t>
      </w:r>
      <w:r w:rsidR="002367FB" w:rsidRPr="00624014">
        <w:rPr>
          <w:rFonts w:ascii="Arial" w:hAnsi="Arial" w:cs="David" w:hint="cs"/>
          <w:b/>
          <w:bCs/>
          <w:rtl/>
        </w:rPr>
        <w:t>0.3</w:t>
      </w:r>
      <w:r w:rsidRPr="00624014">
        <w:rPr>
          <w:rFonts w:ascii="Arial" w:hAnsi="Arial" w:cs="David" w:hint="cs"/>
          <w:b/>
          <w:bCs/>
          <w:rtl/>
        </w:rPr>
        <w:t xml:space="preserve"> מיליארדי דולרים (</w:t>
      </w:r>
      <w:r w:rsidR="00337599" w:rsidRPr="00624014">
        <w:rPr>
          <w:rFonts w:ascii="Arial" w:hAnsi="Arial" w:cs="David" w:hint="cs"/>
          <w:b/>
          <w:bCs/>
          <w:rtl/>
        </w:rPr>
        <w:t>0.</w:t>
      </w:r>
      <w:r w:rsidR="002367FB" w:rsidRPr="00624014">
        <w:rPr>
          <w:rFonts w:ascii="Arial" w:hAnsi="Arial" w:cs="David" w:hint="cs"/>
          <w:b/>
          <w:bCs/>
          <w:rtl/>
        </w:rPr>
        <w:t>1</w:t>
      </w:r>
      <w:r w:rsidRPr="00624014">
        <w:rPr>
          <w:rFonts w:ascii="Arial" w:hAnsi="Arial" w:cs="David" w:hint="cs"/>
          <w:b/>
          <w:bCs/>
          <w:rtl/>
        </w:rPr>
        <w:t xml:space="preserve">%) ועמדה בסוף </w:t>
      </w:r>
      <w:r w:rsidR="008B1CA7">
        <w:rPr>
          <w:rFonts w:ascii="Arial" w:hAnsi="Arial" w:cs="David" w:hint="cs"/>
          <w:b/>
          <w:bCs/>
          <w:rtl/>
        </w:rPr>
        <w:t>ספטמבר</w:t>
      </w:r>
      <w:r w:rsidRPr="00624014">
        <w:rPr>
          <w:rFonts w:ascii="Arial" w:hAnsi="Arial" w:cs="David" w:hint="cs"/>
          <w:b/>
          <w:bCs/>
          <w:rtl/>
        </w:rPr>
        <w:t xml:space="preserve"> </w:t>
      </w:r>
      <w:r w:rsidR="005151C1" w:rsidRPr="00624014">
        <w:rPr>
          <w:rFonts w:ascii="Arial" w:hAnsi="Arial" w:cs="David" w:hint="cs"/>
          <w:b/>
          <w:bCs/>
          <w:rtl/>
        </w:rPr>
        <w:t xml:space="preserve">על </w:t>
      </w:r>
      <w:r w:rsidRPr="00624014">
        <w:rPr>
          <w:rFonts w:ascii="Arial" w:hAnsi="Arial" w:cs="David" w:hint="cs"/>
          <w:b/>
          <w:bCs/>
          <w:rtl/>
        </w:rPr>
        <w:t>כ-</w:t>
      </w:r>
      <w:r w:rsidR="002367FB" w:rsidRPr="00624014">
        <w:rPr>
          <w:rFonts w:ascii="Arial" w:hAnsi="Arial" w:cs="David" w:hint="cs"/>
          <w:b/>
          <w:bCs/>
          <w:rtl/>
        </w:rPr>
        <w:t>320</w:t>
      </w:r>
      <w:r w:rsidRPr="00624014">
        <w:rPr>
          <w:rFonts w:ascii="Arial" w:hAnsi="Arial" w:cs="David" w:hint="cs"/>
          <w:b/>
          <w:bCs/>
          <w:rtl/>
        </w:rPr>
        <w:t xml:space="preserve"> מיליארדים</w:t>
      </w:r>
      <w:r w:rsidR="003912C6" w:rsidRPr="00624014">
        <w:rPr>
          <w:rFonts w:ascii="Arial" w:hAnsi="Arial" w:cs="David" w:hint="cs"/>
          <w:b/>
          <w:bCs/>
          <w:rtl/>
        </w:rPr>
        <w:t xml:space="preserve">. </w:t>
      </w:r>
      <w:r w:rsidR="00624014" w:rsidRPr="00624014">
        <w:rPr>
          <w:rFonts w:ascii="Arial" w:hAnsi="Arial" w:cs="David" w:hint="cs"/>
          <w:b/>
          <w:bCs/>
          <w:rtl/>
        </w:rPr>
        <w:t xml:space="preserve">עיקר </w:t>
      </w:r>
      <w:r w:rsidR="002934B7">
        <w:rPr>
          <w:rFonts w:ascii="Arial" w:hAnsi="Arial" w:cs="David" w:hint="cs"/>
          <w:b/>
          <w:bCs/>
          <w:rtl/>
        </w:rPr>
        <w:t>ה</w:t>
      </w:r>
      <w:r w:rsidR="00624014" w:rsidRPr="00624014">
        <w:rPr>
          <w:rFonts w:ascii="Arial" w:hAnsi="Arial" w:cs="David" w:hint="cs"/>
          <w:b/>
          <w:bCs/>
          <w:rtl/>
        </w:rPr>
        <w:t>עלי</w:t>
      </w:r>
      <w:r w:rsidR="002934B7">
        <w:rPr>
          <w:rFonts w:ascii="Arial" w:hAnsi="Arial" w:cs="David" w:hint="cs"/>
          <w:b/>
          <w:bCs/>
          <w:rtl/>
        </w:rPr>
        <w:t xml:space="preserve">יה נבעה מזרם השקעות </w:t>
      </w:r>
      <w:r w:rsidR="00624014" w:rsidRPr="00624014">
        <w:rPr>
          <w:rFonts w:ascii="Arial" w:hAnsi="Arial" w:cs="David" w:hint="cs"/>
          <w:b/>
          <w:bCs/>
          <w:rtl/>
        </w:rPr>
        <w:t>ישירות של תושבי חוץ בישראל ומהשקעות</w:t>
      </w:r>
      <w:r w:rsidR="002934B7">
        <w:rPr>
          <w:rFonts w:ascii="Arial" w:hAnsi="Arial" w:cs="David" w:hint="cs"/>
          <w:b/>
          <w:bCs/>
          <w:rtl/>
        </w:rPr>
        <w:t xml:space="preserve"> בתיק לניירות ערך (בעיקר באג"ח). השקעות אלה קוזזו בחלקן</w:t>
      </w:r>
      <w:r w:rsidR="00624014" w:rsidRPr="00624014">
        <w:rPr>
          <w:rFonts w:ascii="Arial" w:hAnsi="Arial" w:cs="David" w:hint="cs"/>
          <w:b/>
          <w:bCs/>
          <w:rtl/>
        </w:rPr>
        <w:t xml:space="preserve"> ע"י מימושים בהשקעות אחרות וירידת מחירים של המניות </w:t>
      </w:r>
      <w:r w:rsidR="002934B7">
        <w:rPr>
          <w:rFonts w:ascii="Arial" w:hAnsi="Arial" w:cs="David" w:hint="cs"/>
          <w:b/>
          <w:bCs/>
          <w:rtl/>
        </w:rPr>
        <w:t>ה</w:t>
      </w:r>
      <w:r w:rsidR="00624014" w:rsidRPr="00624014">
        <w:rPr>
          <w:rFonts w:ascii="Arial" w:hAnsi="Arial" w:cs="David" w:hint="cs"/>
          <w:b/>
          <w:bCs/>
          <w:rtl/>
        </w:rPr>
        <w:t xml:space="preserve">ישראליות </w:t>
      </w:r>
      <w:r w:rsidR="002934B7">
        <w:rPr>
          <w:rFonts w:ascii="Arial" w:hAnsi="Arial" w:cs="David" w:hint="cs"/>
          <w:b/>
          <w:bCs/>
          <w:rtl/>
        </w:rPr>
        <w:t>ה</w:t>
      </w:r>
      <w:r w:rsidR="00624014" w:rsidRPr="00624014">
        <w:rPr>
          <w:rFonts w:ascii="Arial" w:hAnsi="Arial" w:cs="David" w:hint="cs"/>
          <w:b/>
          <w:bCs/>
          <w:rtl/>
        </w:rPr>
        <w:t xml:space="preserve">מוחזקות על ידי תושבי חוץ. </w:t>
      </w:r>
    </w:p>
    <w:p w:rsidR="00624014" w:rsidRPr="00624014" w:rsidRDefault="00624014" w:rsidP="00624014">
      <w:pPr>
        <w:pStyle w:val="af7"/>
        <w:spacing w:line="360" w:lineRule="auto"/>
        <w:ind w:left="643"/>
        <w:jc w:val="both"/>
        <w:rPr>
          <w:rFonts w:ascii="Arial" w:hAnsi="Arial" w:cs="David"/>
          <w:b/>
          <w:bCs/>
        </w:rPr>
      </w:pPr>
    </w:p>
    <w:p w:rsidR="00B46ECC" w:rsidRPr="00B46ECC" w:rsidRDefault="00B46ECC" w:rsidP="00EE694C">
      <w:pPr>
        <w:pStyle w:val="af7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B46ECC">
        <w:rPr>
          <w:rFonts w:ascii="Arial" w:hAnsi="Arial" w:cs="David" w:hint="cs"/>
          <w:b/>
          <w:bCs/>
          <w:rtl/>
        </w:rPr>
        <w:t>עודף הנכסים על ההתחייבויות של המשק מול חו"ל עלה במהלך הרביע השלישי ב-</w:t>
      </w:r>
      <w:r w:rsidR="00EE694C">
        <w:rPr>
          <w:rFonts w:ascii="Arial" w:hAnsi="Arial" w:cs="David" w:hint="cs"/>
          <w:b/>
          <w:bCs/>
          <w:rtl/>
        </w:rPr>
        <w:t>3.4</w:t>
      </w:r>
      <w:r w:rsidRPr="00B46ECC">
        <w:rPr>
          <w:rFonts w:ascii="Arial" w:hAnsi="Arial" w:cs="David" w:hint="cs"/>
          <w:b/>
          <w:bCs/>
          <w:rtl/>
        </w:rPr>
        <w:t xml:space="preserve"> מיליארדי דולרים (2.3%) ועמד בסוף </w:t>
      </w:r>
      <w:r w:rsidR="008B1CA7">
        <w:rPr>
          <w:rFonts w:ascii="Arial" w:hAnsi="Arial" w:cs="David" w:hint="cs"/>
          <w:b/>
          <w:bCs/>
          <w:rtl/>
        </w:rPr>
        <w:t>ספטמבר</w:t>
      </w:r>
      <w:r w:rsidRPr="00B46ECC">
        <w:rPr>
          <w:rFonts w:ascii="Arial" w:hAnsi="Arial" w:cs="David" w:hint="cs"/>
          <w:b/>
          <w:bCs/>
          <w:rtl/>
        </w:rPr>
        <w:t xml:space="preserve"> על </w:t>
      </w:r>
      <w:r w:rsidR="00EE694C">
        <w:rPr>
          <w:rFonts w:ascii="Arial" w:hAnsi="Arial" w:cs="David" w:hint="cs"/>
          <w:b/>
          <w:bCs/>
          <w:rtl/>
        </w:rPr>
        <w:t>כ-</w:t>
      </w:r>
      <w:r w:rsidR="008A43D1">
        <w:rPr>
          <w:rFonts w:ascii="Arial" w:hAnsi="Arial" w:cs="David" w:hint="cs"/>
          <w:b/>
          <w:bCs/>
          <w:rtl/>
        </w:rPr>
        <w:t xml:space="preserve">150 </w:t>
      </w:r>
      <w:r w:rsidRPr="00B46ECC">
        <w:rPr>
          <w:rFonts w:ascii="Arial" w:hAnsi="Arial" w:cs="David" w:hint="cs"/>
          <w:b/>
          <w:bCs/>
          <w:rtl/>
        </w:rPr>
        <w:t>מיליארדים. העלייה בעודף הנכסים התר</w:t>
      </w:r>
      <w:r w:rsidR="003A509B">
        <w:rPr>
          <w:rFonts w:ascii="Arial" w:hAnsi="Arial" w:cs="David" w:hint="cs"/>
          <w:b/>
          <w:bCs/>
          <w:rtl/>
        </w:rPr>
        <w:t xml:space="preserve">חשה כתוצאה מעלייה ביתרת הנכסים </w:t>
      </w:r>
      <w:r w:rsidRPr="00B46ECC">
        <w:rPr>
          <w:rFonts w:ascii="Arial" w:hAnsi="Arial" w:cs="David" w:hint="cs"/>
          <w:b/>
          <w:bCs/>
          <w:rtl/>
        </w:rPr>
        <w:t>בהיקף גדול יותר מהעלייה ביתרת ההתחייבויות.</w:t>
      </w:r>
    </w:p>
    <w:p w:rsidR="00B46ECC" w:rsidRPr="00B46ECC" w:rsidRDefault="00B46ECC" w:rsidP="00B46ECC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</w:p>
    <w:p w:rsidR="00203A0D" w:rsidRPr="00203A0D" w:rsidRDefault="00203A0D" w:rsidP="008D5031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203A0D">
        <w:rPr>
          <w:rFonts w:ascii="Arial" w:hAnsi="Arial" w:cs="David" w:hint="cs"/>
          <w:b/>
          <w:bCs/>
          <w:rtl/>
        </w:rPr>
        <w:t>עודף הנכסים על ההתחייבויות במכשירי חוב בלבד (החוב חיצוני השלילי נטו), ירד במהלך הרביע הש</w:t>
      </w:r>
      <w:r w:rsidR="008B1CA7">
        <w:rPr>
          <w:rFonts w:ascii="Arial" w:hAnsi="Arial" w:cs="David" w:hint="cs"/>
          <w:b/>
          <w:bCs/>
          <w:rtl/>
        </w:rPr>
        <w:t>לישי</w:t>
      </w:r>
      <w:r w:rsidRPr="00203A0D">
        <w:rPr>
          <w:rFonts w:ascii="Arial" w:hAnsi="Arial" w:cs="David" w:hint="cs"/>
          <w:b/>
          <w:bCs/>
          <w:rtl/>
        </w:rPr>
        <w:t xml:space="preserve"> ב- 1.</w:t>
      </w:r>
      <w:r w:rsidR="008D5031">
        <w:rPr>
          <w:rFonts w:ascii="Arial" w:hAnsi="Arial" w:cs="David" w:hint="cs"/>
          <w:b/>
          <w:bCs/>
          <w:rtl/>
        </w:rPr>
        <w:t xml:space="preserve">5 </w:t>
      </w:r>
      <w:r w:rsidRPr="00203A0D">
        <w:rPr>
          <w:rFonts w:ascii="Arial" w:hAnsi="Arial" w:cs="David" w:hint="cs"/>
          <w:b/>
          <w:bCs/>
          <w:rtl/>
        </w:rPr>
        <w:t>מיליארדי דולרים (0.9%) והגיע בסוף ספטמבר לרמה של 162 מיליארדי דולרים.</w:t>
      </w:r>
    </w:p>
    <w:p w:rsidR="00203A0D" w:rsidRDefault="00203A0D" w:rsidP="00203A0D">
      <w:pPr>
        <w:pStyle w:val="af7"/>
        <w:rPr>
          <w:rFonts w:ascii="Arial" w:hAnsi="Arial" w:cs="David"/>
          <w:b/>
          <w:bCs/>
          <w:rtl/>
        </w:rPr>
      </w:pPr>
    </w:p>
    <w:p w:rsidR="002A7E65" w:rsidRPr="00931C8B" w:rsidRDefault="00075CF6" w:rsidP="008B1CA7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931C8B">
        <w:rPr>
          <w:rFonts w:ascii="Arial" w:hAnsi="Arial" w:cs="David" w:hint="cs"/>
          <w:b/>
          <w:bCs/>
          <w:rtl/>
        </w:rPr>
        <w:t>היחס שבין החוב החיצוני ברוטו לתמ"ג</w:t>
      </w:r>
      <w:r w:rsidRPr="00931C8B">
        <w:rPr>
          <w:rFonts w:ascii="Arial" w:hAnsi="Arial" w:cs="David" w:hint="cs"/>
          <w:rtl/>
        </w:rPr>
        <w:t xml:space="preserve"> </w:t>
      </w:r>
      <w:r w:rsidRPr="00931C8B">
        <w:rPr>
          <w:rFonts w:ascii="Arial" w:hAnsi="Arial" w:cs="David" w:hint="cs"/>
          <w:b/>
          <w:bCs/>
          <w:rtl/>
        </w:rPr>
        <w:t>ירד במהלך הרביע ה</w:t>
      </w:r>
      <w:r w:rsidR="008B1CA7" w:rsidRPr="00931C8B">
        <w:rPr>
          <w:rFonts w:ascii="Arial" w:hAnsi="Arial" w:cs="David" w:hint="cs"/>
          <w:b/>
          <w:bCs/>
          <w:rtl/>
        </w:rPr>
        <w:t>שלישי</w:t>
      </w:r>
      <w:r w:rsidRPr="00931C8B">
        <w:rPr>
          <w:rFonts w:ascii="Arial" w:hAnsi="Arial" w:cs="David" w:hint="cs"/>
          <w:b/>
          <w:bCs/>
          <w:rtl/>
        </w:rPr>
        <w:t xml:space="preserve"> ב-0.4 נקודות האחוז ועמד בסוף </w:t>
      </w:r>
      <w:r w:rsidR="008B1CA7" w:rsidRPr="00931C8B">
        <w:rPr>
          <w:rFonts w:ascii="Arial" w:hAnsi="Arial" w:cs="David" w:hint="cs"/>
          <w:b/>
          <w:bCs/>
          <w:rtl/>
        </w:rPr>
        <w:t>ספטמבר</w:t>
      </w:r>
      <w:r w:rsidRPr="00931C8B">
        <w:rPr>
          <w:rFonts w:ascii="Arial" w:hAnsi="Arial" w:cs="David" w:hint="cs"/>
          <w:b/>
          <w:bCs/>
          <w:rtl/>
        </w:rPr>
        <w:t xml:space="preserve"> על 25.6%. </w:t>
      </w:r>
      <w:r w:rsidRPr="00931C8B">
        <w:rPr>
          <w:rFonts w:ascii="Arial" w:hAnsi="Arial" w:cs="David"/>
          <w:b/>
          <w:bCs/>
          <w:rtl/>
        </w:rPr>
        <w:t>הירידה ביחס החוב לתוצר שיקפה שיעור גידול נמוך יותר ביתרת החוב החיצוני בהשוואה לשיעור הגידול בתוצר</w:t>
      </w:r>
      <w:r w:rsidRPr="00931C8B">
        <w:rPr>
          <w:rFonts w:ascii="Arial" w:hAnsi="Arial" w:cs="David" w:hint="cs"/>
          <w:b/>
          <w:bCs/>
          <w:rtl/>
        </w:rPr>
        <w:t>.</w:t>
      </w:r>
    </w:p>
    <w:p w:rsidR="002D5576" w:rsidRPr="00A53CC2" w:rsidRDefault="002D5576" w:rsidP="00A53CC2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  <w:r w:rsidRPr="00A53CC2">
        <w:rPr>
          <w:rFonts w:ascii="Arial" w:hAnsi="Arial" w:cs="David"/>
          <w:b/>
          <w:bCs/>
          <w:highlight w:val="yellow"/>
          <w:rtl/>
        </w:rPr>
        <w:br w:type="page"/>
      </w:r>
    </w:p>
    <w:p w:rsidR="004D208E" w:rsidRDefault="00092131" w:rsidP="005921B0">
      <w:pPr>
        <w:pStyle w:val="af"/>
        <w:rPr>
          <w:u w:val="none"/>
          <w:rtl/>
        </w:rPr>
      </w:pPr>
      <w:r w:rsidRPr="00B117A4">
        <w:rPr>
          <w:rFonts w:hint="cs"/>
          <w:u w:val="none"/>
          <w:rtl/>
        </w:rPr>
        <w:lastRenderedPageBreak/>
        <w:t xml:space="preserve">לוח 1: </w:t>
      </w:r>
      <w:r w:rsidR="00054C99" w:rsidRPr="00B117A4">
        <w:rPr>
          <w:rFonts w:hint="cs"/>
          <w:u w:val="none"/>
          <w:rtl/>
        </w:rPr>
        <w:t xml:space="preserve">יתרות הנכסים וההתחייבויות </w:t>
      </w:r>
      <w:r w:rsidR="00DD2C6C" w:rsidRPr="00B117A4">
        <w:rPr>
          <w:rFonts w:hint="cs"/>
          <w:u w:val="none"/>
          <w:rtl/>
        </w:rPr>
        <w:t xml:space="preserve">של המשק מול חו"ל </w:t>
      </w:r>
      <w:r w:rsidR="00054C99" w:rsidRPr="00B117A4">
        <w:rPr>
          <w:rFonts w:hint="cs"/>
          <w:u w:val="none"/>
          <w:rtl/>
        </w:rPr>
        <w:t>והשינויים בהם</w:t>
      </w:r>
    </w:p>
    <w:p w:rsidR="008554AE" w:rsidRPr="008554AE" w:rsidRDefault="00D6541D" w:rsidP="005921B0">
      <w:pPr>
        <w:pStyle w:val="af"/>
        <w:rPr>
          <w:u w:val="none"/>
          <w:rtl/>
        </w:rPr>
      </w:pPr>
      <w:r w:rsidRPr="00D6541D">
        <w:rPr>
          <w:noProof/>
          <w:lang w:eastAsia="en-US"/>
        </w:rPr>
        <w:drawing>
          <wp:inline distT="0" distB="0" distL="0" distR="0" wp14:anchorId="48E84CBF" wp14:editId="408FB76B">
            <wp:extent cx="6210300" cy="2838734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1288" cy="284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17" w:rsidRPr="00A53CC2" w:rsidRDefault="00AE1217" w:rsidP="005921B0">
      <w:pPr>
        <w:pStyle w:val="af"/>
        <w:rPr>
          <w:highlight w:val="yellow"/>
          <w:u w:val="none"/>
          <w:rtl/>
        </w:rPr>
      </w:pPr>
    </w:p>
    <w:p w:rsidR="00E95D04" w:rsidRPr="00CD5FF7" w:rsidRDefault="000447A6" w:rsidP="00E95D04">
      <w:pPr>
        <w:pStyle w:val="1"/>
        <w:rPr>
          <w:rStyle w:val="12"/>
          <w:b/>
          <w:bCs/>
          <w:u w:val="none"/>
          <w:rtl/>
        </w:rPr>
      </w:pPr>
      <w:r w:rsidRPr="00CD5FF7">
        <w:rPr>
          <w:rStyle w:val="12"/>
          <w:rFonts w:hint="cs"/>
          <w:b/>
          <w:bCs/>
          <w:u w:val="none"/>
          <w:rtl/>
        </w:rPr>
        <w:t>יתרת</w:t>
      </w:r>
      <w:r w:rsidR="00E95D04" w:rsidRPr="00CD5FF7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:rsidR="00E6040F" w:rsidRPr="00E6040F" w:rsidRDefault="00E6040F" w:rsidP="00EE694C">
      <w:pPr>
        <w:spacing w:line="360" w:lineRule="auto"/>
        <w:ind w:right="426"/>
        <w:jc w:val="both"/>
        <w:rPr>
          <w:rFonts w:ascii="Arial" w:hAnsi="Arial" w:cs="David"/>
        </w:rPr>
      </w:pPr>
      <w:r w:rsidRPr="00E6040F">
        <w:rPr>
          <w:rFonts w:ascii="Arial" w:hAnsi="Arial" w:cs="David" w:hint="cs"/>
          <w:rtl/>
        </w:rPr>
        <w:t>יתרת הנכסים של תושבי ישראל בחו"ל עלתה ברביע ה</w:t>
      </w:r>
      <w:r w:rsidR="00C83C49">
        <w:rPr>
          <w:rFonts w:ascii="Arial" w:hAnsi="Arial" w:cs="David" w:hint="cs"/>
          <w:rtl/>
        </w:rPr>
        <w:t>שלישי</w:t>
      </w:r>
      <w:r w:rsidRPr="00E6040F">
        <w:rPr>
          <w:rFonts w:ascii="Arial" w:hAnsi="Arial" w:cs="David" w:hint="cs"/>
          <w:rtl/>
        </w:rPr>
        <w:t xml:space="preserve"> של שנת 2019 בכ-</w:t>
      </w:r>
      <w:r w:rsidR="00C83C49">
        <w:rPr>
          <w:rFonts w:ascii="Arial" w:hAnsi="Arial" w:cs="David" w:hint="cs"/>
          <w:rtl/>
        </w:rPr>
        <w:t>3</w:t>
      </w:r>
      <w:r w:rsidRPr="00E6040F">
        <w:rPr>
          <w:rFonts w:ascii="Arial" w:hAnsi="Arial" w:cs="David" w:hint="cs"/>
          <w:rtl/>
        </w:rPr>
        <w:t>.</w:t>
      </w:r>
      <w:r w:rsidR="00C83C49">
        <w:rPr>
          <w:rFonts w:ascii="Arial" w:hAnsi="Arial" w:cs="David" w:hint="cs"/>
          <w:rtl/>
        </w:rPr>
        <w:t>7</w:t>
      </w:r>
      <w:r w:rsidRPr="00E6040F">
        <w:rPr>
          <w:rFonts w:ascii="Arial" w:hAnsi="Arial" w:cs="David" w:hint="cs"/>
          <w:rtl/>
        </w:rPr>
        <w:t xml:space="preserve"> מיליארדי דולרים (</w:t>
      </w:r>
      <w:r w:rsidR="00C83C49">
        <w:rPr>
          <w:rFonts w:ascii="Arial" w:hAnsi="Arial" w:cs="David" w:hint="cs"/>
          <w:rtl/>
        </w:rPr>
        <w:t>0</w:t>
      </w:r>
      <w:r w:rsidRPr="00E6040F">
        <w:rPr>
          <w:rFonts w:ascii="Arial" w:hAnsi="Arial" w:cs="David" w:hint="cs"/>
          <w:rtl/>
        </w:rPr>
        <w:t xml:space="preserve">.8%) ועמדה בסוף </w:t>
      </w:r>
      <w:r w:rsidR="008B1CA7">
        <w:rPr>
          <w:rFonts w:ascii="Arial" w:hAnsi="Arial" w:cs="David" w:hint="cs"/>
          <w:rtl/>
        </w:rPr>
        <w:t>ספטמבר</w:t>
      </w:r>
      <w:r w:rsidRPr="00E6040F">
        <w:rPr>
          <w:rFonts w:ascii="Arial" w:hAnsi="Arial" w:cs="David" w:hint="cs"/>
          <w:rtl/>
        </w:rPr>
        <w:t xml:space="preserve"> על כ-</w:t>
      </w:r>
      <w:r w:rsidR="00C83C49">
        <w:rPr>
          <w:rFonts w:ascii="Arial" w:hAnsi="Arial" w:cs="David" w:hint="cs"/>
          <w:rtl/>
        </w:rPr>
        <w:t>470</w:t>
      </w:r>
      <w:r w:rsidRPr="00E6040F">
        <w:rPr>
          <w:rFonts w:ascii="Arial" w:hAnsi="Arial" w:cs="David" w:hint="cs"/>
          <w:rtl/>
        </w:rPr>
        <w:t xml:space="preserve"> מיליארדי דולרים. העליי</w:t>
      </w:r>
      <w:r w:rsidRPr="00E6040F">
        <w:rPr>
          <w:rFonts w:ascii="Arial" w:hAnsi="Arial" w:cs="David" w:hint="eastAsia"/>
          <w:rtl/>
        </w:rPr>
        <w:t>ה</w:t>
      </w:r>
      <w:r w:rsidRPr="00E6040F">
        <w:rPr>
          <w:rFonts w:ascii="Arial" w:hAnsi="Arial" w:cs="David" w:hint="cs"/>
          <w:rtl/>
        </w:rPr>
        <w:t xml:space="preserve"> ביתרה נבעה </w:t>
      </w:r>
      <w:r w:rsidR="00D6541D">
        <w:rPr>
          <w:rFonts w:ascii="Arial" w:hAnsi="Arial" w:cs="David" w:hint="cs"/>
          <w:rtl/>
        </w:rPr>
        <w:t xml:space="preserve">מזרם </w:t>
      </w:r>
      <w:r w:rsidR="00B509F1" w:rsidRPr="00E6040F">
        <w:rPr>
          <w:rFonts w:ascii="Arial" w:hAnsi="Arial" w:cs="David" w:hint="cs"/>
          <w:rtl/>
        </w:rPr>
        <w:t>השקעות ישירות</w:t>
      </w:r>
      <w:r w:rsidR="00EE694C">
        <w:rPr>
          <w:rFonts w:ascii="Arial" w:hAnsi="Arial" w:cs="David" w:hint="cs"/>
          <w:rtl/>
        </w:rPr>
        <w:t xml:space="preserve"> של תושבי ישראל בחו"ל</w:t>
      </w:r>
      <w:r w:rsidR="00B509F1" w:rsidRPr="00E6040F">
        <w:rPr>
          <w:rFonts w:ascii="Arial" w:hAnsi="Arial" w:cs="David" w:hint="cs"/>
          <w:rtl/>
        </w:rPr>
        <w:t xml:space="preserve"> והשקעות </w:t>
      </w:r>
      <w:r w:rsidR="00B509F1">
        <w:rPr>
          <w:rFonts w:ascii="Arial" w:hAnsi="Arial" w:cs="David" w:hint="cs"/>
          <w:rtl/>
        </w:rPr>
        <w:t>בתיק ני"ע בחו"ל ו</w:t>
      </w:r>
      <w:r w:rsidRPr="00E6040F">
        <w:rPr>
          <w:rFonts w:ascii="Arial" w:hAnsi="Arial" w:cs="David" w:hint="cs"/>
          <w:rtl/>
        </w:rPr>
        <w:t>מעלייה במחירי ני"ע</w:t>
      </w:r>
      <w:r w:rsidRPr="00E6040F">
        <w:rPr>
          <w:rFonts w:ascii="Arial" w:hAnsi="Arial" w:cs="David"/>
          <w:rtl/>
        </w:rPr>
        <w:t xml:space="preserve"> </w:t>
      </w:r>
      <w:r w:rsidRPr="00E6040F">
        <w:rPr>
          <w:rFonts w:ascii="Arial" w:hAnsi="Arial" w:cs="David" w:hint="eastAsia"/>
          <w:rtl/>
        </w:rPr>
        <w:t>שמחזיקים</w:t>
      </w:r>
      <w:r w:rsidRPr="00E6040F">
        <w:rPr>
          <w:rFonts w:ascii="Arial" w:hAnsi="Arial" w:cs="David"/>
          <w:rtl/>
        </w:rPr>
        <w:t xml:space="preserve"> </w:t>
      </w:r>
      <w:r w:rsidRPr="00E6040F">
        <w:rPr>
          <w:rFonts w:ascii="Arial" w:hAnsi="Arial" w:cs="David" w:hint="eastAsia"/>
          <w:rtl/>
        </w:rPr>
        <w:t>תושבי</w:t>
      </w:r>
      <w:r w:rsidRPr="00E6040F">
        <w:rPr>
          <w:rFonts w:ascii="Arial" w:hAnsi="Arial" w:cs="David"/>
          <w:rtl/>
        </w:rPr>
        <w:t xml:space="preserve"> </w:t>
      </w:r>
      <w:r w:rsidRPr="00E6040F">
        <w:rPr>
          <w:rFonts w:ascii="Arial" w:hAnsi="Arial" w:cs="David" w:hint="eastAsia"/>
          <w:rtl/>
        </w:rPr>
        <w:t>ישראל</w:t>
      </w:r>
      <w:r w:rsidR="00B509F1">
        <w:rPr>
          <w:rFonts w:ascii="Arial" w:hAnsi="Arial" w:cs="David" w:hint="cs"/>
          <w:rtl/>
        </w:rPr>
        <w:t xml:space="preserve">. </w:t>
      </w:r>
      <w:r w:rsidR="00D6541D">
        <w:rPr>
          <w:rFonts w:ascii="Arial" w:hAnsi="Arial" w:cs="David" w:hint="cs"/>
          <w:rtl/>
        </w:rPr>
        <w:t xml:space="preserve">עלייה זו קוזזה בחלקה כתוצאה </w:t>
      </w:r>
      <w:r w:rsidR="00D6541D" w:rsidRPr="00960F7B">
        <w:rPr>
          <w:rFonts w:ascii="Arial" w:hAnsi="Arial" w:cs="David" w:hint="cs"/>
          <w:rtl/>
        </w:rPr>
        <w:t>מה</w:t>
      </w:r>
      <w:r w:rsidR="009E200F" w:rsidRPr="00960F7B">
        <w:rPr>
          <w:rFonts w:ascii="Arial" w:hAnsi="Arial" w:cs="David" w:hint="cs"/>
          <w:rtl/>
        </w:rPr>
        <w:t>שפעת שער החליפין שהקטינה</w:t>
      </w:r>
      <w:r w:rsidR="009E200F">
        <w:rPr>
          <w:rFonts w:ascii="Arial" w:hAnsi="Arial" w:cs="David" w:hint="cs"/>
          <w:rtl/>
        </w:rPr>
        <w:t xml:space="preserve"> </w:t>
      </w:r>
      <w:r w:rsidR="00D6541D">
        <w:rPr>
          <w:rFonts w:ascii="Arial" w:hAnsi="Arial" w:cs="David" w:hint="cs"/>
          <w:rtl/>
        </w:rPr>
        <w:t>את יתרת הנכסים, בעיקר נכסי הרזרבה</w:t>
      </w:r>
      <w:r w:rsidR="00B509F1">
        <w:rPr>
          <w:rFonts w:ascii="Arial" w:hAnsi="Arial" w:cs="David" w:hint="cs"/>
          <w:rtl/>
        </w:rPr>
        <w:t>.</w:t>
      </w:r>
    </w:p>
    <w:p w:rsidR="00CD5FF7" w:rsidRPr="00E6040F" w:rsidRDefault="00CD5FF7" w:rsidP="0091695B">
      <w:pPr>
        <w:spacing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:rsidR="00D064D6" w:rsidRPr="0033717C" w:rsidRDefault="00B90A51" w:rsidP="00960F7B">
      <w:pPr>
        <w:pStyle w:val="af7"/>
        <w:numPr>
          <w:ilvl w:val="0"/>
          <w:numId w:val="15"/>
        </w:numPr>
        <w:spacing w:line="360" w:lineRule="auto"/>
        <w:ind w:right="426"/>
        <w:jc w:val="both"/>
        <w:rPr>
          <w:rFonts w:ascii="Arial" w:hAnsi="Arial" w:cs="David"/>
          <w:rtl/>
        </w:rPr>
      </w:pPr>
      <w:r w:rsidRPr="0033717C">
        <w:rPr>
          <w:rStyle w:val="20"/>
          <w:rFonts w:hint="cs"/>
          <w:b/>
          <w:bCs/>
          <w:rtl/>
        </w:rPr>
        <w:t>שווי ההשקעות הישירות</w:t>
      </w:r>
      <w:r w:rsidRPr="0033717C">
        <w:rPr>
          <w:rFonts w:ascii="Arial" w:hAnsi="Arial" w:cs="David" w:hint="cs"/>
          <w:b/>
          <w:bCs/>
          <w:rtl/>
        </w:rPr>
        <w:t xml:space="preserve"> </w:t>
      </w:r>
      <w:r w:rsidR="00624395" w:rsidRPr="0033717C">
        <w:rPr>
          <w:rFonts w:ascii="Arial" w:hAnsi="Arial" w:cs="David" w:hint="cs"/>
          <w:rtl/>
        </w:rPr>
        <w:t xml:space="preserve">עלה במהלך הרביע </w:t>
      </w:r>
      <w:r w:rsidR="00B34352" w:rsidRPr="0033717C">
        <w:rPr>
          <w:rFonts w:ascii="Arial" w:hAnsi="Arial" w:cs="David" w:hint="cs"/>
          <w:rtl/>
        </w:rPr>
        <w:t>ה</w:t>
      </w:r>
      <w:r w:rsidR="00CD5FF7" w:rsidRPr="0033717C">
        <w:rPr>
          <w:rFonts w:ascii="Arial" w:hAnsi="Arial" w:cs="David" w:hint="cs"/>
          <w:rtl/>
        </w:rPr>
        <w:t>ש</w:t>
      </w:r>
      <w:r w:rsidR="008B1CA7">
        <w:rPr>
          <w:rFonts w:ascii="Arial" w:hAnsi="Arial" w:cs="David" w:hint="cs"/>
          <w:rtl/>
        </w:rPr>
        <w:t>לישי</w:t>
      </w:r>
      <w:r w:rsidR="00624395" w:rsidRPr="0033717C">
        <w:rPr>
          <w:rFonts w:ascii="Arial" w:hAnsi="Arial" w:cs="David" w:hint="cs"/>
          <w:rtl/>
        </w:rPr>
        <w:t xml:space="preserve"> בכ-</w:t>
      </w:r>
      <w:r w:rsidR="004B3767" w:rsidRPr="0033717C">
        <w:rPr>
          <w:rFonts w:ascii="Arial" w:hAnsi="Arial" w:cs="David" w:hint="cs"/>
          <w:rtl/>
        </w:rPr>
        <w:t>1.</w:t>
      </w:r>
      <w:r w:rsidR="00DD0D1F">
        <w:rPr>
          <w:rFonts w:ascii="Arial" w:hAnsi="Arial" w:cs="David" w:hint="cs"/>
          <w:rtl/>
        </w:rPr>
        <w:t>8</w:t>
      </w:r>
      <w:r w:rsidR="00624395" w:rsidRPr="0033717C">
        <w:rPr>
          <w:rFonts w:ascii="Arial" w:hAnsi="Arial" w:cs="David" w:hint="cs"/>
          <w:rtl/>
        </w:rPr>
        <w:t xml:space="preserve"> מיליארדי</w:t>
      </w:r>
      <w:r w:rsidR="00240AFA" w:rsidRPr="0033717C">
        <w:rPr>
          <w:rFonts w:ascii="Arial" w:hAnsi="Arial" w:cs="David" w:hint="cs"/>
          <w:rtl/>
        </w:rPr>
        <w:t xml:space="preserve"> דולרים</w:t>
      </w:r>
      <w:r w:rsidR="00624395" w:rsidRPr="0033717C">
        <w:rPr>
          <w:rFonts w:ascii="Arial" w:hAnsi="Arial" w:cs="David" w:hint="cs"/>
          <w:rtl/>
        </w:rPr>
        <w:t xml:space="preserve"> (</w:t>
      </w:r>
      <w:r w:rsidR="004B3767" w:rsidRPr="0033717C">
        <w:rPr>
          <w:rFonts w:ascii="Arial" w:hAnsi="Arial" w:cs="David" w:hint="cs"/>
          <w:rtl/>
        </w:rPr>
        <w:t>1.</w:t>
      </w:r>
      <w:r w:rsidR="00DD0D1F">
        <w:rPr>
          <w:rFonts w:ascii="Arial" w:hAnsi="Arial" w:cs="David" w:hint="cs"/>
          <w:rtl/>
        </w:rPr>
        <w:t>7</w:t>
      </w:r>
      <w:r w:rsidR="00624395" w:rsidRPr="0033717C">
        <w:rPr>
          <w:rFonts w:ascii="Arial" w:hAnsi="Arial" w:cs="David" w:hint="cs"/>
          <w:rtl/>
        </w:rPr>
        <w:t>%) בעיקר כתוצאה מ</w:t>
      </w:r>
      <w:r w:rsidR="0018795A" w:rsidRPr="0033717C">
        <w:rPr>
          <w:rFonts w:ascii="Arial" w:hAnsi="Arial" w:cs="David" w:hint="cs"/>
          <w:rtl/>
        </w:rPr>
        <w:t xml:space="preserve">זרם </w:t>
      </w:r>
      <w:r w:rsidR="00624395" w:rsidRPr="0033717C">
        <w:rPr>
          <w:rFonts w:ascii="Arial" w:hAnsi="Arial" w:cs="David" w:hint="cs"/>
          <w:rtl/>
        </w:rPr>
        <w:t>השקעות ישירות נטו בהון מניות</w:t>
      </w:r>
      <w:r w:rsidR="00240AFA" w:rsidRPr="0033717C">
        <w:rPr>
          <w:rFonts w:ascii="Arial" w:hAnsi="Arial" w:cs="David" w:hint="cs"/>
          <w:rtl/>
        </w:rPr>
        <w:t xml:space="preserve"> </w:t>
      </w:r>
      <w:r w:rsidR="00624395" w:rsidRPr="0033717C">
        <w:rPr>
          <w:rFonts w:ascii="Arial" w:hAnsi="Arial" w:cs="David" w:hint="cs"/>
          <w:rtl/>
        </w:rPr>
        <w:t xml:space="preserve">בהיקף של </w:t>
      </w:r>
      <w:r w:rsidR="003D3D47" w:rsidRPr="0033717C">
        <w:rPr>
          <w:rFonts w:ascii="Arial" w:hAnsi="Arial" w:cs="David" w:hint="cs"/>
          <w:rtl/>
        </w:rPr>
        <w:t>כ-</w:t>
      </w:r>
      <w:r w:rsidR="00960F7B">
        <w:rPr>
          <w:rFonts w:ascii="Arial" w:hAnsi="Arial" w:cs="David" w:hint="cs"/>
          <w:rtl/>
        </w:rPr>
        <w:t>1.4</w:t>
      </w:r>
      <w:r w:rsidR="003D3D47" w:rsidRPr="0033717C">
        <w:rPr>
          <w:rFonts w:ascii="Arial" w:hAnsi="Arial" w:cs="David" w:hint="cs"/>
          <w:rtl/>
        </w:rPr>
        <w:t xml:space="preserve"> </w:t>
      </w:r>
      <w:r w:rsidR="00240AFA" w:rsidRPr="0033717C">
        <w:rPr>
          <w:rFonts w:ascii="Arial" w:hAnsi="Arial" w:cs="David" w:hint="cs"/>
          <w:rtl/>
        </w:rPr>
        <w:t>מיליארד</w:t>
      </w:r>
      <w:r w:rsidR="00D06DD7" w:rsidRPr="0033717C">
        <w:rPr>
          <w:rFonts w:ascii="Arial" w:hAnsi="Arial" w:cs="David" w:hint="cs"/>
          <w:rtl/>
        </w:rPr>
        <w:t>י</w:t>
      </w:r>
      <w:r w:rsidR="00240AFA" w:rsidRPr="0033717C">
        <w:rPr>
          <w:rFonts w:ascii="Arial" w:hAnsi="Arial" w:cs="David" w:hint="cs"/>
          <w:rtl/>
        </w:rPr>
        <w:t xml:space="preserve"> </w:t>
      </w:r>
      <w:r w:rsidR="00540A3F" w:rsidRPr="0033717C">
        <w:rPr>
          <w:rFonts w:ascii="Arial" w:hAnsi="Arial" w:cs="David" w:hint="cs"/>
          <w:rtl/>
        </w:rPr>
        <w:t xml:space="preserve">דולרים </w:t>
      </w:r>
      <w:r w:rsidR="00B34352" w:rsidRPr="0033717C">
        <w:rPr>
          <w:rFonts w:ascii="Arial" w:hAnsi="Arial" w:cs="David" w:hint="cs"/>
          <w:rtl/>
        </w:rPr>
        <w:t>(</w:t>
      </w:r>
      <w:r w:rsidR="00960F7B">
        <w:rPr>
          <w:rFonts w:ascii="Arial" w:hAnsi="Arial" w:cs="David" w:hint="cs"/>
          <w:rtl/>
        </w:rPr>
        <w:t>1.5</w:t>
      </w:r>
      <w:r w:rsidR="00B34352" w:rsidRPr="0033717C">
        <w:rPr>
          <w:rFonts w:ascii="Arial" w:hAnsi="Arial" w:cs="David" w:hint="cs"/>
          <w:rtl/>
        </w:rPr>
        <w:t>%</w:t>
      </w:r>
      <w:r w:rsidR="00960F7B">
        <w:rPr>
          <w:rFonts w:ascii="Arial" w:hAnsi="Arial" w:cs="David" w:hint="cs"/>
          <w:rtl/>
        </w:rPr>
        <w:t xml:space="preserve"> מיתרת ההשקעות בהון מניות</w:t>
      </w:r>
      <w:r w:rsidR="00B34352" w:rsidRPr="0033717C">
        <w:rPr>
          <w:rFonts w:ascii="Arial" w:hAnsi="Arial" w:cs="David" w:hint="cs"/>
          <w:rtl/>
        </w:rPr>
        <w:t>)</w:t>
      </w:r>
      <w:r w:rsidR="00624395" w:rsidRPr="0033717C">
        <w:rPr>
          <w:rFonts w:ascii="Arial" w:hAnsi="Arial" w:cs="David" w:hint="cs"/>
          <w:rtl/>
        </w:rPr>
        <w:t>.</w:t>
      </w:r>
    </w:p>
    <w:p w:rsidR="002216F2" w:rsidRPr="007108B0" w:rsidRDefault="002216F2" w:rsidP="007A7FAC">
      <w:pPr>
        <w:pStyle w:val="2"/>
        <w:numPr>
          <w:ilvl w:val="0"/>
          <w:numId w:val="15"/>
        </w:numPr>
        <w:rPr>
          <w:rtl/>
        </w:rPr>
      </w:pPr>
      <w:r w:rsidRPr="007108B0">
        <w:rPr>
          <w:rFonts w:hint="cs"/>
          <w:b/>
          <w:bCs/>
          <w:rtl/>
        </w:rPr>
        <w:t xml:space="preserve">שווי תיק </w:t>
      </w:r>
      <w:r w:rsidR="003624A8" w:rsidRPr="007108B0">
        <w:rPr>
          <w:rFonts w:hint="cs"/>
          <w:b/>
          <w:bCs/>
          <w:rtl/>
        </w:rPr>
        <w:t>ניירות הערך</w:t>
      </w:r>
      <w:r w:rsidRPr="007108B0">
        <w:rPr>
          <w:rFonts w:hint="cs"/>
          <w:rtl/>
        </w:rPr>
        <w:t xml:space="preserve"> </w:t>
      </w:r>
      <w:r w:rsidR="004E49AE" w:rsidRPr="007108B0">
        <w:rPr>
          <w:rFonts w:hint="cs"/>
          <w:rtl/>
        </w:rPr>
        <w:t>עלה</w:t>
      </w:r>
      <w:r w:rsidRPr="007108B0">
        <w:rPr>
          <w:rFonts w:hint="cs"/>
          <w:rtl/>
        </w:rPr>
        <w:t xml:space="preserve"> במהלך הרביע ה</w:t>
      </w:r>
      <w:r w:rsidR="008B1CA7">
        <w:rPr>
          <w:rFonts w:hint="cs"/>
          <w:rtl/>
        </w:rPr>
        <w:t>שלישי</w:t>
      </w:r>
      <w:r w:rsidRPr="007108B0">
        <w:rPr>
          <w:rFonts w:hint="cs"/>
          <w:rtl/>
        </w:rPr>
        <w:t xml:space="preserve"> בכ-</w:t>
      </w:r>
      <w:r w:rsidR="0033717C" w:rsidRPr="007108B0">
        <w:rPr>
          <w:rFonts w:hint="cs"/>
          <w:rtl/>
        </w:rPr>
        <w:t>3.</w:t>
      </w:r>
      <w:r w:rsidR="0066592D">
        <w:rPr>
          <w:rFonts w:hint="cs"/>
          <w:rtl/>
        </w:rPr>
        <w:t>7</w:t>
      </w:r>
      <w:r w:rsidRPr="007108B0">
        <w:rPr>
          <w:rFonts w:hint="cs"/>
          <w:rtl/>
        </w:rPr>
        <w:t xml:space="preserve"> מיליארדי דולרים (</w:t>
      </w:r>
      <w:r w:rsidR="0033717C" w:rsidRPr="007108B0">
        <w:rPr>
          <w:rFonts w:hint="cs"/>
          <w:rtl/>
        </w:rPr>
        <w:t>2.</w:t>
      </w:r>
      <w:r w:rsidR="00416153">
        <w:rPr>
          <w:rFonts w:hint="cs"/>
          <w:rtl/>
        </w:rPr>
        <w:t>3</w:t>
      </w:r>
      <w:r w:rsidRPr="007108B0">
        <w:rPr>
          <w:rFonts w:hint="cs"/>
          <w:rtl/>
        </w:rPr>
        <w:t xml:space="preserve">%) בעיקר כתוצאה </w:t>
      </w:r>
      <w:r w:rsidR="0066592D" w:rsidRPr="0033717C">
        <w:rPr>
          <w:rFonts w:ascii="Arial" w:hAnsi="Arial" w:hint="cs"/>
          <w:rtl/>
        </w:rPr>
        <w:t>מזרם השקעות</w:t>
      </w:r>
      <w:r w:rsidR="00416153">
        <w:rPr>
          <w:rFonts w:ascii="Arial" w:hAnsi="Arial" w:hint="cs"/>
          <w:rtl/>
        </w:rPr>
        <w:t xml:space="preserve"> פיננסיות</w:t>
      </w:r>
      <w:r w:rsidR="0066592D" w:rsidRPr="007108B0">
        <w:rPr>
          <w:rFonts w:hint="cs"/>
          <w:rtl/>
        </w:rPr>
        <w:t xml:space="preserve"> </w:t>
      </w:r>
      <w:r w:rsidR="0066592D">
        <w:rPr>
          <w:rFonts w:hint="cs"/>
          <w:rtl/>
        </w:rPr>
        <w:t xml:space="preserve">במניות </w:t>
      </w:r>
      <w:r w:rsidR="0066592D" w:rsidRPr="007108B0">
        <w:rPr>
          <w:rFonts w:hint="cs"/>
          <w:rtl/>
        </w:rPr>
        <w:t xml:space="preserve">בהיקף של כ- </w:t>
      </w:r>
      <w:r w:rsidR="0066592D">
        <w:rPr>
          <w:rFonts w:hint="cs"/>
          <w:rtl/>
        </w:rPr>
        <w:t>2</w:t>
      </w:r>
      <w:r w:rsidR="0066592D" w:rsidRPr="007108B0">
        <w:rPr>
          <w:rFonts w:hint="cs"/>
          <w:rtl/>
        </w:rPr>
        <w:t>.</w:t>
      </w:r>
      <w:r w:rsidR="0066592D">
        <w:rPr>
          <w:rFonts w:hint="cs"/>
          <w:rtl/>
        </w:rPr>
        <w:t>3</w:t>
      </w:r>
      <w:r w:rsidR="0066592D" w:rsidRPr="007108B0">
        <w:rPr>
          <w:rFonts w:hint="cs"/>
          <w:rtl/>
        </w:rPr>
        <w:t xml:space="preserve"> מיליארדים (</w:t>
      </w:r>
      <w:r w:rsidR="00416153">
        <w:rPr>
          <w:rFonts w:hint="cs"/>
          <w:rtl/>
        </w:rPr>
        <w:t>2.6</w:t>
      </w:r>
      <w:r w:rsidR="0066592D" w:rsidRPr="007108B0">
        <w:rPr>
          <w:rFonts w:hint="cs"/>
          <w:rtl/>
        </w:rPr>
        <w:t>%</w:t>
      </w:r>
      <w:r w:rsidR="00416153">
        <w:rPr>
          <w:rFonts w:hint="cs"/>
          <w:rtl/>
        </w:rPr>
        <w:t xml:space="preserve"> מיתרת ההשקעות הפיננסיות במניות</w:t>
      </w:r>
      <w:r w:rsidR="0066592D" w:rsidRPr="007108B0">
        <w:rPr>
          <w:rFonts w:hint="cs"/>
          <w:rtl/>
        </w:rPr>
        <w:t>)</w:t>
      </w:r>
      <w:r w:rsidR="0066592D">
        <w:rPr>
          <w:rFonts w:hint="cs"/>
          <w:rtl/>
        </w:rPr>
        <w:t xml:space="preserve"> ו</w:t>
      </w:r>
      <w:r w:rsidRPr="007108B0">
        <w:rPr>
          <w:rFonts w:hint="cs"/>
          <w:rtl/>
        </w:rPr>
        <w:t>מ</w:t>
      </w:r>
      <w:r w:rsidR="004E49AE" w:rsidRPr="007108B0">
        <w:rPr>
          <w:rFonts w:hint="cs"/>
          <w:rtl/>
        </w:rPr>
        <w:t>עלי</w:t>
      </w:r>
      <w:r w:rsidR="003D3D47" w:rsidRPr="007108B0">
        <w:rPr>
          <w:rFonts w:hint="cs"/>
          <w:rtl/>
        </w:rPr>
        <w:t>ו</w:t>
      </w:r>
      <w:r w:rsidR="004E49AE" w:rsidRPr="007108B0">
        <w:rPr>
          <w:rFonts w:hint="cs"/>
          <w:rtl/>
        </w:rPr>
        <w:t>ת</w:t>
      </w:r>
      <w:r w:rsidR="00020B99" w:rsidRPr="007108B0">
        <w:rPr>
          <w:rFonts w:hint="cs"/>
          <w:rtl/>
        </w:rPr>
        <w:t xml:space="preserve"> </w:t>
      </w:r>
      <w:r w:rsidRPr="007108B0">
        <w:rPr>
          <w:rFonts w:hint="cs"/>
          <w:rtl/>
        </w:rPr>
        <w:t>במחירי המניות</w:t>
      </w:r>
      <w:r w:rsidR="00020B99" w:rsidRPr="007108B0">
        <w:rPr>
          <w:rFonts w:hint="cs"/>
          <w:rtl/>
        </w:rPr>
        <w:t xml:space="preserve"> </w:t>
      </w:r>
      <w:r w:rsidR="008967C8" w:rsidRPr="007108B0">
        <w:rPr>
          <w:rFonts w:hint="cs"/>
          <w:rtl/>
        </w:rPr>
        <w:t>ו</w:t>
      </w:r>
      <w:r w:rsidR="008967C8">
        <w:rPr>
          <w:rFonts w:hint="cs"/>
          <w:rtl/>
        </w:rPr>
        <w:t>א</w:t>
      </w:r>
      <w:r w:rsidR="008967C8" w:rsidRPr="007108B0">
        <w:rPr>
          <w:rFonts w:hint="cs"/>
          <w:rtl/>
        </w:rPr>
        <w:t>ג"ח</w:t>
      </w:r>
      <w:r w:rsidRPr="007108B0">
        <w:rPr>
          <w:rFonts w:hint="cs"/>
          <w:rtl/>
        </w:rPr>
        <w:t xml:space="preserve"> הזרות שמחזיקים תושבי ישראל</w:t>
      </w:r>
      <w:r w:rsidR="00783BBE">
        <w:rPr>
          <w:rFonts w:hint="cs"/>
          <w:rtl/>
        </w:rPr>
        <w:t>,</w:t>
      </w:r>
      <w:r w:rsidRPr="007108B0">
        <w:rPr>
          <w:rFonts w:hint="cs"/>
          <w:rtl/>
        </w:rPr>
        <w:t xml:space="preserve"> בהיקף של כ-</w:t>
      </w:r>
      <w:r w:rsidR="00FD19B3" w:rsidRPr="007108B0">
        <w:rPr>
          <w:rFonts w:hint="cs"/>
          <w:rtl/>
        </w:rPr>
        <w:t xml:space="preserve"> </w:t>
      </w:r>
      <w:r w:rsidR="0066592D">
        <w:rPr>
          <w:rFonts w:hint="cs"/>
          <w:rtl/>
        </w:rPr>
        <w:t>0</w:t>
      </w:r>
      <w:r w:rsidR="0033717C" w:rsidRPr="007108B0">
        <w:rPr>
          <w:rFonts w:hint="cs"/>
          <w:rtl/>
        </w:rPr>
        <w:t>.5</w:t>
      </w:r>
      <w:r w:rsidR="00FD19B3" w:rsidRPr="007108B0">
        <w:rPr>
          <w:rFonts w:hint="cs"/>
          <w:rtl/>
        </w:rPr>
        <w:t xml:space="preserve"> </w:t>
      </w:r>
      <w:r w:rsidR="00416153">
        <w:rPr>
          <w:rFonts w:hint="cs"/>
          <w:rtl/>
        </w:rPr>
        <w:t>מיליארד</w:t>
      </w:r>
      <w:r w:rsidRPr="007108B0">
        <w:rPr>
          <w:rFonts w:hint="cs"/>
          <w:rtl/>
        </w:rPr>
        <w:t xml:space="preserve"> (</w:t>
      </w:r>
      <w:r w:rsidR="0066592D">
        <w:rPr>
          <w:rFonts w:hint="cs"/>
          <w:rtl/>
        </w:rPr>
        <w:t>0</w:t>
      </w:r>
      <w:r w:rsidR="0033717C" w:rsidRPr="007108B0">
        <w:rPr>
          <w:rFonts w:hint="cs"/>
          <w:rtl/>
        </w:rPr>
        <w:t>.</w:t>
      </w:r>
      <w:r w:rsidR="0066592D">
        <w:rPr>
          <w:rFonts w:hint="cs"/>
          <w:rtl/>
        </w:rPr>
        <w:t>5</w:t>
      </w:r>
      <w:r w:rsidRPr="007108B0">
        <w:rPr>
          <w:rFonts w:hint="cs"/>
          <w:rtl/>
        </w:rPr>
        <w:t>%)</w:t>
      </w:r>
      <w:r w:rsidR="00020B99" w:rsidRPr="007108B0">
        <w:rPr>
          <w:rFonts w:hint="cs"/>
          <w:rtl/>
        </w:rPr>
        <w:t xml:space="preserve"> וכ-</w:t>
      </w:r>
      <w:r w:rsidR="0066592D">
        <w:rPr>
          <w:rFonts w:hint="cs"/>
          <w:rtl/>
        </w:rPr>
        <w:t>0</w:t>
      </w:r>
      <w:r w:rsidR="0033717C" w:rsidRPr="007108B0">
        <w:rPr>
          <w:rFonts w:hint="cs"/>
          <w:rtl/>
        </w:rPr>
        <w:t>.</w:t>
      </w:r>
      <w:r w:rsidR="0066592D">
        <w:rPr>
          <w:rFonts w:hint="cs"/>
          <w:rtl/>
        </w:rPr>
        <w:t>7</w:t>
      </w:r>
      <w:r w:rsidR="00020B99" w:rsidRPr="007108B0">
        <w:rPr>
          <w:rFonts w:hint="cs"/>
          <w:rtl/>
        </w:rPr>
        <w:t xml:space="preserve"> מיליארדים (</w:t>
      </w:r>
      <w:r w:rsidR="0033717C" w:rsidRPr="007108B0">
        <w:rPr>
          <w:rFonts w:hint="cs"/>
          <w:rtl/>
        </w:rPr>
        <w:t>1.</w:t>
      </w:r>
      <w:r w:rsidR="0066592D">
        <w:rPr>
          <w:rFonts w:hint="cs"/>
          <w:rtl/>
        </w:rPr>
        <w:t>0</w:t>
      </w:r>
      <w:r w:rsidR="00FD19B3" w:rsidRPr="007108B0">
        <w:rPr>
          <w:rFonts w:hint="cs"/>
          <w:rtl/>
        </w:rPr>
        <w:t>%</w:t>
      </w:r>
      <w:r w:rsidR="00020B99" w:rsidRPr="007108B0">
        <w:rPr>
          <w:rFonts w:hint="cs"/>
          <w:rtl/>
        </w:rPr>
        <w:t>), בהתאמה.</w:t>
      </w:r>
      <w:r w:rsidRPr="007108B0">
        <w:rPr>
          <w:rFonts w:hint="cs"/>
          <w:rtl/>
        </w:rPr>
        <w:t xml:space="preserve"> </w:t>
      </w:r>
      <w:r w:rsidR="00020B99" w:rsidRPr="007108B0">
        <w:rPr>
          <w:rFonts w:hint="cs"/>
          <w:rtl/>
        </w:rPr>
        <w:t>כמו כן, נרשמו ברביע ה</w:t>
      </w:r>
      <w:r w:rsidR="00FF55B9">
        <w:rPr>
          <w:rFonts w:hint="cs"/>
          <w:rtl/>
        </w:rPr>
        <w:t>שלישי</w:t>
      </w:r>
      <w:r w:rsidR="00020B99" w:rsidRPr="007108B0">
        <w:rPr>
          <w:rFonts w:hint="cs"/>
          <w:rtl/>
        </w:rPr>
        <w:t xml:space="preserve"> </w:t>
      </w:r>
      <w:r w:rsidR="00FD19B3" w:rsidRPr="007108B0">
        <w:rPr>
          <w:rFonts w:hint="cs"/>
          <w:rtl/>
        </w:rPr>
        <w:t>השקעות</w:t>
      </w:r>
      <w:r w:rsidR="00020B99" w:rsidRPr="007108B0">
        <w:rPr>
          <w:rFonts w:hint="cs"/>
          <w:rtl/>
        </w:rPr>
        <w:t xml:space="preserve"> נטו באג"ח זרות בהיקף של כ-</w:t>
      </w:r>
      <w:r w:rsidR="0033717C" w:rsidRPr="007108B0">
        <w:rPr>
          <w:rFonts w:hint="cs"/>
          <w:rtl/>
        </w:rPr>
        <w:t>0.</w:t>
      </w:r>
      <w:r w:rsidR="0037377D">
        <w:rPr>
          <w:rFonts w:hint="cs"/>
          <w:rtl/>
        </w:rPr>
        <w:t>4</w:t>
      </w:r>
      <w:r w:rsidR="0033717C" w:rsidRPr="007108B0">
        <w:rPr>
          <w:rFonts w:hint="cs"/>
          <w:rtl/>
        </w:rPr>
        <w:t xml:space="preserve"> </w:t>
      </w:r>
      <w:r w:rsidR="00020B99" w:rsidRPr="007108B0">
        <w:rPr>
          <w:rFonts w:hint="cs"/>
          <w:rtl/>
        </w:rPr>
        <w:t>מיליארדי דולרים (</w:t>
      </w:r>
      <w:r w:rsidR="00416153">
        <w:rPr>
          <w:rFonts w:hint="cs"/>
          <w:rtl/>
        </w:rPr>
        <w:t>0.6</w:t>
      </w:r>
      <w:r w:rsidR="00FD19B3" w:rsidRPr="007108B0">
        <w:rPr>
          <w:rFonts w:hint="cs"/>
          <w:rtl/>
        </w:rPr>
        <w:t>%</w:t>
      </w:r>
      <w:r w:rsidR="00020B99" w:rsidRPr="007108B0">
        <w:rPr>
          <w:rFonts w:hint="cs"/>
          <w:rtl/>
        </w:rPr>
        <w:t>)</w:t>
      </w:r>
      <w:r w:rsidR="007A7FAC">
        <w:rPr>
          <w:rFonts w:hint="cs"/>
          <w:rtl/>
        </w:rPr>
        <w:t xml:space="preserve">. עיקר ההשקעות הפיננסיות (במניות </w:t>
      </w:r>
      <w:r w:rsidR="00BB7FB2">
        <w:rPr>
          <w:rFonts w:hint="cs"/>
          <w:rtl/>
        </w:rPr>
        <w:t>ו</w:t>
      </w:r>
      <w:r w:rsidR="007A7FAC">
        <w:rPr>
          <w:rFonts w:hint="cs"/>
          <w:rtl/>
        </w:rPr>
        <w:t xml:space="preserve">באג"ח זרות) התבצעו  </w:t>
      </w:r>
      <w:r w:rsidR="00F70B47" w:rsidRPr="007108B0">
        <w:rPr>
          <w:rFonts w:hint="cs"/>
          <w:rtl/>
        </w:rPr>
        <w:t xml:space="preserve"> על ידי </w:t>
      </w:r>
      <w:r w:rsidR="007A7FAC">
        <w:rPr>
          <w:rFonts w:hint="cs"/>
          <w:rtl/>
        </w:rPr>
        <w:t>ה</w:t>
      </w:r>
      <w:r w:rsidR="001B41AC">
        <w:rPr>
          <w:rFonts w:hint="cs"/>
          <w:rtl/>
        </w:rPr>
        <w:t xml:space="preserve">גופים </w:t>
      </w:r>
      <w:r w:rsidR="007A7FAC">
        <w:rPr>
          <w:rFonts w:hint="cs"/>
          <w:rtl/>
        </w:rPr>
        <w:t>ה</w:t>
      </w:r>
      <w:r w:rsidR="001B41AC">
        <w:rPr>
          <w:rFonts w:hint="cs"/>
          <w:rtl/>
        </w:rPr>
        <w:t>מוסדיים</w:t>
      </w:r>
      <w:r w:rsidR="007A7FAC">
        <w:rPr>
          <w:rFonts w:hint="cs"/>
          <w:rtl/>
        </w:rPr>
        <w:t>.</w:t>
      </w:r>
      <w:r w:rsidR="001B41AC">
        <w:rPr>
          <w:rFonts w:hint="cs"/>
          <w:rtl/>
        </w:rPr>
        <w:t xml:space="preserve"> </w:t>
      </w:r>
      <w:r w:rsidR="00985EF5" w:rsidRPr="007A7FAC">
        <w:rPr>
          <w:rFonts w:hint="cs"/>
          <w:rtl/>
        </w:rPr>
        <w:t>(תרשים 1)</w:t>
      </w:r>
    </w:p>
    <w:p w:rsidR="00933151" w:rsidRPr="00A53CC2" w:rsidRDefault="00E77CF3" w:rsidP="00CA446F">
      <w:pPr>
        <w:pStyle w:val="2"/>
        <w:ind w:left="720"/>
        <w:rPr>
          <w:highlight w:val="yellow"/>
          <w:rtl/>
        </w:rPr>
      </w:pPr>
      <w:r w:rsidRPr="00E77CF3">
        <w:rPr>
          <w:noProof/>
          <w:lang w:eastAsia="en-US"/>
        </w:rPr>
        <w:lastRenderedPageBreak/>
        <w:drawing>
          <wp:inline distT="0" distB="0" distL="0" distR="0" wp14:anchorId="596EB8F9" wp14:editId="07BB157B">
            <wp:extent cx="4447005" cy="3023963"/>
            <wp:effectExtent l="0" t="0" r="0" b="508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966" cy="304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217" w:rsidRDefault="00AE1217" w:rsidP="002216F2">
      <w:pPr>
        <w:pStyle w:val="2"/>
        <w:jc w:val="center"/>
        <w:rPr>
          <w:highlight w:val="yellow"/>
          <w:rtl/>
        </w:rPr>
      </w:pPr>
    </w:p>
    <w:p w:rsidR="00FB1799" w:rsidRDefault="00FB1799" w:rsidP="002216F2">
      <w:pPr>
        <w:pStyle w:val="2"/>
        <w:jc w:val="center"/>
        <w:rPr>
          <w:highlight w:val="yellow"/>
          <w:rtl/>
        </w:rPr>
      </w:pPr>
    </w:p>
    <w:p w:rsidR="009F633E" w:rsidRPr="009F633E" w:rsidRDefault="00E95D04" w:rsidP="009E585A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Style w:val="20"/>
          <w:rFonts w:ascii="Arial" w:hAnsi="Arial"/>
        </w:rPr>
      </w:pPr>
      <w:r w:rsidRPr="009F633E">
        <w:rPr>
          <w:rStyle w:val="20"/>
          <w:rFonts w:hint="cs"/>
          <w:b/>
          <w:bCs/>
          <w:rtl/>
        </w:rPr>
        <w:t>שווי ההשקעות האחרות</w:t>
      </w:r>
      <w:r w:rsidRPr="009F633E">
        <w:rPr>
          <w:rFonts w:ascii="Arial" w:hAnsi="Arial" w:cs="David" w:hint="cs"/>
          <w:b/>
          <w:bCs/>
          <w:rtl/>
        </w:rPr>
        <w:t xml:space="preserve"> </w:t>
      </w:r>
      <w:r w:rsidRPr="009F633E">
        <w:rPr>
          <w:rFonts w:ascii="Arial" w:hAnsi="Arial" w:cs="David" w:hint="cs"/>
          <w:rtl/>
        </w:rPr>
        <w:t xml:space="preserve">בחו"ל </w:t>
      </w:r>
      <w:r w:rsidR="00891003">
        <w:rPr>
          <w:rFonts w:ascii="Arial" w:hAnsi="Arial" w:cs="David" w:hint="cs"/>
          <w:rtl/>
        </w:rPr>
        <w:t>ירד</w:t>
      </w:r>
      <w:r w:rsidR="00B3376B" w:rsidRPr="009F633E">
        <w:rPr>
          <w:rFonts w:ascii="Arial" w:hAnsi="Arial" w:cs="David" w:hint="cs"/>
          <w:rtl/>
        </w:rPr>
        <w:t xml:space="preserve"> במהלך</w:t>
      </w:r>
      <w:r w:rsidRPr="009F633E">
        <w:rPr>
          <w:rFonts w:ascii="Arial" w:hAnsi="Arial" w:cs="David" w:hint="cs"/>
          <w:rtl/>
        </w:rPr>
        <w:t xml:space="preserve"> </w:t>
      </w:r>
      <w:r w:rsidR="00B3376B" w:rsidRPr="009F633E">
        <w:rPr>
          <w:rFonts w:ascii="Arial" w:hAnsi="Arial" w:cs="David" w:hint="cs"/>
          <w:rtl/>
        </w:rPr>
        <w:t>ה</w:t>
      </w:r>
      <w:r w:rsidRPr="009F633E">
        <w:rPr>
          <w:rFonts w:ascii="Arial" w:hAnsi="Arial" w:cs="David" w:hint="cs"/>
          <w:rtl/>
        </w:rPr>
        <w:t xml:space="preserve">רביע </w:t>
      </w:r>
      <w:r w:rsidR="002A768F" w:rsidRPr="009F633E">
        <w:rPr>
          <w:rFonts w:ascii="Arial" w:hAnsi="Arial" w:cs="David" w:hint="cs"/>
          <w:rtl/>
        </w:rPr>
        <w:t>ה</w:t>
      </w:r>
      <w:r w:rsidR="00891003">
        <w:rPr>
          <w:rFonts w:ascii="Arial" w:hAnsi="Arial" w:cs="David" w:hint="cs"/>
          <w:rtl/>
        </w:rPr>
        <w:t>שלישי</w:t>
      </w:r>
      <w:r w:rsidR="009E585A">
        <w:rPr>
          <w:rFonts w:ascii="Arial" w:hAnsi="Arial" w:cs="David" w:hint="cs"/>
          <w:rtl/>
        </w:rPr>
        <w:t xml:space="preserve"> בהיקף של כ-</w:t>
      </w:r>
      <w:r w:rsidR="00891003">
        <w:rPr>
          <w:rFonts w:ascii="Arial" w:hAnsi="Arial" w:cs="David" w:hint="cs"/>
          <w:rtl/>
        </w:rPr>
        <w:t>0.8</w:t>
      </w:r>
      <w:r w:rsidR="009F633E" w:rsidRPr="009F633E">
        <w:rPr>
          <w:rFonts w:ascii="Arial" w:hAnsi="Arial" w:cs="David" w:hint="cs"/>
          <w:rtl/>
        </w:rPr>
        <w:t xml:space="preserve"> </w:t>
      </w:r>
      <w:r w:rsidR="00B3376B" w:rsidRPr="009F633E">
        <w:rPr>
          <w:rFonts w:ascii="Arial" w:hAnsi="Arial" w:cs="David" w:hint="cs"/>
          <w:rtl/>
        </w:rPr>
        <w:t>מיליארדי דולרים</w:t>
      </w:r>
      <w:r w:rsidR="009E585A">
        <w:rPr>
          <w:rFonts w:ascii="Arial" w:hAnsi="Arial" w:cs="David" w:hint="cs"/>
          <w:rtl/>
        </w:rPr>
        <w:t xml:space="preserve">     </w:t>
      </w:r>
      <w:r w:rsidR="00B3376B" w:rsidRPr="009F633E">
        <w:rPr>
          <w:rFonts w:ascii="Arial" w:hAnsi="Arial" w:cs="David" w:hint="cs"/>
          <w:rtl/>
        </w:rPr>
        <w:t>(</w:t>
      </w:r>
      <w:r w:rsidR="00891003">
        <w:rPr>
          <w:rFonts w:ascii="Arial" w:hAnsi="Arial" w:cs="David" w:hint="cs"/>
          <w:rtl/>
        </w:rPr>
        <w:t>0.9</w:t>
      </w:r>
      <w:r w:rsidR="00B3376B" w:rsidRPr="009F633E">
        <w:rPr>
          <w:rFonts w:ascii="Arial" w:hAnsi="Arial" w:cs="David" w:hint="cs"/>
          <w:rtl/>
        </w:rPr>
        <w:t>%</w:t>
      </w:r>
      <w:r w:rsidR="00E77CF3">
        <w:rPr>
          <w:rFonts w:ascii="Arial" w:hAnsi="Arial" w:cs="David" w:hint="cs"/>
          <w:rtl/>
        </w:rPr>
        <w:t>-</w:t>
      </w:r>
      <w:r w:rsidR="00B3376B" w:rsidRPr="009F633E">
        <w:rPr>
          <w:rFonts w:ascii="Arial" w:hAnsi="Arial" w:cs="David" w:hint="cs"/>
          <w:rtl/>
        </w:rPr>
        <w:t>)</w:t>
      </w:r>
      <w:r w:rsidR="009265CF" w:rsidRPr="009F633E">
        <w:rPr>
          <w:rFonts w:ascii="Arial" w:hAnsi="Arial" w:cs="David" w:hint="cs"/>
          <w:rtl/>
        </w:rPr>
        <w:t xml:space="preserve">. </w:t>
      </w:r>
      <w:r w:rsidR="009F633E" w:rsidRPr="009F633E">
        <w:rPr>
          <w:rFonts w:ascii="Arial" w:hAnsi="Arial" w:cs="David" w:hint="cs"/>
          <w:rtl/>
        </w:rPr>
        <w:t>ה</w:t>
      </w:r>
      <w:r w:rsidR="00891003">
        <w:rPr>
          <w:rFonts w:ascii="Arial" w:hAnsi="Arial" w:cs="David" w:hint="cs"/>
          <w:rtl/>
        </w:rPr>
        <w:t>קיטון נבע</w:t>
      </w:r>
      <w:r w:rsidR="009265CF" w:rsidRPr="009F633E">
        <w:rPr>
          <w:rFonts w:ascii="Arial" w:hAnsi="Arial" w:cs="David" w:hint="cs"/>
          <w:rtl/>
        </w:rPr>
        <w:t xml:space="preserve"> בעיקר</w:t>
      </w:r>
      <w:r w:rsidR="009F633E" w:rsidRPr="009F633E">
        <w:rPr>
          <w:rFonts w:ascii="Arial" w:hAnsi="Arial" w:cs="David" w:hint="cs"/>
          <w:rtl/>
        </w:rPr>
        <w:t xml:space="preserve"> מ</w:t>
      </w:r>
      <w:r w:rsidR="00891003">
        <w:rPr>
          <w:rFonts w:ascii="Arial" w:hAnsi="Arial" w:cs="David" w:hint="cs"/>
          <w:rtl/>
        </w:rPr>
        <w:t>משיכ</w:t>
      </w:r>
      <w:r w:rsidR="009F633E" w:rsidRPr="009F633E">
        <w:rPr>
          <w:rFonts w:ascii="Arial" w:hAnsi="Arial" w:cs="David" w:hint="cs"/>
          <w:rtl/>
        </w:rPr>
        <w:t xml:space="preserve">ות נטו </w:t>
      </w:r>
      <w:r w:rsidR="00891003">
        <w:rPr>
          <w:rFonts w:ascii="Arial" w:hAnsi="Arial" w:cs="David" w:hint="cs"/>
          <w:rtl/>
        </w:rPr>
        <w:t>מ</w:t>
      </w:r>
      <w:r w:rsidR="009F633E" w:rsidRPr="009F633E">
        <w:rPr>
          <w:rFonts w:ascii="Arial" w:hAnsi="Arial" w:cs="David" w:hint="cs"/>
          <w:rtl/>
        </w:rPr>
        <w:t xml:space="preserve">פיקדונות </w:t>
      </w:r>
      <w:r w:rsidR="00D57CB6">
        <w:rPr>
          <w:rFonts w:ascii="Arial" w:hAnsi="Arial" w:cs="David" w:hint="cs"/>
          <w:rtl/>
        </w:rPr>
        <w:t>תושבי ישראל</w:t>
      </w:r>
      <w:r w:rsidR="009F633E" w:rsidRPr="009F633E">
        <w:rPr>
          <w:rFonts w:ascii="Arial" w:hAnsi="Arial" w:cs="David" w:hint="cs"/>
          <w:rtl/>
        </w:rPr>
        <w:t xml:space="preserve"> בחו"ל בהיקף של כ-1.</w:t>
      </w:r>
      <w:r w:rsidR="00D57CB6">
        <w:rPr>
          <w:rFonts w:ascii="Arial" w:hAnsi="Arial" w:cs="David" w:hint="cs"/>
          <w:rtl/>
        </w:rPr>
        <w:t>8</w:t>
      </w:r>
      <w:r w:rsidR="009F633E" w:rsidRPr="009F633E">
        <w:rPr>
          <w:rFonts w:ascii="Arial" w:hAnsi="Arial" w:cs="David" w:hint="cs"/>
          <w:rtl/>
        </w:rPr>
        <w:t xml:space="preserve"> מיליארדים</w:t>
      </w:r>
      <w:r w:rsidR="00D57CB6">
        <w:rPr>
          <w:rFonts w:ascii="Arial" w:hAnsi="Arial" w:cs="David" w:hint="cs"/>
          <w:rtl/>
        </w:rPr>
        <w:t xml:space="preserve"> ומשיכות</w:t>
      </w:r>
      <w:r w:rsidR="00E77CF3">
        <w:rPr>
          <w:rFonts w:ascii="Arial" w:hAnsi="Arial" w:cs="David" w:hint="cs"/>
          <w:rtl/>
        </w:rPr>
        <w:t xml:space="preserve"> נטו </w:t>
      </w:r>
      <w:r w:rsidR="00D57CB6">
        <w:rPr>
          <w:rFonts w:ascii="Arial" w:hAnsi="Arial" w:cs="David" w:hint="cs"/>
          <w:rtl/>
        </w:rPr>
        <w:t xml:space="preserve">של הבנקים </w:t>
      </w:r>
      <w:r w:rsidR="00E77CF3">
        <w:rPr>
          <w:rFonts w:ascii="Arial" w:hAnsi="Arial" w:cs="David" w:hint="cs"/>
          <w:rtl/>
        </w:rPr>
        <w:t>הישראלים מ</w:t>
      </w:r>
      <w:r w:rsidR="00D57CB6">
        <w:rPr>
          <w:rFonts w:ascii="Arial" w:hAnsi="Arial" w:cs="David" w:hint="cs"/>
          <w:rtl/>
        </w:rPr>
        <w:t>פיקדונו</w:t>
      </w:r>
      <w:r w:rsidR="00D57CB6">
        <w:rPr>
          <w:rFonts w:ascii="Arial" w:hAnsi="Arial" w:cs="David" w:hint="eastAsia"/>
          <w:rtl/>
        </w:rPr>
        <w:t>ת</w:t>
      </w:r>
      <w:r w:rsidR="00D57CB6">
        <w:rPr>
          <w:rFonts w:ascii="Arial" w:hAnsi="Arial" w:cs="David" w:hint="cs"/>
          <w:rtl/>
        </w:rPr>
        <w:t xml:space="preserve"> בחו"ל בהיקף של כ-1.6 מיליארדים. מנגד, </w:t>
      </w:r>
      <w:r w:rsidR="00AC723C">
        <w:rPr>
          <w:rFonts w:ascii="Arial" w:hAnsi="Arial" w:cs="David" w:hint="cs"/>
          <w:rtl/>
        </w:rPr>
        <w:t xml:space="preserve">נרשמו </w:t>
      </w:r>
      <w:r w:rsidR="00E77CF3">
        <w:rPr>
          <w:rFonts w:ascii="Arial" w:hAnsi="Arial" w:cs="David" w:hint="cs"/>
          <w:rtl/>
        </w:rPr>
        <w:t xml:space="preserve">ברבעון השלישי </w:t>
      </w:r>
      <w:r w:rsidR="00AC723C">
        <w:rPr>
          <w:rFonts w:ascii="Arial" w:hAnsi="Arial" w:cs="David" w:hint="cs"/>
          <w:rtl/>
        </w:rPr>
        <w:t xml:space="preserve">הלוואות פיננסיות שנתנו </w:t>
      </w:r>
      <w:r w:rsidR="00E77CF3">
        <w:rPr>
          <w:rFonts w:ascii="Arial" w:hAnsi="Arial" w:cs="David" w:hint="cs"/>
          <w:rtl/>
        </w:rPr>
        <w:t xml:space="preserve">תושבי ישראל לתושבי חוץ </w:t>
      </w:r>
      <w:r w:rsidR="00D57CB6">
        <w:rPr>
          <w:rFonts w:ascii="Arial" w:hAnsi="Arial" w:cs="David" w:hint="cs"/>
          <w:rtl/>
        </w:rPr>
        <w:t>בהיקף של כ-1.4 מיליארד</w:t>
      </w:r>
      <w:r w:rsidR="00E77CF3">
        <w:rPr>
          <w:rFonts w:ascii="Arial" w:hAnsi="Arial" w:cs="David" w:hint="cs"/>
          <w:rtl/>
        </w:rPr>
        <w:t>י</w:t>
      </w:r>
      <w:r w:rsidR="00D57CB6">
        <w:rPr>
          <w:rFonts w:ascii="Arial" w:hAnsi="Arial" w:cs="David" w:hint="cs"/>
          <w:rtl/>
        </w:rPr>
        <w:t xml:space="preserve"> דולר</w:t>
      </w:r>
      <w:r w:rsidR="00E77CF3">
        <w:rPr>
          <w:rFonts w:ascii="Arial" w:hAnsi="Arial" w:cs="David" w:hint="cs"/>
          <w:rtl/>
        </w:rPr>
        <w:t>ים</w:t>
      </w:r>
      <w:r w:rsidR="00D57CB6">
        <w:rPr>
          <w:rFonts w:ascii="Arial" w:hAnsi="Arial" w:cs="David" w:hint="cs"/>
          <w:rtl/>
        </w:rPr>
        <w:t xml:space="preserve"> והשקעות בנכסים א</w:t>
      </w:r>
      <w:r w:rsidR="00AC723C">
        <w:rPr>
          <w:rFonts w:ascii="Arial" w:hAnsi="Arial" w:cs="David" w:hint="cs"/>
          <w:rtl/>
        </w:rPr>
        <w:t>חרים בהיקף של כ-1.1 מיליארדים</w:t>
      </w:r>
      <w:r w:rsidR="009F633E" w:rsidRPr="009F633E">
        <w:rPr>
          <w:rFonts w:ascii="Arial" w:hAnsi="Arial" w:cs="David" w:hint="cs"/>
          <w:rtl/>
        </w:rPr>
        <w:t>.</w:t>
      </w:r>
      <w:r w:rsidR="00C70984">
        <w:rPr>
          <w:rFonts w:ascii="Arial" w:hAnsi="Arial" w:cs="David" w:hint="cs"/>
          <w:rtl/>
        </w:rPr>
        <w:t xml:space="preserve"> </w:t>
      </w:r>
    </w:p>
    <w:p w:rsidR="00203A0D" w:rsidRDefault="002216F2" w:rsidP="00197CDA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Fonts w:ascii="Arial" w:hAnsi="Arial" w:cs="David"/>
        </w:rPr>
      </w:pPr>
      <w:r w:rsidRPr="009F633E">
        <w:rPr>
          <w:rStyle w:val="20"/>
          <w:rFonts w:hint="cs"/>
          <w:b/>
          <w:bCs/>
          <w:rtl/>
        </w:rPr>
        <w:t>שווי רזרבות המט"ח</w:t>
      </w:r>
      <w:r w:rsidRPr="009F633E">
        <w:rPr>
          <w:rFonts w:ascii="Arial" w:hAnsi="Arial" w:cs="David" w:hint="cs"/>
          <w:rtl/>
        </w:rPr>
        <w:t xml:space="preserve"> </w:t>
      </w:r>
      <w:r w:rsidR="00CA46A6">
        <w:rPr>
          <w:rFonts w:ascii="Arial" w:hAnsi="Arial" w:cs="David" w:hint="cs"/>
          <w:rtl/>
        </w:rPr>
        <w:t>ירד</w:t>
      </w:r>
      <w:r w:rsidRPr="009F633E">
        <w:rPr>
          <w:rFonts w:ascii="Arial" w:hAnsi="Arial" w:cs="David" w:hint="cs"/>
          <w:rtl/>
        </w:rPr>
        <w:t xml:space="preserve"> במהלך הרביע ה</w:t>
      </w:r>
      <w:r w:rsidR="00CD5FF7" w:rsidRPr="009F633E">
        <w:rPr>
          <w:rFonts w:ascii="Arial" w:hAnsi="Arial" w:cs="David" w:hint="cs"/>
          <w:rtl/>
        </w:rPr>
        <w:t>ש</w:t>
      </w:r>
      <w:r w:rsidR="00C15BEF">
        <w:rPr>
          <w:rFonts w:ascii="Arial" w:hAnsi="Arial" w:cs="David" w:hint="cs"/>
          <w:rtl/>
        </w:rPr>
        <w:t>לישי</w:t>
      </w:r>
      <w:r w:rsidR="00DC198A" w:rsidRPr="009F633E">
        <w:rPr>
          <w:rFonts w:ascii="Arial" w:hAnsi="Arial" w:cs="David" w:hint="cs"/>
          <w:rtl/>
        </w:rPr>
        <w:t xml:space="preserve"> ב</w:t>
      </w:r>
      <w:r w:rsidRPr="009F633E">
        <w:rPr>
          <w:rFonts w:ascii="Arial" w:hAnsi="Arial" w:cs="David" w:hint="cs"/>
          <w:rtl/>
        </w:rPr>
        <w:t>כ-</w:t>
      </w:r>
      <w:r w:rsidR="00C15BEF">
        <w:rPr>
          <w:rFonts w:ascii="Arial" w:hAnsi="Arial" w:cs="David" w:hint="cs"/>
          <w:rtl/>
        </w:rPr>
        <w:t>0.6</w:t>
      </w:r>
      <w:r w:rsidRPr="009F633E">
        <w:rPr>
          <w:rFonts w:ascii="Arial" w:hAnsi="Arial" w:cs="David" w:hint="cs"/>
          <w:rtl/>
        </w:rPr>
        <w:t xml:space="preserve"> </w:t>
      </w:r>
      <w:r w:rsidR="00A329F1" w:rsidRPr="009F633E">
        <w:rPr>
          <w:rFonts w:ascii="Arial" w:hAnsi="Arial" w:cs="David" w:hint="cs"/>
          <w:rtl/>
        </w:rPr>
        <w:t xml:space="preserve">מיליארדי דולרים </w:t>
      </w:r>
      <w:r w:rsidRPr="009F633E">
        <w:rPr>
          <w:rFonts w:ascii="Arial" w:hAnsi="Arial" w:cs="David" w:hint="cs"/>
          <w:rtl/>
        </w:rPr>
        <w:t>(</w:t>
      </w:r>
      <w:r w:rsidR="00C15BEF">
        <w:rPr>
          <w:rFonts w:ascii="Arial" w:hAnsi="Arial" w:cs="David" w:hint="cs"/>
          <w:rtl/>
        </w:rPr>
        <w:t>0</w:t>
      </w:r>
      <w:r w:rsidR="00A329F1" w:rsidRPr="009F633E">
        <w:rPr>
          <w:rFonts w:ascii="Arial" w:hAnsi="Arial" w:cs="David" w:hint="cs"/>
          <w:rtl/>
        </w:rPr>
        <w:t>.</w:t>
      </w:r>
      <w:r w:rsidR="00C15BEF">
        <w:rPr>
          <w:rFonts w:ascii="Arial" w:hAnsi="Arial" w:cs="David" w:hint="cs"/>
          <w:rtl/>
        </w:rPr>
        <w:t>5</w:t>
      </w:r>
      <w:r w:rsidR="009C275B" w:rsidRPr="009F633E">
        <w:rPr>
          <w:rFonts w:ascii="Arial" w:hAnsi="Arial" w:cs="David" w:hint="cs"/>
          <w:rtl/>
        </w:rPr>
        <w:t>%</w:t>
      </w:r>
      <w:r w:rsidRPr="009F633E">
        <w:rPr>
          <w:rFonts w:ascii="Arial" w:hAnsi="Arial" w:cs="David" w:hint="cs"/>
          <w:rtl/>
        </w:rPr>
        <w:t>) ועמד בסוף הרביע על</w:t>
      </w:r>
      <w:r w:rsidR="00783BBE">
        <w:rPr>
          <w:rFonts w:ascii="Arial" w:hAnsi="Arial" w:cs="David" w:hint="cs"/>
          <w:rtl/>
        </w:rPr>
        <w:t xml:space="preserve"> כ-</w:t>
      </w:r>
      <w:r w:rsidR="009F633E" w:rsidRPr="009F633E">
        <w:rPr>
          <w:rFonts w:ascii="Arial" w:hAnsi="Arial" w:cs="David" w:hint="cs"/>
          <w:rtl/>
        </w:rPr>
        <w:t>120</w:t>
      </w:r>
      <w:r w:rsidRPr="009F633E">
        <w:rPr>
          <w:rFonts w:ascii="Arial" w:hAnsi="Arial" w:cs="David" w:hint="cs"/>
          <w:rtl/>
        </w:rPr>
        <w:t xml:space="preserve"> מיליארדים.</w:t>
      </w:r>
      <w:r w:rsidR="00C15BEF">
        <w:rPr>
          <w:rFonts w:ascii="Arial" w:hAnsi="Arial" w:cs="David" w:hint="cs"/>
          <w:rtl/>
        </w:rPr>
        <w:t xml:space="preserve"> ה</w:t>
      </w:r>
      <w:r w:rsidR="00197CDA">
        <w:rPr>
          <w:rFonts w:ascii="Arial" w:hAnsi="Arial" w:cs="David" w:hint="cs"/>
          <w:rtl/>
        </w:rPr>
        <w:t>ירידה</w:t>
      </w:r>
      <w:r w:rsidR="00C15BEF">
        <w:rPr>
          <w:rFonts w:ascii="Arial" w:hAnsi="Arial" w:cs="David" w:hint="cs"/>
          <w:rtl/>
        </w:rPr>
        <w:t xml:space="preserve"> בשווי הרזרבות</w:t>
      </w:r>
      <w:r w:rsidR="00197CDA">
        <w:rPr>
          <w:rFonts w:ascii="Arial" w:hAnsi="Arial" w:cs="David" w:hint="cs"/>
          <w:rtl/>
        </w:rPr>
        <w:t xml:space="preserve"> נבעה מהשפעת שער החליפין על היתרות ובעיקר מהתחזקות הדולר אל מול האירו.</w:t>
      </w:r>
      <w:r w:rsidR="00C15BEF">
        <w:rPr>
          <w:rFonts w:ascii="Arial" w:hAnsi="Arial" w:cs="David" w:hint="cs"/>
          <w:rtl/>
        </w:rPr>
        <w:t xml:space="preserve">  </w:t>
      </w:r>
    </w:p>
    <w:p w:rsidR="00203A0D" w:rsidRPr="00203A0D" w:rsidRDefault="00203A0D" w:rsidP="00203A0D">
      <w:pPr>
        <w:pStyle w:val="af7"/>
        <w:rPr>
          <w:rFonts w:ascii="Arial" w:hAnsi="Arial" w:cs="David"/>
          <w:rtl/>
        </w:rPr>
      </w:pPr>
    </w:p>
    <w:p w:rsidR="00203A0D" w:rsidRPr="00203A0D" w:rsidRDefault="00203A0D" w:rsidP="00203A0D">
      <w:pPr>
        <w:pStyle w:val="af7"/>
        <w:spacing w:after="240" w:line="276" w:lineRule="auto"/>
        <w:ind w:right="426"/>
        <w:jc w:val="both"/>
        <w:rPr>
          <w:rFonts w:ascii="Arial" w:hAnsi="Arial" w:cs="David"/>
          <w:rtl/>
        </w:rPr>
      </w:pPr>
    </w:p>
    <w:p w:rsidR="00595D2C" w:rsidRPr="00203A0D" w:rsidRDefault="00D064D6" w:rsidP="000A38BE">
      <w:pPr>
        <w:pStyle w:val="af7"/>
        <w:numPr>
          <w:ilvl w:val="0"/>
          <w:numId w:val="16"/>
        </w:num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203A0D">
        <w:rPr>
          <w:rStyle w:val="20"/>
          <w:rFonts w:hint="cs"/>
          <w:b/>
          <w:bCs/>
          <w:rtl/>
        </w:rPr>
        <w:t>הרכב התיק בחו"ל</w:t>
      </w:r>
      <w:r w:rsidRPr="00203A0D">
        <w:rPr>
          <w:rFonts w:ascii="Arial" w:hAnsi="Arial" w:cs="David" w:hint="cs"/>
          <w:rtl/>
        </w:rPr>
        <w:t xml:space="preserve"> </w:t>
      </w:r>
      <w:r w:rsidR="00595D2C" w:rsidRPr="00203A0D">
        <w:rPr>
          <w:rFonts w:ascii="Arial" w:hAnsi="Arial" w:cs="David"/>
          <w:rtl/>
        </w:rPr>
        <w:t>–</w:t>
      </w:r>
      <w:r w:rsidRPr="00203A0D">
        <w:rPr>
          <w:rFonts w:ascii="Arial" w:hAnsi="Arial" w:cs="David" w:hint="cs"/>
          <w:rtl/>
        </w:rPr>
        <w:t xml:space="preserve"> </w:t>
      </w:r>
      <w:r w:rsidR="00740143" w:rsidRPr="00203A0D">
        <w:rPr>
          <w:rFonts w:ascii="Arial" w:hAnsi="Arial" w:cs="David" w:hint="cs"/>
          <w:rtl/>
        </w:rPr>
        <w:t>ברביע הש</w:t>
      </w:r>
      <w:r w:rsidR="00C15BEF" w:rsidRPr="00203A0D">
        <w:rPr>
          <w:rFonts w:ascii="Arial" w:hAnsi="Arial" w:cs="David" w:hint="cs"/>
          <w:rtl/>
        </w:rPr>
        <w:t>לישי</w:t>
      </w:r>
      <w:r w:rsidR="00740143" w:rsidRPr="00203A0D">
        <w:rPr>
          <w:rFonts w:ascii="Arial" w:hAnsi="Arial" w:cs="David" w:hint="cs"/>
          <w:rtl/>
        </w:rPr>
        <w:t xml:space="preserve"> חלה </w:t>
      </w:r>
      <w:r w:rsidR="004E0BC2" w:rsidRPr="00203A0D">
        <w:rPr>
          <w:rFonts w:ascii="Arial" w:hAnsi="Arial" w:cs="David" w:hint="cs"/>
          <w:rtl/>
        </w:rPr>
        <w:t>עלייה</w:t>
      </w:r>
      <w:r w:rsidR="00595D2C" w:rsidRPr="00203A0D">
        <w:rPr>
          <w:rFonts w:ascii="Arial" w:hAnsi="Arial" w:cs="David" w:hint="cs"/>
          <w:rtl/>
        </w:rPr>
        <w:t xml:space="preserve"> </w:t>
      </w:r>
      <w:r w:rsidR="00AA52FC" w:rsidRPr="00203A0D">
        <w:rPr>
          <w:rFonts w:ascii="Arial" w:hAnsi="Arial" w:cs="David" w:hint="cs"/>
          <w:rtl/>
        </w:rPr>
        <w:t xml:space="preserve">בשווי הנכסים </w:t>
      </w:r>
      <w:r w:rsidR="00F601E7" w:rsidRPr="00203A0D">
        <w:rPr>
          <w:rFonts w:ascii="Arial" w:hAnsi="Arial" w:cs="David" w:hint="cs"/>
          <w:rtl/>
        </w:rPr>
        <w:t>במכשירי הון</w:t>
      </w:r>
      <w:r w:rsidR="00740143" w:rsidRPr="00203A0D">
        <w:rPr>
          <w:rFonts w:ascii="Arial" w:hAnsi="Arial" w:cs="David" w:hint="cs"/>
          <w:rtl/>
        </w:rPr>
        <w:t xml:space="preserve"> שהייתה גבוהה יותר מהעלייה בשווי </w:t>
      </w:r>
      <w:r w:rsidR="00AA52FC" w:rsidRPr="00203A0D">
        <w:rPr>
          <w:rFonts w:ascii="Arial" w:hAnsi="Arial" w:cs="David" w:hint="cs"/>
          <w:rtl/>
        </w:rPr>
        <w:t>הנכסים</w:t>
      </w:r>
      <w:r w:rsidR="00740143" w:rsidRPr="00203A0D">
        <w:rPr>
          <w:rFonts w:ascii="Arial" w:hAnsi="Arial" w:cs="David" w:hint="cs"/>
          <w:rtl/>
        </w:rPr>
        <w:t xml:space="preserve"> במכשירי חוב</w:t>
      </w:r>
      <w:r w:rsidR="00AA52FC" w:rsidRPr="00203A0D">
        <w:rPr>
          <w:rFonts w:ascii="Arial" w:hAnsi="Arial" w:cs="David" w:hint="cs"/>
          <w:rtl/>
        </w:rPr>
        <w:t>. כתוצאה</w:t>
      </w:r>
      <w:r w:rsidR="000A38BE">
        <w:rPr>
          <w:rFonts w:ascii="Arial" w:hAnsi="Arial" w:cs="David" w:hint="cs"/>
          <w:rtl/>
        </w:rPr>
        <w:t xml:space="preserve"> מכך</w:t>
      </w:r>
      <w:r w:rsidR="00AA52FC" w:rsidRPr="00203A0D">
        <w:rPr>
          <w:rFonts w:ascii="Arial" w:hAnsi="Arial" w:cs="David" w:hint="cs"/>
          <w:rtl/>
        </w:rPr>
        <w:t>,</w:t>
      </w:r>
      <w:r w:rsidRPr="00203A0D">
        <w:rPr>
          <w:rFonts w:ascii="Arial" w:hAnsi="Arial" w:cs="David" w:hint="cs"/>
          <w:rtl/>
        </w:rPr>
        <w:t xml:space="preserve"> </w:t>
      </w:r>
      <w:r w:rsidR="007F3887" w:rsidRPr="00203A0D">
        <w:rPr>
          <w:rFonts w:ascii="Arial" w:hAnsi="Arial" w:cs="David" w:hint="cs"/>
          <w:rtl/>
        </w:rPr>
        <w:t>חלה</w:t>
      </w:r>
      <w:r w:rsidR="00F23FA6" w:rsidRPr="00203A0D">
        <w:rPr>
          <w:rFonts w:ascii="Arial" w:hAnsi="Arial" w:cs="David" w:hint="cs"/>
          <w:rtl/>
        </w:rPr>
        <w:t xml:space="preserve"> ברביע </w:t>
      </w:r>
      <w:r w:rsidR="0034126E" w:rsidRPr="00203A0D">
        <w:rPr>
          <w:rFonts w:ascii="Arial" w:hAnsi="Arial" w:cs="David" w:hint="cs"/>
          <w:rtl/>
        </w:rPr>
        <w:t>ה</w:t>
      </w:r>
      <w:r w:rsidR="00CD5FF7" w:rsidRPr="00203A0D">
        <w:rPr>
          <w:rFonts w:ascii="Arial" w:hAnsi="Arial" w:cs="David" w:hint="cs"/>
          <w:rtl/>
        </w:rPr>
        <w:t>ש</w:t>
      </w:r>
      <w:r w:rsidR="0030435D" w:rsidRPr="00203A0D">
        <w:rPr>
          <w:rFonts w:ascii="Arial" w:hAnsi="Arial" w:cs="David" w:hint="cs"/>
          <w:rtl/>
        </w:rPr>
        <w:t>לישי</w:t>
      </w:r>
      <w:r w:rsidR="00F23FA6" w:rsidRPr="00203A0D">
        <w:rPr>
          <w:rFonts w:ascii="Arial" w:hAnsi="Arial" w:cs="David" w:hint="cs"/>
          <w:rtl/>
        </w:rPr>
        <w:t xml:space="preserve"> </w:t>
      </w:r>
      <w:r w:rsidR="004E0BC2" w:rsidRPr="00203A0D">
        <w:rPr>
          <w:rFonts w:ascii="Arial" w:hAnsi="Arial" w:cs="David" w:hint="cs"/>
          <w:rtl/>
        </w:rPr>
        <w:t>עלי</w:t>
      </w:r>
      <w:r w:rsidR="00F601E7" w:rsidRPr="00203A0D">
        <w:rPr>
          <w:rFonts w:ascii="Arial" w:hAnsi="Arial" w:cs="David" w:hint="cs"/>
          <w:rtl/>
        </w:rPr>
        <w:t>י</w:t>
      </w:r>
      <w:r w:rsidR="004E0BC2" w:rsidRPr="00203A0D">
        <w:rPr>
          <w:rFonts w:ascii="Arial" w:hAnsi="Arial" w:cs="David" w:hint="cs"/>
          <w:rtl/>
        </w:rPr>
        <w:t>ה</w:t>
      </w:r>
      <w:r w:rsidR="007F3887" w:rsidRPr="00203A0D">
        <w:rPr>
          <w:rFonts w:ascii="Arial" w:hAnsi="Arial" w:cs="David" w:hint="cs"/>
          <w:rtl/>
        </w:rPr>
        <w:t xml:space="preserve"> של </w:t>
      </w:r>
      <w:r w:rsidR="000A38BE">
        <w:rPr>
          <w:rFonts w:ascii="Arial" w:hAnsi="Arial" w:cs="David" w:hint="cs"/>
          <w:rtl/>
        </w:rPr>
        <w:t>0.7</w:t>
      </w:r>
      <w:r w:rsidR="0030435D" w:rsidRPr="00203A0D">
        <w:rPr>
          <w:rFonts w:ascii="Arial" w:hAnsi="Arial" w:cs="David" w:hint="cs"/>
          <w:rtl/>
        </w:rPr>
        <w:t xml:space="preserve"> </w:t>
      </w:r>
      <w:r w:rsidR="007F3887" w:rsidRPr="00203A0D">
        <w:rPr>
          <w:rFonts w:ascii="Arial" w:hAnsi="Arial" w:cs="David" w:hint="cs"/>
          <w:rtl/>
        </w:rPr>
        <w:t>נקוד</w:t>
      </w:r>
      <w:r w:rsidR="000A38BE">
        <w:rPr>
          <w:rFonts w:ascii="Arial" w:hAnsi="Arial" w:cs="David" w:hint="cs"/>
          <w:rtl/>
        </w:rPr>
        <w:t>ו</w:t>
      </w:r>
      <w:r w:rsidR="007F3887" w:rsidRPr="00203A0D">
        <w:rPr>
          <w:rFonts w:ascii="Arial" w:hAnsi="Arial" w:cs="David" w:hint="cs"/>
          <w:rtl/>
        </w:rPr>
        <w:t xml:space="preserve">ת האחוז </w:t>
      </w:r>
      <w:r w:rsidR="00F23FA6" w:rsidRPr="00203A0D">
        <w:rPr>
          <w:rFonts w:ascii="Arial" w:hAnsi="Arial" w:cs="David" w:hint="cs"/>
          <w:rtl/>
        </w:rPr>
        <w:t>במשקלם של מכשירי ההון בתיק הנכסים של תושבי ישראל בחו"ל</w:t>
      </w:r>
      <w:r w:rsidR="007F3887" w:rsidRPr="00203A0D">
        <w:rPr>
          <w:rFonts w:ascii="Arial" w:hAnsi="Arial" w:cs="David" w:hint="cs"/>
          <w:rtl/>
        </w:rPr>
        <w:t xml:space="preserve">, כך שבסוף </w:t>
      </w:r>
      <w:r w:rsidR="0030435D" w:rsidRPr="00203A0D">
        <w:rPr>
          <w:rFonts w:ascii="Arial" w:hAnsi="Arial" w:cs="David" w:hint="cs"/>
          <w:rtl/>
        </w:rPr>
        <w:t>ספטמבר</w:t>
      </w:r>
      <w:r w:rsidR="007F3887" w:rsidRPr="00203A0D">
        <w:rPr>
          <w:rFonts w:ascii="Arial" w:hAnsi="Arial" w:cs="David" w:hint="cs"/>
          <w:rtl/>
        </w:rPr>
        <w:t xml:space="preserve"> הם היו</w:t>
      </w:r>
      <w:r w:rsidR="00511669" w:rsidRPr="00203A0D">
        <w:rPr>
          <w:rFonts w:ascii="Arial" w:hAnsi="Arial" w:cs="David" w:hint="cs"/>
          <w:rtl/>
        </w:rPr>
        <w:t>ו</w:t>
      </w:r>
      <w:r w:rsidR="007F3887" w:rsidRPr="00203A0D">
        <w:rPr>
          <w:rFonts w:ascii="Arial" w:hAnsi="Arial" w:cs="David" w:hint="cs"/>
          <w:rtl/>
        </w:rPr>
        <w:t xml:space="preserve"> </w:t>
      </w:r>
      <w:r w:rsidR="000A38BE">
        <w:rPr>
          <w:rFonts w:ascii="Arial" w:hAnsi="Arial" w:cs="David" w:hint="cs"/>
          <w:rtl/>
        </w:rPr>
        <w:t>44.6</w:t>
      </w:r>
      <w:r w:rsidR="007F3887" w:rsidRPr="00203A0D">
        <w:rPr>
          <w:rFonts w:ascii="Arial" w:hAnsi="Arial" w:cs="David" w:hint="cs"/>
          <w:rtl/>
        </w:rPr>
        <w:t>% מסך התיק</w:t>
      </w:r>
      <w:r w:rsidR="00A329F1" w:rsidRPr="00203A0D">
        <w:rPr>
          <w:rFonts w:ascii="Arial" w:hAnsi="Arial" w:cs="David" w:hint="cs"/>
          <w:rtl/>
        </w:rPr>
        <w:t>.</w:t>
      </w:r>
      <w:r w:rsidR="00B236D1" w:rsidRPr="00203A0D">
        <w:rPr>
          <w:rFonts w:ascii="Arial" w:hAnsi="Arial" w:cs="David" w:hint="cs"/>
          <w:b/>
          <w:bCs/>
          <w:rtl/>
        </w:rPr>
        <w:t xml:space="preserve"> </w:t>
      </w:r>
    </w:p>
    <w:p w:rsidR="002216F2" w:rsidRPr="00A53CC2" w:rsidRDefault="002216F2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:rsidR="00890447" w:rsidRPr="00740143" w:rsidRDefault="00890447" w:rsidP="00890447">
      <w:pPr>
        <w:pStyle w:val="1"/>
        <w:rPr>
          <w:rtl/>
        </w:rPr>
      </w:pPr>
      <w:r w:rsidRPr="00740143">
        <w:rPr>
          <w:rStyle w:val="12"/>
          <w:rFonts w:hint="cs"/>
          <w:b/>
          <w:bCs/>
          <w:u w:val="none"/>
          <w:rtl/>
        </w:rPr>
        <w:t>יתרת ההתחייבויו</w:t>
      </w:r>
      <w:r w:rsidRPr="00740143">
        <w:rPr>
          <w:rStyle w:val="12"/>
          <w:rFonts w:hint="eastAsia"/>
          <w:b/>
          <w:bCs/>
          <w:u w:val="none"/>
          <w:rtl/>
        </w:rPr>
        <w:t>ת</w:t>
      </w:r>
      <w:r w:rsidRPr="00740143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740143">
        <w:rPr>
          <w:rFonts w:hint="cs"/>
          <w:rtl/>
        </w:rPr>
        <w:t xml:space="preserve"> </w:t>
      </w:r>
    </w:p>
    <w:p w:rsidR="00F544FE" w:rsidRPr="00F544FE" w:rsidRDefault="00F544FE" w:rsidP="00CB3D99">
      <w:pPr>
        <w:spacing w:line="360" w:lineRule="auto"/>
        <w:jc w:val="both"/>
        <w:rPr>
          <w:rFonts w:ascii="Arial" w:hAnsi="Arial" w:cs="David"/>
        </w:rPr>
      </w:pPr>
      <w:r w:rsidRPr="00F544FE">
        <w:rPr>
          <w:rFonts w:ascii="Arial" w:hAnsi="Arial" w:cs="David" w:hint="cs"/>
          <w:rtl/>
        </w:rPr>
        <w:t xml:space="preserve">יתרת ההתחייבויות של המשק לחו"ל </w:t>
      </w:r>
      <w:r w:rsidR="002626EC">
        <w:rPr>
          <w:rFonts w:ascii="Arial" w:hAnsi="Arial" w:cs="David" w:hint="cs"/>
          <w:rtl/>
        </w:rPr>
        <w:t>על</w:t>
      </w:r>
      <w:r w:rsidR="002367FB">
        <w:rPr>
          <w:rFonts w:ascii="Arial" w:hAnsi="Arial" w:cs="David" w:hint="cs"/>
          <w:rtl/>
        </w:rPr>
        <w:t>ת</w:t>
      </w:r>
      <w:r w:rsidR="002626EC">
        <w:rPr>
          <w:rFonts w:ascii="Arial" w:hAnsi="Arial" w:cs="David" w:hint="cs"/>
          <w:rtl/>
        </w:rPr>
        <w:t xml:space="preserve">ה </w:t>
      </w:r>
      <w:r w:rsidRPr="00F544FE">
        <w:rPr>
          <w:rFonts w:ascii="Arial" w:hAnsi="Arial" w:cs="David" w:hint="cs"/>
          <w:rtl/>
        </w:rPr>
        <w:t>במהלך הרביע ה</w:t>
      </w:r>
      <w:r w:rsidR="002626EC">
        <w:rPr>
          <w:rFonts w:ascii="Arial" w:hAnsi="Arial" w:cs="David" w:hint="cs"/>
          <w:rtl/>
        </w:rPr>
        <w:t>שליש</w:t>
      </w:r>
      <w:r w:rsidR="00CB3D99">
        <w:rPr>
          <w:rFonts w:ascii="Arial" w:hAnsi="Arial" w:cs="David" w:hint="cs"/>
          <w:rtl/>
        </w:rPr>
        <w:t>י</w:t>
      </w:r>
      <w:r w:rsidRPr="00F544FE">
        <w:rPr>
          <w:rFonts w:ascii="Arial" w:hAnsi="Arial" w:cs="David" w:hint="cs"/>
          <w:rtl/>
        </w:rPr>
        <w:t xml:space="preserve"> בכ-</w:t>
      </w:r>
      <w:r w:rsidR="002626EC">
        <w:rPr>
          <w:rFonts w:ascii="Arial" w:hAnsi="Arial" w:cs="David" w:hint="cs"/>
          <w:rtl/>
        </w:rPr>
        <w:t>0</w:t>
      </w:r>
      <w:r w:rsidRPr="00F544FE">
        <w:rPr>
          <w:rFonts w:ascii="Arial" w:hAnsi="Arial" w:cs="David" w:hint="cs"/>
          <w:rtl/>
        </w:rPr>
        <w:t>.3 מיליארדי דולרים (0.</w:t>
      </w:r>
      <w:r w:rsidR="002626EC">
        <w:rPr>
          <w:rFonts w:ascii="Arial" w:hAnsi="Arial" w:cs="David" w:hint="cs"/>
          <w:rtl/>
        </w:rPr>
        <w:t>1</w:t>
      </w:r>
      <w:r w:rsidRPr="00F544FE">
        <w:rPr>
          <w:rFonts w:ascii="Arial" w:hAnsi="Arial" w:cs="David" w:hint="cs"/>
          <w:rtl/>
        </w:rPr>
        <w:t xml:space="preserve">%) ועמדה בסוף </w:t>
      </w:r>
      <w:r w:rsidR="008B1CA7">
        <w:rPr>
          <w:rFonts w:ascii="Arial" w:hAnsi="Arial" w:cs="David" w:hint="cs"/>
          <w:rtl/>
        </w:rPr>
        <w:t>ספטמבר</w:t>
      </w:r>
      <w:r w:rsidRPr="00F544FE">
        <w:rPr>
          <w:rFonts w:ascii="Arial" w:hAnsi="Arial" w:cs="David" w:hint="cs"/>
          <w:rtl/>
        </w:rPr>
        <w:t xml:space="preserve"> על כ-</w:t>
      </w:r>
      <w:r w:rsidR="002626EC">
        <w:rPr>
          <w:rFonts w:ascii="Arial" w:hAnsi="Arial" w:cs="David" w:hint="cs"/>
          <w:rtl/>
        </w:rPr>
        <w:t>320</w:t>
      </w:r>
      <w:r w:rsidRPr="00F544FE">
        <w:rPr>
          <w:rFonts w:ascii="Arial" w:hAnsi="Arial" w:cs="David" w:hint="cs"/>
          <w:rtl/>
        </w:rPr>
        <w:t xml:space="preserve"> מיליארדים. עיקר </w:t>
      </w:r>
      <w:r w:rsidR="00CB3D99">
        <w:rPr>
          <w:rFonts w:ascii="Arial" w:hAnsi="Arial" w:cs="David" w:hint="cs"/>
          <w:rtl/>
        </w:rPr>
        <w:t>ה</w:t>
      </w:r>
      <w:r w:rsidR="002367FB">
        <w:rPr>
          <w:rFonts w:ascii="Arial" w:hAnsi="Arial" w:cs="David" w:hint="cs"/>
          <w:rtl/>
        </w:rPr>
        <w:t>עלי</w:t>
      </w:r>
      <w:r w:rsidR="00CB3D99">
        <w:rPr>
          <w:rFonts w:ascii="Arial" w:hAnsi="Arial" w:cs="David" w:hint="cs"/>
          <w:rtl/>
        </w:rPr>
        <w:t>י</w:t>
      </w:r>
      <w:r w:rsidR="002367FB">
        <w:rPr>
          <w:rFonts w:ascii="Arial" w:hAnsi="Arial" w:cs="David" w:hint="cs"/>
          <w:rtl/>
        </w:rPr>
        <w:t>ה</w:t>
      </w:r>
      <w:r w:rsidRPr="00F544FE">
        <w:rPr>
          <w:rFonts w:ascii="Arial" w:hAnsi="Arial" w:cs="David" w:hint="cs"/>
          <w:rtl/>
        </w:rPr>
        <w:t xml:space="preserve"> נבעה</w:t>
      </w:r>
      <w:r w:rsidR="00624014">
        <w:rPr>
          <w:rFonts w:ascii="Arial" w:hAnsi="Arial" w:cs="David" w:hint="cs"/>
          <w:rtl/>
        </w:rPr>
        <w:t xml:space="preserve"> </w:t>
      </w:r>
      <w:r w:rsidR="002367FB">
        <w:rPr>
          <w:rFonts w:ascii="Arial" w:hAnsi="Arial" w:cs="David" w:hint="cs"/>
          <w:rtl/>
        </w:rPr>
        <w:t>מ</w:t>
      </w:r>
      <w:r w:rsidR="00CB3D99">
        <w:rPr>
          <w:rFonts w:ascii="Arial" w:hAnsi="Arial" w:cs="David" w:hint="cs"/>
          <w:rtl/>
        </w:rPr>
        <w:t xml:space="preserve">זרם השקעות </w:t>
      </w:r>
      <w:r w:rsidRPr="00F544FE">
        <w:rPr>
          <w:rFonts w:ascii="Arial" w:hAnsi="Arial" w:cs="David" w:hint="cs"/>
          <w:rtl/>
        </w:rPr>
        <w:t xml:space="preserve">ישירות של תושבי חוץ בישראל </w:t>
      </w:r>
      <w:r w:rsidR="00624014">
        <w:rPr>
          <w:rFonts w:ascii="Arial" w:hAnsi="Arial" w:cs="David" w:hint="cs"/>
          <w:rtl/>
        </w:rPr>
        <w:t>ומהשקעות</w:t>
      </w:r>
      <w:r w:rsidR="00CB3D99">
        <w:rPr>
          <w:rFonts w:ascii="Arial" w:hAnsi="Arial" w:cs="David" w:hint="cs"/>
          <w:rtl/>
        </w:rPr>
        <w:t xml:space="preserve"> בתיק לניירות ערך (בעיקר באג"ח</w:t>
      </w:r>
      <w:r w:rsidR="00624014">
        <w:rPr>
          <w:rFonts w:ascii="Arial" w:hAnsi="Arial" w:cs="David" w:hint="cs"/>
          <w:rtl/>
        </w:rPr>
        <w:t>). ה</w:t>
      </w:r>
      <w:r w:rsidR="00CB3D99">
        <w:rPr>
          <w:rFonts w:ascii="Arial" w:hAnsi="Arial" w:cs="David" w:hint="cs"/>
          <w:rtl/>
        </w:rPr>
        <w:t>שקעות אלו קוזזו בחלקן</w:t>
      </w:r>
      <w:r w:rsidR="00624014">
        <w:rPr>
          <w:rFonts w:ascii="Arial" w:hAnsi="Arial" w:cs="David" w:hint="cs"/>
          <w:rtl/>
        </w:rPr>
        <w:t xml:space="preserve"> ע"י יריד</w:t>
      </w:r>
      <w:r w:rsidR="00CB3D99">
        <w:rPr>
          <w:rFonts w:ascii="Arial" w:hAnsi="Arial" w:cs="David" w:hint="cs"/>
          <w:rtl/>
        </w:rPr>
        <w:t>ו</w:t>
      </w:r>
      <w:r w:rsidR="00624014">
        <w:rPr>
          <w:rFonts w:ascii="Arial" w:hAnsi="Arial" w:cs="David" w:hint="cs"/>
          <w:rtl/>
        </w:rPr>
        <w:t xml:space="preserve">ת </w:t>
      </w:r>
      <w:r w:rsidR="00CB3D99">
        <w:rPr>
          <w:rFonts w:ascii="Arial" w:hAnsi="Arial" w:cs="David" w:hint="cs"/>
          <w:rtl/>
        </w:rPr>
        <w:t>במחירי</w:t>
      </w:r>
      <w:r w:rsidR="00624014">
        <w:rPr>
          <w:rFonts w:ascii="Arial" w:hAnsi="Arial" w:cs="David" w:hint="cs"/>
          <w:rtl/>
        </w:rPr>
        <w:t xml:space="preserve"> המניות </w:t>
      </w:r>
      <w:r w:rsidR="00CB3D99">
        <w:rPr>
          <w:rFonts w:ascii="Arial" w:hAnsi="Arial" w:cs="David" w:hint="cs"/>
          <w:rtl/>
        </w:rPr>
        <w:t>ה</w:t>
      </w:r>
      <w:r w:rsidR="00624014">
        <w:rPr>
          <w:rFonts w:ascii="Arial" w:hAnsi="Arial" w:cs="David" w:hint="cs"/>
          <w:rtl/>
        </w:rPr>
        <w:t>ישראליות מוחזקות על ידי תושבי חוץ</w:t>
      </w:r>
      <w:r w:rsidR="00CB3D99" w:rsidRPr="00CB3D99">
        <w:rPr>
          <w:rFonts w:ascii="Arial" w:hAnsi="Arial" w:cs="David" w:hint="cs"/>
          <w:rtl/>
        </w:rPr>
        <w:t xml:space="preserve"> </w:t>
      </w:r>
      <w:r w:rsidR="00CB3D99">
        <w:rPr>
          <w:rFonts w:ascii="Arial" w:hAnsi="Arial" w:cs="David" w:hint="cs"/>
          <w:rtl/>
        </w:rPr>
        <w:t>וכן, על ידי מימושים נטו בהשקעות אחרות</w:t>
      </w:r>
      <w:r w:rsidR="00624014">
        <w:rPr>
          <w:rFonts w:ascii="Arial" w:hAnsi="Arial" w:cs="David" w:hint="cs"/>
          <w:rtl/>
        </w:rPr>
        <w:t>.</w:t>
      </w:r>
      <w:r w:rsidRPr="00F544FE">
        <w:rPr>
          <w:rFonts w:ascii="Arial" w:hAnsi="Arial" w:cs="David" w:hint="cs"/>
          <w:rtl/>
        </w:rPr>
        <w:t xml:space="preserve"> </w:t>
      </w:r>
    </w:p>
    <w:p w:rsidR="00F544FE" w:rsidRPr="00F544FE" w:rsidRDefault="00F544FE" w:rsidP="00FA6806">
      <w:pPr>
        <w:spacing w:line="360" w:lineRule="auto"/>
        <w:jc w:val="both"/>
        <w:rPr>
          <w:rFonts w:ascii="Arial" w:hAnsi="Arial" w:cs="David"/>
        </w:rPr>
      </w:pPr>
    </w:p>
    <w:p w:rsidR="000435BB" w:rsidRPr="00A14FF9" w:rsidRDefault="00890447" w:rsidP="00562DE8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A14FF9">
        <w:rPr>
          <w:rStyle w:val="20"/>
          <w:rFonts w:hint="cs"/>
          <w:b/>
          <w:bCs/>
          <w:rtl/>
        </w:rPr>
        <w:t>שווי ההשקעות הישירות במשק</w:t>
      </w:r>
      <w:r w:rsidRPr="00A14FF9">
        <w:rPr>
          <w:rFonts w:ascii="Arial" w:hAnsi="Arial" w:cs="David" w:hint="cs"/>
          <w:b/>
          <w:bCs/>
          <w:rtl/>
        </w:rPr>
        <w:t xml:space="preserve"> </w:t>
      </w:r>
      <w:r w:rsidRPr="00A14FF9">
        <w:rPr>
          <w:rFonts w:ascii="Arial" w:hAnsi="Arial" w:cs="David" w:hint="cs"/>
          <w:rtl/>
        </w:rPr>
        <w:t>עלה</w:t>
      </w:r>
      <w:r w:rsidRPr="00A14FF9">
        <w:rPr>
          <w:rFonts w:ascii="Arial" w:hAnsi="Arial" w:cs="David" w:hint="cs"/>
          <w:b/>
          <w:bCs/>
          <w:rtl/>
        </w:rPr>
        <w:t xml:space="preserve"> </w:t>
      </w:r>
      <w:r w:rsidRPr="00A14FF9">
        <w:rPr>
          <w:rFonts w:ascii="Arial" w:hAnsi="Arial" w:cs="David" w:hint="cs"/>
          <w:rtl/>
        </w:rPr>
        <w:t xml:space="preserve">במהלך הרביע </w:t>
      </w:r>
      <w:r w:rsidR="00C0049C" w:rsidRPr="00A14FF9">
        <w:rPr>
          <w:rFonts w:ascii="Arial" w:hAnsi="Arial" w:cs="David" w:hint="cs"/>
          <w:rtl/>
        </w:rPr>
        <w:t>ה</w:t>
      </w:r>
      <w:r w:rsidR="002626EC">
        <w:rPr>
          <w:rFonts w:ascii="Arial" w:hAnsi="Arial" w:cs="David" w:hint="cs"/>
          <w:rtl/>
        </w:rPr>
        <w:t>שלישי</w:t>
      </w:r>
      <w:r w:rsidRPr="00A14FF9">
        <w:rPr>
          <w:rFonts w:ascii="Arial" w:hAnsi="Arial" w:cs="David" w:hint="cs"/>
          <w:rtl/>
        </w:rPr>
        <w:t xml:space="preserve"> </w:t>
      </w:r>
      <w:r w:rsidR="0046284A" w:rsidRPr="00A14FF9">
        <w:rPr>
          <w:rFonts w:ascii="Arial" w:hAnsi="Arial" w:cs="David" w:hint="cs"/>
          <w:rtl/>
        </w:rPr>
        <w:t>בכ</w:t>
      </w:r>
      <w:r w:rsidR="0034126E" w:rsidRPr="00A14FF9">
        <w:rPr>
          <w:rFonts w:ascii="Arial" w:hAnsi="Arial" w:cs="David" w:hint="cs"/>
          <w:rtl/>
        </w:rPr>
        <w:t>-</w:t>
      </w:r>
      <w:r w:rsidR="002626EC">
        <w:rPr>
          <w:rFonts w:ascii="Arial" w:hAnsi="Arial" w:cs="David" w:hint="cs"/>
          <w:rtl/>
        </w:rPr>
        <w:t>3</w:t>
      </w:r>
      <w:r w:rsidR="00A14FF9" w:rsidRPr="00A14FF9">
        <w:rPr>
          <w:rFonts w:ascii="Arial" w:hAnsi="Arial" w:cs="David" w:hint="cs"/>
          <w:rtl/>
        </w:rPr>
        <w:t>.6</w:t>
      </w:r>
      <w:r w:rsidRPr="00A14FF9">
        <w:rPr>
          <w:rFonts w:ascii="Arial" w:hAnsi="Arial" w:cs="David" w:hint="cs"/>
          <w:rtl/>
        </w:rPr>
        <w:t xml:space="preserve"> מיליארדי דולרים (</w:t>
      </w:r>
      <w:r w:rsidR="002626EC">
        <w:rPr>
          <w:rFonts w:ascii="Arial" w:hAnsi="Arial" w:cs="David" w:hint="cs"/>
          <w:rtl/>
        </w:rPr>
        <w:t>2</w:t>
      </w:r>
      <w:r w:rsidR="009D0C43" w:rsidRPr="00A14FF9">
        <w:rPr>
          <w:rFonts w:ascii="Arial" w:hAnsi="Arial" w:cs="David" w:hint="cs"/>
          <w:rtl/>
        </w:rPr>
        <w:t>.</w:t>
      </w:r>
      <w:r w:rsidR="002626EC">
        <w:rPr>
          <w:rFonts w:ascii="Arial" w:hAnsi="Arial" w:cs="David" w:hint="cs"/>
          <w:rtl/>
        </w:rPr>
        <w:t>3</w:t>
      </w:r>
      <w:r w:rsidRPr="00A14FF9">
        <w:rPr>
          <w:rFonts w:ascii="Arial" w:hAnsi="Arial" w:cs="David" w:hint="cs"/>
          <w:rtl/>
        </w:rPr>
        <w:t xml:space="preserve">%). העלייה נבעה </w:t>
      </w:r>
      <w:r w:rsidR="009D0C43" w:rsidRPr="00A14FF9">
        <w:rPr>
          <w:rFonts w:ascii="Arial" w:hAnsi="Arial" w:cs="David" w:hint="cs"/>
          <w:rtl/>
        </w:rPr>
        <w:t xml:space="preserve">בעיקר </w:t>
      </w:r>
      <w:r w:rsidR="0046284A" w:rsidRPr="00A14FF9">
        <w:rPr>
          <w:rFonts w:ascii="Arial" w:hAnsi="Arial" w:cs="David" w:hint="cs"/>
          <w:rtl/>
        </w:rPr>
        <w:t>מ</w:t>
      </w:r>
      <w:r w:rsidR="0018795A" w:rsidRPr="00A14FF9">
        <w:rPr>
          <w:rFonts w:ascii="Arial" w:hAnsi="Arial" w:cs="David" w:hint="cs"/>
          <w:rtl/>
        </w:rPr>
        <w:t xml:space="preserve">זרם </w:t>
      </w:r>
      <w:r w:rsidRPr="00A14FF9">
        <w:rPr>
          <w:rFonts w:ascii="Arial" w:hAnsi="Arial" w:cs="David" w:hint="cs"/>
          <w:rtl/>
        </w:rPr>
        <w:t xml:space="preserve">השקעות ישירות נטו </w:t>
      </w:r>
      <w:r w:rsidR="0046284A" w:rsidRPr="00A14FF9">
        <w:rPr>
          <w:rFonts w:ascii="Arial" w:hAnsi="Arial" w:cs="David" w:hint="cs"/>
          <w:rtl/>
        </w:rPr>
        <w:t xml:space="preserve">של תושבי חוץ </w:t>
      </w:r>
      <w:r w:rsidR="006301E0" w:rsidRPr="00A14FF9">
        <w:rPr>
          <w:rFonts w:ascii="Arial" w:hAnsi="Arial" w:cs="David" w:hint="cs"/>
          <w:rtl/>
        </w:rPr>
        <w:t>בהון מניות ישראליות</w:t>
      </w:r>
      <w:r w:rsidR="00A14FF9" w:rsidRPr="00A14FF9">
        <w:rPr>
          <w:rFonts w:ascii="Arial" w:hAnsi="Arial" w:cs="David" w:hint="cs"/>
          <w:rtl/>
        </w:rPr>
        <w:t xml:space="preserve"> בהיקף של כ-3.</w:t>
      </w:r>
      <w:r w:rsidR="00562DE8">
        <w:rPr>
          <w:rFonts w:ascii="Arial" w:hAnsi="Arial" w:cs="David" w:hint="cs"/>
          <w:rtl/>
        </w:rPr>
        <w:t>6</w:t>
      </w:r>
      <w:r w:rsidR="002626EC">
        <w:rPr>
          <w:rFonts w:ascii="Arial" w:hAnsi="Arial" w:cs="David" w:hint="cs"/>
          <w:rtl/>
        </w:rPr>
        <w:t xml:space="preserve"> מיליארדים</w:t>
      </w:r>
      <w:r w:rsidR="00562DE8">
        <w:rPr>
          <w:rFonts w:ascii="Arial" w:hAnsi="Arial" w:cs="David" w:hint="cs"/>
          <w:rtl/>
        </w:rPr>
        <w:t>.</w:t>
      </w:r>
      <w:r w:rsidR="006301E0" w:rsidRPr="00A14FF9">
        <w:rPr>
          <w:rFonts w:ascii="Arial" w:hAnsi="Arial" w:cs="David" w:hint="cs"/>
          <w:rtl/>
        </w:rPr>
        <w:t xml:space="preserve"> </w:t>
      </w:r>
    </w:p>
    <w:p w:rsidR="00FA5AFC" w:rsidRPr="00716555" w:rsidRDefault="00695D66" w:rsidP="00716555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005A1C">
        <w:rPr>
          <w:rStyle w:val="20"/>
          <w:rFonts w:hint="cs"/>
          <w:b/>
          <w:bCs/>
          <w:rtl/>
        </w:rPr>
        <w:lastRenderedPageBreak/>
        <w:t xml:space="preserve">שווי </w:t>
      </w:r>
      <w:r w:rsidR="003624A8" w:rsidRPr="00005A1C">
        <w:rPr>
          <w:rStyle w:val="20"/>
          <w:rFonts w:hint="cs"/>
          <w:b/>
          <w:bCs/>
          <w:rtl/>
        </w:rPr>
        <w:t xml:space="preserve">תיק ניירות הערך </w:t>
      </w:r>
      <w:r w:rsidR="00CF1210" w:rsidRPr="00005A1C">
        <w:rPr>
          <w:rFonts w:ascii="Arial" w:hAnsi="Arial" w:cs="David" w:hint="cs"/>
          <w:rtl/>
        </w:rPr>
        <w:t>ירד</w:t>
      </w:r>
      <w:r w:rsidRPr="00005A1C">
        <w:rPr>
          <w:rFonts w:ascii="Arial" w:hAnsi="Arial" w:cs="David" w:hint="cs"/>
          <w:b/>
          <w:bCs/>
          <w:rtl/>
        </w:rPr>
        <w:t xml:space="preserve"> </w:t>
      </w:r>
      <w:r w:rsidRPr="00005A1C">
        <w:rPr>
          <w:rFonts w:ascii="Arial" w:hAnsi="Arial" w:cs="David" w:hint="cs"/>
          <w:rtl/>
        </w:rPr>
        <w:t xml:space="preserve">במהלך הרביע </w:t>
      </w:r>
      <w:r w:rsidR="0034126E" w:rsidRPr="00005A1C">
        <w:rPr>
          <w:rFonts w:ascii="Arial" w:hAnsi="Arial" w:cs="David" w:hint="cs"/>
          <w:rtl/>
        </w:rPr>
        <w:t>ה</w:t>
      </w:r>
      <w:r w:rsidR="00CD5FF7" w:rsidRPr="00005A1C">
        <w:rPr>
          <w:rFonts w:ascii="Arial" w:hAnsi="Arial" w:cs="David" w:hint="cs"/>
          <w:rtl/>
        </w:rPr>
        <w:t>ש</w:t>
      </w:r>
      <w:r w:rsidR="00C32C39" w:rsidRPr="00005A1C">
        <w:rPr>
          <w:rFonts w:ascii="Arial" w:hAnsi="Arial" w:cs="David" w:hint="cs"/>
          <w:rtl/>
        </w:rPr>
        <w:t>לישי</w:t>
      </w:r>
      <w:r w:rsidR="009D0C43" w:rsidRPr="00005A1C">
        <w:rPr>
          <w:rFonts w:ascii="Arial" w:hAnsi="Arial" w:cs="David" w:hint="cs"/>
          <w:rtl/>
        </w:rPr>
        <w:t xml:space="preserve"> ב</w:t>
      </w:r>
      <w:r w:rsidRPr="00005A1C">
        <w:rPr>
          <w:rFonts w:ascii="Arial" w:hAnsi="Arial" w:cs="David" w:hint="cs"/>
          <w:rtl/>
        </w:rPr>
        <w:t>כ-</w:t>
      </w:r>
      <w:r w:rsidR="00562DE8">
        <w:rPr>
          <w:rFonts w:ascii="Arial" w:hAnsi="Arial" w:cs="David" w:hint="cs"/>
          <w:rtl/>
        </w:rPr>
        <w:t>1.8</w:t>
      </w:r>
      <w:r w:rsidRPr="00005A1C">
        <w:rPr>
          <w:rFonts w:ascii="Arial" w:hAnsi="Arial" w:cs="David" w:hint="cs"/>
          <w:rtl/>
        </w:rPr>
        <w:t xml:space="preserve"> מיליארדי דולרים (</w:t>
      </w:r>
      <w:r w:rsidR="00C32C39" w:rsidRPr="00005A1C">
        <w:rPr>
          <w:rFonts w:ascii="Arial" w:hAnsi="Arial" w:cs="David" w:hint="cs"/>
          <w:rtl/>
        </w:rPr>
        <w:t>1</w:t>
      </w:r>
      <w:r w:rsidR="00CF1210" w:rsidRPr="00005A1C">
        <w:rPr>
          <w:rFonts w:ascii="Arial" w:hAnsi="Arial" w:cs="David" w:hint="cs"/>
          <w:rtl/>
        </w:rPr>
        <w:t>.</w:t>
      </w:r>
      <w:r w:rsidR="00C32C39" w:rsidRPr="00005A1C">
        <w:rPr>
          <w:rFonts w:ascii="Arial" w:hAnsi="Arial" w:cs="David" w:hint="cs"/>
          <w:rtl/>
        </w:rPr>
        <w:t>6</w:t>
      </w:r>
      <w:r w:rsidR="009645C4" w:rsidRPr="00005A1C">
        <w:rPr>
          <w:rFonts w:ascii="Arial" w:hAnsi="Arial" w:cs="David" w:hint="cs"/>
          <w:rtl/>
        </w:rPr>
        <w:t>%</w:t>
      </w:r>
      <w:r w:rsidR="00562DE8">
        <w:rPr>
          <w:rFonts w:ascii="Arial" w:hAnsi="Arial" w:cs="David" w:hint="cs"/>
          <w:rtl/>
        </w:rPr>
        <w:t>-</w:t>
      </w:r>
      <w:r w:rsidR="009645C4" w:rsidRPr="00005A1C">
        <w:rPr>
          <w:rFonts w:ascii="Arial" w:hAnsi="Arial" w:cs="David" w:hint="cs"/>
          <w:rtl/>
        </w:rPr>
        <w:t>)</w:t>
      </w:r>
      <w:r w:rsidR="00221960" w:rsidRPr="00005A1C">
        <w:rPr>
          <w:rFonts w:ascii="Arial" w:hAnsi="Arial" w:cs="David" w:hint="cs"/>
          <w:rtl/>
        </w:rPr>
        <w:t>.</w:t>
      </w:r>
      <w:r w:rsidR="009645C4" w:rsidRPr="00005A1C">
        <w:rPr>
          <w:rFonts w:ascii="Arial" w:hAnsi="Arial" w:cs="David" w:hint="cs"/>
          <w:rtl/>
        </w:rPr>
        <w:t xml:space="preserve"> </w:t>
      </w:r>
      <w:r w:rsidR="00562DE8">
        <w:rPr>
          <w:rFonts w:ascii="Arial" w:hAnsi="Arial" w:cs="David" w:hint="cs"/>
          <w:rtl/>
        </w:rPr>
        <w:t xml:space="preserve">בעיקר </w:t>
      </w:r>
      <w:r w:rsidR="008F6EC3" w:rsidRPr="00005A1C">
        <w:rPr>
          <w:rFonts w:ascii="Arial" w:hAnsi="Arial" w:cs="David" w:hint="cs"/>
          <w:rtl/>
        </w:rPr>
        <w:t xml:space="preserve">כתוצאה </w:t>
      </w:r>
      <w:r w:rsidR="00CF1210" w:rsidRPr="00005A1C">
        <w:rPr>
          <w:rFonts w:ascii="Arial" w:hAnsi="Arial" w:cs="David" w:hint="cs"/>
          <w:rtl/>
        </w:rPr>
        <w:t>מירידה</w:t>
      </w:r>
      <w:r w:rsidR="009D0C43" w:rsidRPr="00005A1C">
        <w:rPr>
          <w:rFonts w:ascii="Arial" w:hAnsi="Arial" w:cs="David" w:hint="cs"/>
          <w:rtl/>
        </w:rPr>
        <w:t xml:space="preserve"> </w:t>
      </w:r>
      <w:r w:rsidR="00FA5AFC" w:rsidRPr="00005A1C">
        <w:rPr>
          <w:rFonts w:ascii="Arial" w:hAnsi="Arial" w:cs="David" w:hint="cs"/>
          <w:rtl/>
        </w:rPr>
        <w:t>במחירי המניות הישראליות</w:t>
      </w:r>
      <w:r w:rsidR="00562DE8">
        <w:rPr>
          <w:rFonts w:ascii="Arial" w:hAnsi="Arial" w:cs="David" w:hint="cs"/>
          <w:rtl/>
        </w:rPr>
        <w:t xml:space="preserve"> המוחזקות בתיק,</w:t>
      </w:r>
      <w:r w:rsidR="00FA5AFC" w:rsidRPr="00005A1C">
        <w:rPr>
          <w:rFonts w:ascii="Arial" w:hAnsi="Arial" w:cs="David" w:hint="cs"/>
          <w:rtl/>
        </w:rPr>
        <w:t xml:space="preserve"> בהיקף של כ- </w:t>
      </w:r>
      <w:r w:rsidR="00005A1C" w:rsidRPr="00005A1C">
        <w:rPr>
          <w:rFonts w:ascii="Arial" w:hAnsi="Arial" w:cs="David" w:hint="cs"/>
          <w:rtl/>
        </w:rPr>
        <w:t>3</w:t>
      </w:r>
      <w:r w:rsidR="00CF1210" w:rsidRPr="00005A1C">
        <w:rPr>
          <w:rFonts w:ascii="Arial" w:hAnsi="Arial" w:cs="David" w:hint="cs"/>
          <w:rtl/>
        </w:rPr>
        <w:t>.</w:t>
      </w:r>
      <w:r w:rsidR="00005A1C" w:rsidRPr="00005A1C">
        <w:rPr>
          <w:rFonts w:ascii="Arial" w:hAnsi="Arial" w:cs="David" w:hint="cs"/>
          <w:rtl/>
        </w:rPr>
        <w:t>6</w:t>
      </w:r>
      <w:r w:rsidR="00FA5AFC" w:rsidRPr="00005A1C">
        <w:rPr>
          <w:rFonts w:ascii="Arial" w:hAnsi="Arial" w:cs="David" w:hint="cs"/>
          <w:rtl/>
        </w:rPr>
        <w:t xml:space="preserve"> מיליארדי דולרים</w:t>
      </w:r>
      <w:r w:rsidR="00562DE8">
        <w:rPr>
          <w:rFonts w:ascii="Arial" w:hAnsi="Arial" w:cs="David" w:hint="cs"/>
          <w:rtl/>
        </w:rPr>
        <w:t xml:space="preserve"> (4.7%- מיתרת ההשקעות הפיננסיות במניות ישראליות)</w:t>
      </w:r>
      <w:r w:rsidR="00AE1926" w:rsidRPr="00005A1C">
        <w:rPr>
          <w:rFonts w:ascii="Arial" w:hAnsi="Arial" w:cs="David" w:hint="cs"/>
          <w:rtl/>
        </w:rPr>
        <w:t>.</w:t>
      </w:r>
      <w:r w:rsidR="00B71D86" w:rsidRPr="00005A1C">
        <w:rPr>
          <w:rFonts w:ascii="Arial" w:hAnsi="Arial" w:cs="David" w:hint="cs"/>
          <w:rtl/>
        </w:rPr>
        <w:t xml:space="preserve"> </w:t>
      </w:r>
      <w:r w:rsidR="00716555" w:rsidRPr="00716555">
        <w:rPr>
          <w:rFonts w:ascii="Arial" w:hAnsi="Arial" w:cs="David" w:hint="cs"/>
          <w:rtl/>
        </w:rPr>
        <w:t>מנגד</w:t>
      </w:r>
      <w:r w:rsidR="00CF1210" w:rsidRPr="00716555">
        <w:rPr>
          <w:rFonts w:ascii="Arial" w:hAnsi="Arial" w:cs="David" w:hint="cs"/>
          <w:rtl/>
        </w:rPr>
        <w:t xml:space="preserve">, נרשמו </w:t>
      </w:r>
      <w:r w:rsidR="00005A1C" w:rsidRPr="00716555">
        <w:rPr>
          <w:rFonts w:ascii="Arial" w:hAnsi="Arial" w:cs="David" w:hint="cs"/>
          <w:rtl/>
        </w:rPr>
        <w:t>השקעות</w:t>
      </w:r>
      <w:r w:rsidR="00AE1926" w:rsidRPr="00716555">
        <w:rPr>
          <w:rFonts w:ascii="Arial" w:hAnsi="Arial" w:cs="David" w:hint="cs"/>
          <w:rtl/>
        </w:rPr>
        <w:t xml:space="preserve"> נטו של תושבי חוץ באג"ח ישראליות בסך של</w:t>
      </w:r>
      <w:r w:rsidR="00CF1210" w:rsidRPr="00716555">
        <w:rPr>
          <w:rFonts w:ascii="Arial" w:hAnsi="Arial" w:cs="David" w:hint="cs"/>
          <w:rtl/>
        </w:rPr>
        <w:t xml:space="preserve"> כ-</w:t>
      </w:r>
      <w:r w:rsidR="00AE1926" w:rsidRPr="00716555">
        <w:rPr>
          <w:rFonts w:ascii="Arial" w:hAnsi="Arial" w:cs="David" w:hint="cs"/>
          <w:rtl/>
        </w:rPr>
        <w:t xml:space="preserve"> </w:t>
      </w:r>
      <w:r w:rsidR="00005A1C" w:rsidRPr="00716555">
        <w:rPr>
          <w:rFonts w:ascii="Arial" w:hAnsi="Arial" w:cs="David" w:hint="cs"/>
          <w:rtl/>
        </w:rPr>
        <w:t>2</w:t>
      </w:r>
      <w:r w:rsidR="00CF1210" w:rsidRPr="00716555">
        <w:rPr>
          <w:rFonts w:ascii="Arial" w:hAnsi="Arial" w:cs="David" w:hint="cs"/>
          <w:rtl/>
        </w:rPr>
        <w:t>.</w:t>
      </w:r>
      <w:r w:rsidR="00005A1C" w:rsidRPr="00716555">
        <w:rPr>
          <w:rFonts w:ascii="Arial" w:hAnsi="Arial" w:cs="David" w:hint="cs"/>
          <w:rtl/>
        </w:rPr>
        <w:t>2</w:t>
      </w:r>
      <w:r w:rsidR="00CF1210" w:rsidRPr="00716555">
        <w:rPr>
          <w:rFonts w:ascii="Arial" w:hAnsi="Arial" w:cs="David" w:hint="cs"/>
          <w:rtl/>
        </w:rPr>
        <w:t xml:space="preserve"> מיליארדי דולר</w:t>
      </w:r>
      <w:r w:rsidR="00716555">
        <w:rPr>
          <w:rFonts w:ascii="Arial" w:hAnsi="Arial" w:cs="David" w:hint="cs"/>
          <w:rtl/>
        </w:rPr>
        <w:t xml:space="preserve"> (6.2% מיתרת ההשקעות הפיננסיות באג"ח)</w:t>
      </w:r>
      <w:r w:rsidR="00AE1926" w:rsidRPr="00716555">
        <w:rPr>
          <w:rFonts w:ascii="Arial" w:hAnsi="Arial" w:cs="David" w:hint="cs"/>
          <w:rtl/>
        </w:rPr>
        <w:t>.</w:t>
      </w:r>
      <w:r w:rsidR="00FA5AFC" w:rsidRPr="00716555">
        <w:rPr>
          <w:rFonts w:ascii="Arial" w:hAnsi="Arial" w:cs="David" w:hint="cs"/>
          <w:rtl/>
        </w:rPr>
        <w:t xml:space="preserve"> </w:t>
      </w:r>
    </w:p>
    <w:p w:rsidR="002216F2" w:rsidRDefault="002216F2" w:rsidP="002C414A">
      <w:pPr>
        <w:pStyle w:val="af7"/>
        <w:numPr>
          <w:ilvl w:val="0"/>
          <w:numId w:val="17"/>
        </w:numPr>
        <w:spacing w:before="240" w:line="360" w:lineRule="auto"/>
        <w:jc w:val="both"/>
        <w:rPr>
          <w:rFonts w:ascii="Arial" w:hAnsi="Arial" w:cs="David"/>
        </w:rPr>
      </w:pPr>
      <w:r w:rsidRPr="008C765A">
        <w:rPr>
          <w:rStyle w:val="20"/>
          <w:rFonts w:hint="cs"/>
          <w:b/>
          <w:bCs/>
          <w:rtl/>
        </w:rPr>
        <w:t>שווי התיק של תושבי חוץ בבורסה לני"ע בתל-אביב</w:t>
      </w:r>
      <w:r w:rsidRPr="008C765A">
        <w:rPr>
          <w:rFonts w:ascii="Arial" w:hAnsi="Arial" w:cs="David" w:hint="cs"/>
          <w:b/>
          <w:bCs/>
          <w:rtl/>
        </w:rPr>
        <w:t xml:space="preserve">, </w:t>
      </w:r>
      <w:r w:rsidRPr="008C765A">
        <w:rPr>
          <w:rFonts w:ascii="Arial" w:hAnsi="Arial" w:cs="David" w:hint="cs"/>
          <w:rtl/>
        </w:rPr>
        <w:t>המהווה חלק מיתרת ההשקעות של תושבי חוץ</w:t>
      </w:r>
      <w:r w:rsidRPr="008C765A">
        <w:rPr>
          <w:rFonts w:ascii="Arial" w:hAnsi="Arial" w:cs="David" w:hint="cs"/>
          <w:b/>
          <w:bCs/>
          <w:rtl/>
        </w:rPr>
        <w:t xml:space="preserve"> </w:t>
      </w:r>
      <w:r w:rsidRPr="008C765A">
        <w:rPr>
          <w:rFonts w:ascii="Arial" w:hAnsi="Arial" w:cs="David" w:hint="cs"/>
          <w:rtl/>
        </w:rPr>
        <w:t xml:space="preserve">במשק, </w:t>
      </w:r>
      <w:r w:rsidR="002D7D8A">
        <w:rPr>
          <w:rFonts w:ascii="Arial" w:hAnsi="Arial" w:cs="David" w:hint="cs"/>
          <w:rtl/>
        </w:rPr>
        <w:t>עלה</w:t>
      </w:r>
      <w:r w:rsidR="000761AC" w:rsidRPr="008C765A">
        <w:rPr>
          <w:rFonts w:ascii="Arial" w:hAnsi="Arial" w:cs="David" w:hint="cs"/>
          <w:rtl/>
        </w:rPr>
        <w:t xml:space="preserve"> </w:t>
      </w:r>
      <w:r w:rsidRPr="008C765A">
        <w:rPr>
          <w:rFonts w:ascii="Arial" w:hAnsi="Arial" w:cs="David" w:hint="cs"/>
          <w:rtl/>
        </w:rPr>
        <w:t>ברביע ה</w:t>
      </w:r>
      <w:r w:rsidR="002D7D8A">
        <w:rPr>
          <w:rFonts w:ascii="Arial" w:hAnsi="Arial" w:cs="David" w:hint="cs"/>
          <w:rtl/>
        </w:rPr>
        <w:t>שלישי</w:t>
      </w:r>
      <w:r w:rsidRPr="008C765A">
        <w:rPr>
          <w:rFonts w:ascii="Arial" w:hAnsi="Arial" w:cs="David" w:hint="cs"/>
          <w:rtl/>
        </w:rPr>
        <w:t xml:space="preserve"> בכ-</w:t>
      </w:r>
      <w:r w:rsidR="002D7D8A">
        <w:rPr>
          <w:rFonts w:ascii="Arial" w:hAnsi="Arial" w:cs="David" w:hint="cs"/>
          <w:rtl/>
        </w:rPr>
        <w:t>3.8</w:t>
      </w:r>
      <w:r w:rsidRPr="008C765A">
        <w:rPr>
          <w:rFonts w:ascii="Arial" w:hAnsi="Arial" w:cs="David" w:hint="cs"/>
          <w:rtl/>
        </w:rPr>
        <w:t xml:space="preserve"> מיליארדי דולרים ועמד בסוף </w:t>
      </w:r>
      <w:r w:rsidR="008B1CA7">
        <w:rPr>
          <w:rFonts w:ascii="Arial" w:hAnsi="Arial" w:cs="David" w:hint="cs"/>
          <w:rtl/>
        </w:rPr>
        <w:t>ספטמבר</w:t>
      </w:r>
      <w:r w:rsidRPr="008C765A">
        <w:rPr>
          <w:rFonts w:ascii="Arial" w:hAnsi="Arial" w:cs="David" w:hint="cs"/>
          <w:rtl/>
        </w:rPr>
        <w:t xml:space="preserve"> על </w:t>
      </w:r>
      <w:r w:rsidR="000761AC" w:rsidRPr="008C765A">
        <w:rPr>
          <w:rFonts w:ascii="Arial" w:hAnsi="Arial" w:cs="David" w:hint="cs"/>
          <w:rtl/>
        </w:rPr>
        <w:t>4</w:t>
      </w:r>
      <w:r w:rsidR="002D7D8A">
        <w:rPr>
          <w:rFonts w:ascii="Arial" w:hAnsi="Arial" w:cs="David" w:hint="cs"/>
          <w:rtl/>
        </w:rPr>
        <w:t>7</w:t>
      </w:r>
      <w:r w:rsidR="000761AC" w:rsidRPr="008C765A">
        <w:rPr>
          <w:rFonts w:ascii="Arial" w:hAnsi="Arial" w:cs="David" w:hint="cs"/>
          <w:rtl/>
        </w:rPr>
        <w:t>.</w:t>
      </w:r>
      <w:r w:rsidR="002D7D8A">
        <w:rPr>
          <w:rFonts w:ascii="Arial" w:hAnsi="Arial" w:cs="David" w:hint="cs"/>
          <w:rtl/>
        </w:rPr>
        <w:t>1</w:t>
      </w:r>
      <w:r w:rsidR="00141843" w:rsidRPr="008C765A">
        <w:rPr>
          <w:rFonts w:ascii="Arial" w:hAnsi="Arial" w:cs="David" w:hint="cs"/>
          <w:rtl/>
        </w:rPr>
        <w:t xml:space="preserve"> מיליארדים. </w:t>
      </w:r>
      <w:r w:rsidR="00291259" w:rsidRPr="008C765A">
        <w:rPr>
          <w:rFonts w:ascii="Arial" w:hAnsi="Arial" w:cs="David" w:hint="cs"/>
          <w:rtl/>
        </w:rPr>
        <w:t>השינוי</w:t>
      </w:r>
      <w:r w:rsidRPr="008C765A">
        <w:rPr>
          <w:rFonts w:ascii="Arial" w:hAnsi="Arial" w:cs="David" w:hint="cs"/>
          <w:rtl/>
        </w:rPr>
        <w:t xml:space="preserve"> בשווי התיק  </w:t>
      </w:r>
      <w:r w:rsidR="00141843" w:rsidRPr="008C765A">
        <w:rPr>
          <w:rFonts w:ascii="Arial" w:hAnsi="Arial" w:cs="David" w:hint="cs"/>
          <w:rtl/>
        </w:rPr>
        <w:t xml:space="preserve">התרחש </w:t>
      </w:r>
      <w:r w:rsidRPr="008C765A">
        <w:rPr>
          <w:rFonts w:ascii="Arial" w:hAnsi="Arial" w:cs="David" w:hint="cs"/>
          <w:rtl/>
        </w:rPr>
        <w:t xml:space="preserve">כתוצאה </w:t>
      </w:r>
      <w:r w:rsidR="002C414A">
        <w:rPr>
          <w:rFonts w:ascii="Arial" w:hAnsi="Arial" w:cs="David" w:hint="cs"/>
          <w:rtl/>
        </w:rPr>
        <w:t>מזרם השקעות באג"ח ישראליות</w:t>
      </w:r>
      <w:r w:rsidR="00B50C3E">
        <w:rPr>
          <w:rFonts w:ascii="Arial" w:hAnsi="Arial" w:cs="David" w:hint="cs"/>
          <w:rtl/>
        </w:rPr>
        <w:t xml:space="preserve"> ו</w:t>
      </w:r>
      <w:r w:rsidR="00141843" w:rsidRPr="008C765A">
        <w:rPr>
          <w:rFonts w:ascii="Arial" w:hAnsi="Arial" w:cs="David" w:hint="cs"/>
          <w:rtl/>
        </w:rPr>
        <w:t>מ</w:t>
      </w:r>
      <w:r w:rsidR="000761AC" w:rsidRPr="008C765A">
        <w:rPr>
          <w:rFonts w:ascii="Arial" w:hAnsi="Arial" w:cs="David" w:hint="cs"/>
          <w:rtl/>
        </w:rPr>
        <w:t>עלי</w:t>
      </w:r>
      <w:r w:rsidR="00291259" w:rsidRPr="008C765A">
        <w:rPr>
          <w:rFonts w:ascii="Arial" w:hAnsi="Arial" w:cs="David" w:hint="cs"/>
          <w:rtl/>
        </w:rPr>
        <w:t>י</w:t>
      </w:r>
      <w:r w:rsidR="000761AC" w:rsidRPr="008C765A">
        <w:rPr>
          <w:rFonts w:ascii="Arial" w:hAnsi="Arial" w:cs="David" w:hint="cs"/>
          <w:rtl/>
        </w:rPr>
        <w:t>ה</w:t>
      </w:r>
      <w:r w:rsidR="00141843" w:rsidRPr="008C765A">
        <w:rPr>
          <w:rFonts w:ascii="Arial" w:hAnsi="Arial" w:cs="David" w:hint="cs"/>
          <w:rtl/>
        </w:rPr>
        <w:t xml:space="preserve"> במחירי המניות הישראליות הנסחרות בארץ (ישירות </w:t>
      </w:r>
      <w:r w:rsidR="00FB1799">
        <w:rPr>
          <w:rFonts w:ascii="Arial" w:hAnsi="Arial" w:cs="David" w:hint="cs"/>
          <w:rtl/>
        </w:rPr>
        <w:t>ובתיק ני"ע</w:t>
      </w:r>
      <w:r w:rsidR="00141843" w:rsidRPr="008C765A">
        <w:rPr>
          <w:rFonts w:ascii="Arial" w:hAnsi="Arial" w:cs="David" w:hint="cs"/>
          <w:rtl/>
        </w:rPr>
        <w:t>)</w:t>
      </w:r>
      <w:r w:rsidRPr="008C765A">
        <w:rPr>
          <w:rFonts w:ascii="Arial" w:hAnsi="Arial" w:cs="David" w:hint="cs"/>
          <w:rtl/>
        </w:rPr>
        <w:t xml:space="preserve">. (תרשים 2 ותרשים 3) </w:t>
      </w:r>
    </w:p>
    <w:p w:rsidR="002D7D8A" w:rsidRPr="008C765A" w:rsidRDefault="002D7D8A" w:rsidP="002D7D8A">
      <w:pPr>
        <w:pStyle w:val="af7"/>
        <w:spacing w:before="240" w:line="360" w:lineRule="auto"/>
        <w:jc w:val="both"/>
        <w:rPr>
          <w:rFonts w:ascii="Arial" w:hAnsi="Arial" w:cs="David"/>
          <w:rtl/>
        </w:rPr>
      </w:pPr>
    </w:p>
    <w:tbl>
      <w:tblPr>
        <w:tblStyle w:val="af1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E1217" w:rsidRPr="00A53CC2" w:rsidTr="00AE1217">
        <w:trPr>
          <w:trHeight w:val="1176"/>
        </w:trPr>
        <w:tc>
          <w:tcPr>
            <w:tcW w:w="5256" w:type="dxa"/>
          </w:tcPr>
          <w:p w:rsidR="002216F2" w:rsidRPr="00A53CC2" w:rsidRDefault="00AE1217" w:rsidP="00AE1217">
            <w:pPr>
              <w:spacing w:line="360" w:lineRule="auto"/>
              <w:jc w:val="right"/>
              <w:rPr>
                <w:highlight w:val="yellow"/>
                <w:rtl/>
              </w:rPr>
            </w:pPr>
            <w:r w:rsidRPr="00A53CC2">
              <w:rPr>
                <w:noProof/>
                <w:highlight w:val="yellow"/>
                <w:lang w:eastAsia="en-US"/>
              </w:rPr>
              <w:drawing>
                <wp:inline distT="0" distB="0" distL="0" distR="0" wp14:anchorId="7B0B31A3" wp14:editId="777C3099">
                  <wp:extent cx="3200400" cy="2291662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008" cy="2322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8" w:type="dxa"/>
          </w:tcPr>
          <w:p w:rsidR="002216F2" w:rsidRDefault="002D7D8A" w:rsidP="002D7D8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noProof/>
                <w:highlight w:val="yellow"/>
                <w:lang w:eastAsia="en-US"/>
              </w:rPr>
              <w:drawing>
                <wp:inline distT="0" distB="0" distL="0" distR="0" wp14:anchorId="554DBAC2" wp14:editId="22027E18">
                  <wp:extent cx="3218688" cy="1962095"/>
                  <wp:effectExtent l="0" t="0" r="1270" b="63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625" cy="19858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414A">
              <w:rPr>
                <w:b/>
                <w:bCs/>
                <w:noProof/>
                <w:lang w:eastAsia="en-US"/>
              </w:rPr>
              <w:drawing>
                <wp:inline distT="0" distB="0" distL="0" distR="0" wp14:anchorId="7E5F870B" wp14:editId="31CCA25D">
                  <wp:extent cx="3194591" cy="2086958"/>
                  <wp:effectExtent l="0" t="0" r="6350" b="889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944" cy="2098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A32" w:rsidRPr="00221960" w:rsidRDefault="008B5A32" w:rsidP="008B5A32">
            <w:pPr>
              <w:pStyle w:val="af7"/>
              <w:numPr>
                <w:ilvl w:val="0"/>
                <w:numId w:val="17"/>
              </w:numPr>
              <w:spacing w:before="240" w:line="360" w:lineRule="auto"/>
              <w:jc w:val="both"/>
              <w:rPr>
                <w:rStyle w:val="20"/>
                <w:rFonts w:ascii="Arial" w:hAnsi="Arial"/>
              </w:rPr>
            </w:pPr>
            <w:r w:rsidRPr="00221960">
              <w:rPr>
                <w:rStyle w:val="20"/>
                <w:rFonts w:hint="cs"/>
                <w:b/>
                <w:bCs/>
                <w:rtl/>
              </w:rPr>
              <w:t>שווי ההשקעות האחרות במשק</w:t>
            </w:r>
            <w:r w:rsidRPr="00221960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David" w:hint="cs"/>
                <w:rtl/>
              </w:rPr>
              <w:t>ירד</w:t>
            </w:r>
            <w:r w:rsidRPr="00221960">
              <w:rPr>
                <w:rFonts w:ascii="Arial" w:hAnsi="Arial" w:cs="David" w:hint="cs"/>
                <w:rtl/>
              </w:rPr>
              <w:t xml:space="preserve"> במהלך הרביע הש</w:t>
            </w:r>
            <w:r>
              <w:rPr>
                <w:rFonts w:ascii="Arial" w:hAnsi="Arial" w:cs="David" w:hint="cs"/>
                <w:rtl/>
              </w:rPr>
              <w:t>לישי</w:t>
            </w:r>
            <w:r w:rsidRPr="00221960">
              <w:rPr>
                <w:rFonts w:ascii="Arial" w:hAnsi="Arial" w:cs="David" w:hint="cs"/>
                <w:rtl/>
              </w:rPr>
              <w:t xml:space="preserve"> בכ-1.</w:t>
            </w:r>
            <w:r>
              <w:rPr>
                <w:rFonts w:ascii="Arial" w:hAnsi="Arial" w:cs="David" w:hint="cs"/>
                <w:rtl/>
              </w:rPr>
              <w:t>5</w:t>
            </w:r>
            <w:r w:rsidRPr="00221960">
              <w:rPr>
                <w:rFonts w:ascii="Arial" w:hAnsi="Arial" w:cs="David" w:hint="cs"/>
                <w:rtl/>
              </w:rPr>
              <w:t xml:space="preserve"> מיליארדי דולרים (2.7%</w:t>
            </w:r>
            <w:r>
              <w:rPr>
                <w:rFonts w:ascii="Arial" w:hAnsi="Arial" w:cs="David" w:hint="cs"/>
                <w:rtl/>
              </w:rPr>
              <w:t>-),</w:t>
            </w:r>
            <w:r w:rsidRPr="00221960">
              <w:rPr>
                <w:rFonts w:ascii="Arial" w:hAnsi="Arial" w:cs="David" w:hint="cs"/>
                <w:rtl/>
              </w:rPr>
              <w:t xml:space="preserve"> בעיקר כתוצאה </w:t>
            </w:r>
            <w:r>
              <w:rPr>
                <w:rFonts w:ascii="Arial" w:hAnsi="Arial" w:cs="David" w:hint="cs"/>
                <w:rtl/>
              </w:rPr>
              <w:t xml:space="preserve">מפירעון אשראי ספקים ופירעון הלוואות פיננסיות בהיקף של כ-0.7 ו-0.4 מיליארדי דולרים בהתאמה. </w:t>
            </w:r>
          </w:p>
          <w:p w:rsidR="002D7D8A" w:rsidRPr="00A53CC2" w:rsidRDefault="002D7D8A" w:rsidP="002D7D8A">
            <w:pPr>
              <w:pStyle w:val="2"/>
              <w:tabs>
                <w:tab w:val="left" w:pos="6348"/>
              </w:tabs>
              <w:ind w:left="720" w:right="0"/>
              <w:jc w:val="left"/>
              <w:rPr>
                <w:b/>
                <w:bCs/>
                <w:highlight w:val="yellow"/>
                <w:rtl/>
              </w:rPr>
            </w:pPr>
          </w:p>
        </w:tc>
      </w:tr>
    </w:tbl>
    <w:p w:rsidR="00695D66" w:rsidRPr="00D22C5A" w:rsidRDefault="00695D66" w:rsidP="003A452F">
      <w:pPr>
        <w:spacing w:line="360" w:lineRule="auto"/>
        <w:jc w:val="both"/>
        <w:rPr>
          <w:rFonts w:ascii="Arial" w:hAnsi="Arial" w:cs="David"/>
          <w:rtl/>
        </w:rPr>
      </w:pPr>
      <w:r w:rsidRPr="00D22C5A">
        <w:rPr>
          <w:rFonts w:ascii="Arial" w:hAnsi="Arial" w:cs="David" w:hint="cs"/>
          <w:b/>
          <w:bCs/>
          <w:rtl/>
        </w:rPr>
        <w:t>יתרת ההתחייבויות במכשירי חוב בלבד</w:t>
      </w:r>
      <w:r w:rsidRPr="00D22C5A">
        <w:rPr>
          <w:rFonts w:ascii="Arial" w:hAnsi="Arial" w:cs="David" w:hint="cs"/>
          <w:rtl/>
        </w:rPr>
        <w:t xml:space="preserve"> המהווה את </w:t>
      </w:r>
      <w:r w:rsidRPr="00D22C5A">
        <w:rPr>
          <w:rFonts w:ascii="Arial" w:hAnsi="Arial" w:cs="David" w:hint="cs"/>
          <w:b/>
          <w:bCs/>
          <w:rtl/>
        </w:rPr>
        <w:t>החוב החיצוני ברוטו של המשק</w:t>
      </w:r>
      <w:r w:rsidRPr="00D22C5A">
        <w:rPr>
          <w:rFonts w:ascii="Arial" w:hAnsi="Arial" w:cs="David" w:hint="cs"/>
          <w:rtl/>
        </w:rPr>
        <w:t xml:space="preserve"> </w:t>
      </w:r>
      <w:r w:rsidR="00870AB1" w:rsidRPr="00D22C5A">
        <w:rPr>
          <w:rFonts w:ascii="Arial" w:hAnsi="Arial" w:cs="David" w:hint="cs"/>
          <w:rtl/>
        </w:rPr>
        <w:t>עלתה</w:t>
      </w:r>
      <w:r w:rsidRPr="00D22C5A">
        <w:rPr>
          <w:rFonts w:ascii="Arial" w:hAnsi="Arial" w:cs="David" w:hint="cs"/>
          <w:rtl/>
        </w:rPr>
        <w:t xml:space="preserve"> במהלך הרביע </w:t>
      </w:r>
      <w:r w:rsidR="00DD2561" w:rsidRPr="00D22C5A">
        <w:rPr>
          <w:rFonts w:ascii="Arial" w:hAnsi="Arial" w:cs="David" w:hint="cs"/>
          <w:rtl/>
        </w:rPr>
        <w:t>ה</w:t>
      </w:r>
      <w:r w:rsidR="008B1CA7">
        <w:rPr>
          <w:rFonts w:ascii="Arial" w:hAnsi="Arial" w:cs="David" w:hint="cs"/>
          <w:rtl/>
        </w:rPr>
        <w:t>שלישי</w:t>
      </w:r>
      <w:r w:rsidRPr="00D22C5A">
        <w:rPr>
          <w:rFonts w:ascii="Arial" w:hAnsi="Arial" w:cs="David" w:hint="cs"/>
          <w:b/>
          <w:bCs/>
          <w:rtl/>
        </w:rPr>
        <w:t xml:space="preserve"> </w:t>
      </w:r>
      <w:r w:rsidRPr="00D22C5A">
        <w:rPr>
          <w:rFonts w:ascii="Arial" w:hAnsi="Arial" w:cs="David" w:hint="cs"/>
          <w:rtl/>
        </w:rPr>
        <w:t>בכ-</w:t>
      </w:r>
      <w:r w:rsidR="00870AB1" w:rsidRPr="00D22C5A">
        <w:rPr>
          <w:rFonts w:ascii="Arial" w:hAnsi="Arial" w:cs="David" w:hint="cs"/>
          <w:rtl/>
        </w:rPr>
        <w:t>0.3</w:t>
      </w:r>
      <w:r w:rsidRPr="00D22C5A">
        <w:rPr>
          <w:rFonts w:ascii="Arial" w:hAnsi="Arial" w:cs="David" w:hint="cs"/>
          <w:rtl/>
        </w:rPr>
        <w:t xml:space="preserve"> מיליארדי דולרים</w:t>
      </w:r>
      <w:r w:rsidRPr="00D22C5A">
        <w:rPr>
          <w:rFonts w:ascii="Arial" w:hAnsi="Arial" w:cs="David" w:hint="cs"/>
          <w:b/>
          <w:bCs/>
          <w:rtl/>
        </w:rPr>
        <w:t xml:space="preserve"> </w:t>
      </w:r>
      <w:r w:rsidRPr="00D22C5A">
        <w:rPr>
          <w:rFonts w:ascii="Arial" w:hAnsi="Arial" w:cs="David" w:hint="cs"/>
          <w:rtl/>
        </w:rPr>
        <w:t>(</w:t>
      </w:r>
      <w:r w:rsidR="00642AF3">
        <w:rPr>
          <w:rFonts w:ascii="Arial" w:hAnsi="Arial" w:cs="David" w:hint="cs"/>
          <w:rtl/>
        </w:rPr>
        <w:t>0.3</w:t>
      </w:r>
      <w:r w:rsidRPr="00D22C5A">
        <w:rPr>
          <w:rFonts w:ascii="Arial" w:hAnsi="Arial" w:cs="David" w:hint="cs"/>
          <w:rtl/>
        </w:rPr>
        <w:t>%)</w:t>
      </w:r>
      <w:r w:rsidR="00870AB1" w:rsidRPr="00D22C5A">
        <w:rPr>
          <w:rFonts w:ascii="Arial" w:hAnsi="Arial" w:cs="David" w:hint="cs"/>
          <w:rtl/>
        </w:rPr>
        <w:t xml:space="preserve"> </w:t>
      </w:r>
      <w:r w:rsidRPr="00D22C5A">
        <w:rPr>
          <w:rFonts w:ascii="Arial" w:hAnsi="Arial" w:cs="David" w:hint="cs"/>
          <w:rtl/>
        </w:rPr>
        <w:t xml:space="preserve">לרמה של </w:t>
      </w:r>
      <w:r w:rsidR="00870AB1" w:rsidRPr="00D22C5A">
        <w:rPr>
          <w:rFonts w:ascii="Arial" w:hAnsi="Arial" w:cs="David" w:hint="cs"/>
          <w:rtl/>
        </w:rPr>
        <w:t>9</w:t>
      </w:r>
      <w:r w:rsidR="002169EA">
        <w:rPr>
          <w:rFonts w:ascii="Arial" w:hAnsi="Arial" w:cs="David" w:hint="cs"/>
          <w:rtl/>
        </w:rPr>
        <w:t>8</w:t>
      </w:r>
      <w:r w:rsidR="00870AB1" w:rsidRPr="00D22C5A">
        <w:rPr>
          <w:rFonts w:ascii="Arial" w:hAnsi="Arial" w:cs="David" w:hint="cs"/>
          <w:rtl/>
        </w:rPr>
        <w:t>.</w:t>
      </w:r>
      <w:r w:rsidR="002169EA">
        <w:rPr>
          <w:rFonts w:ascii="Arial" w:hAnsi="Arial" w:cs="David" w:hint="cs"/>
          <w:rtl/>
        </w:rPr>
        <w:t>3</w:t>
      </w:r>
      <w:r w:rsidRPr="00D22C5A">
        <w:rPr>
          <w:rFonts w:ascii="Arial" w:hAnsi="Arial" w:cs="David" w:hint="cs"/>
          <w:rtl/>
        </w:rPr>
        <w:t xml:space="preserve"> מיליארדים, בעיקר </w:t>
      </w:r>
      <w:r w:rsidR="00BE4078" w:rsidRPr="00D22C5A">
        <w:rPr>
          <w:rFonts w:ascii="Arial" w:hAnsi="Arial" w:cs="David" w:hint="cs"/>
          <w:rtl/>
        </w:rPr>
        <w:t xml:space="preserve">כתוצאה </w:t>
      </w:r>
      <w:r w:rsidR="003A452F">
        <w:rPr>
          <w:rFonts w:ascii="Arial" w:hAnsi="Arial" w:cs="David" w:hint="cs"/>
          <w:rtl/>
        </w:rPr>
        <w:t>מ</w:t>
      </w:r>
      <w:r w:rsidR="002169EA">
        <w:rPr>
          <w:rFonts w:ascii="Arial" w:hAnsi="Arial" w:cs="David" w:hint="cs"/>
          <w:rtl/>
        </w:rPr>
        <w:t xml:space="preserve">הנפקה של </w:t>
      </w:r>
      <w:r w:rsidR="003A452F">
        <w:rPr>
          <w:rFonts w:ascii="Arial" w:hAnsi="Arial" w:cs="David" w:hint="cs"/>
          <w:rtl/>
        </w:rPr>
        <w:t>אגרות חוב ממשלתיות בחו"ל</w:t>
      </w:r>
      <w:r w:rsidR="002169EA">
        <w:rPr>
          <w:rFonts w:ascii="Arial" w:hAnsi="Arial" w:cs="David" w:hint="cs"/>
          <w:rtl/>
        </w:rPr>
        <w:t xml:space="preserve"> ב</w:t>
      </w:r>
      <w:r w:rsidR="003A452F">
        <w:rPr>
          <w:rFonts w:ascii="Arial" w:hAnsi="Arial" w:cs="David" w:hint="cs"/>
          <w:rtl/>
        </w:rPr>
        <w:t>היקף</w:t>
      </w:r>
      <w:r w:rsidR="002169EA">
        <w:rPr>
          <w:rFonts w:ascii="Arial" w:hAnsi="Arial" w:cs="David" w:hint="cs"/>
          <w:rtl/>
        </w:rPr>
        <w:t xml:space="preserve"> של כ</w:t>
      </w:r>
      <w:r w:rsidR="003A452F">
        <w:rPr>
          <w:rFonts w:ascii="Arial" w:hAnsi="Arial" w:cs="David" w:hint="cs"/>
          <w:rtl/>
        </w:rPr>
        <w:t>-0.6</w:t>
      </w:r>
      <w:r w:rsidR="002169EA">
        <w:rPr>
          <w:rFonts w:ascii="Arial" w:hAnsi="Arial" w:cs="David" w:hint="cs"/>
          <w:rtl/>
        </w:rPr>
        <w:t xml:space="preserve"> מיליארד</w:t>
      </w:r>
      <w:r w:rsidR="003A452F">
        <w:rPr>
          <w:rFonts w:ascii="Arial" w:hAnsi="Arial" w:cs="David" w:hint="cs"/>
          <w:rtl/>
        </w:rPr>
        <w:t>י</w:t>
      </w:r>
      <w:r w:rsidR="002169EA">
        <w:rPr>
          <w:rFonts w:ascii="Arial" w:hAnsi="Arial" w:cs="David" w:hint="cs"/>
          <w:rtl/>
        </w:rPr>
        <w:t xml:space="preserve"> דולר</w:t>
      </w:r>
      <w:r w:rsidR="003A452F">
        <w:rPr>
          <w:rFonts w:ascii="Arial" w:hAnsi="Arial" w:cs="David" w:hint="cs"/>
          <w:rtl/>
        </w:rPr>
        <w:t>ים</w:t>
      </w:r>
      <w:r w:rsidR="00870AB1" w:rsidRPr="00D22C5A">
        <w:rPr>
          <w:rFonts w:ascii="Arial" w:hAnsi="Arial" w:cs="David" w:hint="cs"/>
          <w:rtl/>
        </w:rPr>
        <w:t>.</w:t>
      </w:r>
    </w:p>
    <w:p w:rsidR="00695D66" w:rsidRPr="00D22C5A" w:rsidRDefault="00695D66" w:rsidP="008B1CA7">
      <w:pPr>
        <w:spacing w:line="360" w:lineRule="auto"/>
        <w:jc w:val="both"/>
        <w:rPr>
          <w:rtl/>
        </w:rPr>
      </w:pPr>
      <w:r w:rsidRPr="00D22C5A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BE4078" w:rsidRPr="00D22C5A">
        <w:rPr>
          <w:rFonts w:ascii="Arial" w:hAnsi="Arial" w:cs="David" w:hint="cs"/>
          <w:b/>
          <w:bCs/>
          <w:rtl/>
        </w:rPr>
        <w:t xml:space="preserve">ברוטו </w:t>
      </w:r>
      <w:r w:rsidRPr="00D22C5A">
        <w:rPr>
          <w:rFonts w:ascii="Arial" w:hAnsi="Arial" w:cs="David" w:hint="cs"/>
          <w:b/>
          <w:bCs/>
          <w:rtl/>
        </w:rPr>
        <w:t>לתמ"ג</w:t>
      </w:r>
      <w:r w:rsidRPr="00D22C5A">
        <w:rPr>
          <w:rFonts w:ascii="Arial" w:hAnsi="Arial" w:cs="David" w:hint="cs"/>
          <w:rtl/>
        </w:rPr>
        <w:t xml:space="preserve"> </w:t>
      </w:r>
      <w:r w:rsidR="00D22C5A" w:rsidRPr="00D22C5A">
        <w:rPr>
          <w:rFonts w:ascii="Arial" w:hAnsi="Arial" w:cs="David" w:hint="cs"/>
          <w:rtl/>
        </w:rPr>
        <w:t>ירד</w:t>
      </w:r>
      <w:r w:rsidR="000B1132" w:rsidRPr="00D22C5A">
        <w:rPr>
          <w:rFonts w:ascii="Arial" w:hAnsi="Arial" w:cs="David" w:hint="cs"/>
          <w:rtl/>
        </w:rPr>
        <w:t xml:space="preserve"> </w:t>
      </w:r>
      <w:r w:rsidRPr="00D22C5A">
        <w:rPr>
          <w:rFonts w:ascii="Arial" w:hAnsi="Arial" w:cs="David" w:hint="cs"/>
          <w:rtl/>
        </w:rPr>
        <w:t xml:space="preserve">במהלך הרביע </w:t>
      </w:r>
      <w:r w:rsidR="00DD2561" w:rsidRPr="00D22C5A">
        <w:rPr>
          <w:rFonts w:ascii="Arial" w:hAnsi="Arial" w:cs="David" w:hint="cs"/>
          <w:rtl/>
        </w:rPr>
        <w:t>ה</w:t>
      </w:r>
      <w:r w:rsidR="008B1CA7">
        <w:rPr>
          <w:rFonts w:ascii="Arial" w:hAnsi="Arial" w:cs="David" w:hint="cs"/>
          <w:rtl/>
        </w:rPr>
        <w:t>שלישי</w:t>
      </w:r>
      <w:r w:rsidRPr="00D22C5A">
        <w:rPr>
          <w:rFonts w:ascii="Arial" w:hAnsi="Arial" w:cs="David" w:hint="cs"/>
          <w:rtl/>
        </w:rPr>
        <w:t xml:space="preserve"> </w:t>
      </w:r>
      <w:r w:rsidR="00F26A11" w:rsidRPr="00D22C5A">
        <w:rPr>
          <w:rFonts w:ascii="Arial" w:hAnsi="Arial" w:cs="David" w:hint="cs"/>
          <w:rtl/>
        </w:rPr>
        <w:t>ב-</w:t>
      </w:r>
      <w:r w:rsidR="00D22C5A" w:rsidRPr="00D22C5A">
        <w:rPr>
          <w:rFonts w:ascii="Arial" w:hAnsi="Arial" w:cs="David" w:hint="cs"/>
          <w:rtl/>
        </w:rPr>
        <w:t>0.</w:t>
      </w:r>
      <w:r w:rsidR="002169EA">
        <w:rPr>
          <w:rFonts w:ascii="Arial" w:hAnsi="Arial" w:cs="David" w:hint="cs"/>
          <w:rtl/>
        </w:rPr>
        <w:t>4</w:t>
      </w:r>
      <w:r w:rsidR="00F26A11" w:rsidRPr="00D22C5A">
        <w:rPr>
          <w:rFonts w:ascii="Arial" w:hAnsi="Arial" w:cs="David" w:hint="cs"/>
          <w:rtl/>
        </w:rPr>
        <w:t xml:space="preserve"> נקודות האחוז </w:t>
      </w:r>
      <w:r w:rsidRPr="00D22C5A">
        <w:rPr>
          <w:rFonts w:ascii="Arial" w:hAnsi="Arial" w:cs="David" w:hint="cs"/>
          <w:rtl/>
        </w:rPr>
        <w:t xml:space="preserve">ועמד בסוף </w:t>
      </w:r>
      <w:r w:rsidR="008B1CA7">
        <w:rPr>
          <w:rFonts w:ascii="Arial" w:hAnsi="Arial" w:cs="David" w:hint="cs"/>
          <w:rtl/>
        </w:rPr>
        <w:t>ספטמבר</w:t>
      </w:r>
      <w:r w:rsidR="00AE5180" w:rsidRPr="00D22C5A">
        <w:rPr>
          <w:rFonts w:ascii="Arial" w:hAnsi="Arial" w:cs="David" w:hint="cs"/>
          <w:rtl/>
        </w:rPr>
        <w:t xml:space="preserve"> על </w:t>
      </w:r>
      <w:r w:rsidR="00195984" w:rsidRPr="00D22C5A">
        <w:rPr>
          <w:rFonts w:ascii="Arial" w:hAnsi="Arial" w:cs="David" w:hint="cs"/>
          <w:rtl/>
        </w:rPr>
        <w:t>2</w:t>
      </w:r>
      <w:r w:rsidR="002169EA">
        <w:rPr>
          <w:rFonts w:ascii="Arial" w:hAnsi="Arial" w:cs="David" w:hint="cs"/>
          <w:rtl/>
        </w:rPr>
        <w:t>5</w:t>
      </w:r>
      <w:r w:rsidR="00195984" w:rsidRPr="00D22C5A">
        <w:rPr>
          <w:rFonts w:ascii="Arial" w:hAnsi="Arial" w:cs="David" w:hint="cs"/>
          <w:rtl/>
        </w:rPr>
        <w:t>.</w:t>
      </w:r>
      <w:r w:rsidR="002169EA">
        <w:rPr>
          <w:rFonts w:ascii="Arial" w:hAnsi="Arial" w:cs="David" w:hint="cs"/>
          <w:rtl/>
        </w:rPr>
        <w:t>6</w:t>
      </w:r>
      <w:r w:rsidRPr="00D22C5A">
        <w:rPr>
          <w:rFonts w:ascii="Arial" w:hAnsi="Arial" w:cs="David" w:hint="cs"/>
          <w:rtl/>
        </w:rPr>
        <w:t>%</w:t>
      </w:r>
      <w:r w:rsidR="00F92B7D" w:rsidRPr="00D22C5A">
        <w:rPr>
          <w:rFonts w:ascii="Arial" w:hAnsi="Arial" w:cs="David" w:hint="cs"/>
          <w:rtl/>
        </w:rPr>
        <w:t>.</w:t>
      </w:r>
      <w:r w:rsidRPr="00D22C5A">
        <w:rPr>
          <w:rFonts w:ascii="Arial" w:hAnsi="Arial" w:cs="David" w:hint="cs"/>
          <w:rtl/>
        </w:rPr>
        <w:t xml:space="preserve"> </w:t>
      </w:r>
      <w:r w:rsidR="00D3041A" w:rsidRPr="00D3041A">
        <w:rPr>
          <w:rFonts w:ascii="Arial" w:hAnsi="Arial" w:cs="David"/>
          <w:rtl/>
        </w:rPr>
        <w:t xml:space="preserve">הירידה ביחס החוב לתוצר שיקפה שיעור גידול </w:t>
      </w:r>
      <w:r w:rsidR="005517E7" w:rsidRPr="00D3041A">
        <w:rPr>
          <w:rFonts w:ascii="Arial" w:hAnsi="Arial" w:cs="David"/>
          <w:rtl/>
        </w:rPr>
        <w:t>נמוך י</w:t>
      </w:r>
      <w:r w:rsidR="005517E7">
        <w:rPr>
          <w:rFonts w:ascii="Arial" w:hAnsi="Arial" w:cs="David"/>
          <w:rtl/>
        </w:rPr>
        <w:t xml:space="preserve">ותר </w:t>
      </w:r>
      <w:r w:rsidR="00D3041A" w:rsidRPr="00D3041A">
        <w:rPr>
          <w:rFonts w:ascii="Arial" w:hAnsi="Arial" w:cs="David"/>
          <w:rtl/>
        </w:rPr>
        <w:t xml:space="preserve">ביתרת החוב החיצוני </w:t>
      </w:r>
      <w:r w:rsidR="00D3041A">
        <w:rPr>
          <w:rFonts w:ascii="Arial" w:hAnsi="Arial" w:cs="David"/>
          <w:rtl/>
        </w:rPr>
        <w:t>בהשוואה לשיעור הגידול בתוצר</w:t>
      </w:r>
      <w:r w:rsidR="000B1132" w:rsidRPr="00D22C5A">
        <w:rPr>
          <w:rFonts w:ascii="Arial" w:hAnsi="Arial" w:cs="David" w:hint="cs"/>
          <w:rtl/>
        </w:rPr>
        <w:t>.</w:t>
      </w:r>
      <w:r w:rsidRPr="00D22C5A">
        <w:rPr>
          <w:rFonts w:ascii="Arial" w:hAnsi="Arial" w:cs="David" w:hint="cs"/>
          <w:rtl/>
        </w:rPr>
        <w:t xml:space="preserve"> (תרשים </w:t>
      </w:r>
      <w:r w:rsidR="00F16B2F" w:rsidRPr="00D22C5A">
        <w:rPr>
          <w:rFonts w:ascii="Arial" w:hAnsi="Arial" w:cs="David" w:hint="cs"/>
          <w:rtl/>
        </w:rPr>
        <w:t>4</w:t>
      </w:r>
      <w:r w:rsidRPr="00D22C5A">
        <w:rPr>
          <w:rFonts w:ascii="Arial" w:hAnsi="Arial" w:cs="David" w:hint="cs"/>
          <w:rtl/>
        </w:rPr>
        <w:t xml:space="preserve">).  </w:t>
      </w:r>
    </w:p>
    <w:p w:rsidR="00D22C5A" w:rsidRPr="00A53CC2" w:rsidRDefault="000F3BD1" w:rsidP="0034171E">
      <w:pPr>
        <w:spacing w:after="240" w:line="360" w:lineRule="auto"/>
        <w:jc w:val="center"/>
        <w:rPr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709E2102" wp14:editId="0A13987A">
            <wp:extent cx="4489551" cy="2736376"/>
            <wp:effectExtent l="0" t="0" r="6350" b="698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295" cy="2756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5DA" w:rsidRPr="00D22C5A" w:rsidRDefault="006F7093" w:rsidP="000F55DA">
      <w:pPr>
        <w:pStyle w:val="1"/>
        <w:rPr>
          <w:u w:val="none"/>
        </w:rPr>
      </w:pPr>
      <w:r w:rsidRPr="00D22C5A">
        <w:rPr>
          <w:rFonts w:hint="cs"/>
          <w:u w:val="none"/>
          <w:rtl/>
        </w:rPr>
        <w:t>עודף הנכסים על ההתחייבויות</w:t>
      </w:r>
      <w:r w:rsidR="00CC3A41" w:rsidRPr="00D22C5A">
        <w:rPr>
          <w:rFonts w:hint="cs"/>
          <w:u w:val="none"/>
          <w:rtl/>
        </w:rPr>
        <w:t xml:space="preserve"> של המשק מול חו"ל</w:t>
      </w:r>
      <w:r w:rsidR="00CE3CF7" w:rsidRPr="00D22C5A">
        <w:rPr>
          <w:rFonts w:hint="cs"/>
          <w:u w:val="none"/>
          <w:rtl/>
        </w:rPr>
        <w:t xml:space="preserve"> </w:t>
      </w:r>
    </w:p>
    <w:p w:rsidR="00A16F73" w:rsidRPr="00D22C5A" w:rsidRDefault="000F55DA" w:rsidP="000F3BD1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D22C5A"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87100C" w:rsidRPr="00D22C5A">
        <w:rPr>
          <w:rFonts w:ascii="Arial" w:hAnsi="Arial" w:cs="David" w:hint="cs"/>
          <w:rtl/>
        </w:rPr>
        <w:t>עלה</w:t>
      </w:r>
      <w:r w:rsidR="00CC3A41" w:rsidRPr="00D22C5A">
        <w:rPr>
          <w:rFonts w:ascii="Arial" w:hAnsi="Arial" w:cs="David" w:hint="cs"/>
          <w:rtl/>
        </w:rPr>
        <w:t xml:space="preserve"> </w:t>
      </w:r>
      <w:r w:rsidR="005C4E3E" w:rsidRPr="00D22C5A">
        <w:rPr>
          <w:rFonts w:ascii="Arial" w:hAnsi="Arial" w:cs="David" w:hint="cs"/>
          <w:rtl/>
        </w:rPr>
        <w:t>במהלך</w:t>
      </w:r>
      <w:r w:rsidR="00B46419" w:rsidRPr="00D22C5A">
        <w:rPr>
          <w:rFonts w:ascii="Arial" w:hAnsi="Arial" w:cs="David" w:hint="cs"/>
          <w:rtl/>
        </w:rPr>
        <w:t xml:space="preserve"> </w:t>
      </w:r>
      <w:r w:rsidR="00E875CD" w:rsidRPr="00D22C5A">
        <w:rPr>
          <w:rFonts w:ascii="Arial" w:hAnsi="Arial" w:cs="David" w:hint="cs"/>
          <w:rtl/>
        </w:rPr>
        <w:t>הרב</w:t>
      </w:r>
      <w:r w:rsidR="005413A0" w:rsidRPr="00D22C5A">
        <w:rPr>
          <w:rFonts w:ascii="Arial" w:hAnsi="Arial" w:cs="David" w:hint="cs"/>
          <w:rtl/>
        </w:rPr>
        <w:t>י</w:t>
      </w:r>
      <w:r w:rsidR="00E875CD" w:rsidRPr="00D22C5A">
        <w:rPr>
          <w:rFonts w:ascii="Arial" w:hAnsi="Arial" w:cs="David" w:hint="cs"/>
          <w:rtl/>
        </w:rPr>
        <w:t xml:space="preserve">ע </w:t>
      </w:r>
      <w:r w:rsidR="00DD2561" w:rsidRPr="00D22C5A">
        <w:rPr>
          <w:rFonts w:ascii="Arial" w:hAnsi="Arial" w:cs="David" w:hint="cs"/>
          <w:rtl/>
        </w:rPr>
        <w:t>ה</w:t>
      </w:r>
      <w:r w:rsidR="00B46ECC">
        <w:rPr>
          <w:rFonts w:ascii="Arial" w:hAnsi="Arial" w:cs="David" w:hint="cs"/>
          <w:rtl/>
        </w:rPr>
        <w:t>שלישי</w:t>
      </w:r>
      <w:r w:rsidR="00E875CD" w:rsidRPr="00D22C5A">
        <w:rPr>
          <w:rFonts w:ascii="Arial" w:hAnsi="Arial" w:cs="David" w:hint="cs"/>
          <w:rtl/>
        </w:rPr>
        <w:t xml:space="preserve"> </w:t>
      </w:r>
      <w:r w:rsidR="005C4E3E" w:rsidRPr="00D22C5A">
        <w:rPr>
          <w:rFonts w:ascii="Arial" w:hAnsi="Arial" w:cs="David" w:hint="cs"/>
          <w:rtl/>
        </w:rPr>
        <w:t>ב-</w:t>
      </w:r>
      <w:r w:rsidR="0040100D">
        <w:rPr>
          <w:rFonts w:ascii="Arial" w:hAnsi="Arial" w:cs="David" w:hint="cs"/>
          <w:rtl/>
        </w:rPr>
        <w:t>3</w:t>
      </w:r>
      <w:r w:rsidR="00D22C5A">
        <w:rPr>
          <w:rFonts w:ascii="Arial" w:hAnsi="Arial" w:cs="David" w:hint="cs"/>
          <w:rtl/>
        </w:rPr>
        <w:t>.</w:t>
      </w:r>
      <w:r w:rsidR="000F3BD1">
        <w:rPr>
          <w:rFonts w:ascii="Arial" w:hAnsi="Arial" w:cs="David" w:hint="cs"/>
          <w:rtl/>
        </w:rPr>
        <w:t>4</w:t>
      </w:r>
      <w:r w:rsidR="00DD2561" w:rsidRPr="00D22C5A">
        <w:rPr>
          <w:rFonts w:ascii="Arial" w:hAnsi="Arial" w:cs="David" w:hint="cs"/>
          <w:rtl/>
        </w:rPr>
        <w:t xml:space="preserve"> </w:t>
      </w:r>
      <w:r w:rsidR="002D6205" w:rsidRPr="00D22C5A">
        <w:rPr>
          <w:rFonts w:ascii="Arial" w:hAnsi="Arial" w:cs="David" w:hint="cs"/>
          <w:rtl/>
        </w:rPr>
        <w:t>מיליארדי דולרים</w:t>
      </w:r>
      <w:r w:rsidR="001654D9" w:rsidRPr="00D22C5A">
        <w:rPr>
          <w:rFonts w:ascii="Arial" w:hAnsi="Arial" w:cs="David" w:hint="cs"/>
          <w:rtl/>
        </w:rPr>
        <w:t xml:space="preserve"> (</w:t>
      </w:r>
      <w:r w:rsidR="0040100D">
        <w:rPr>
          <w:rFonts w:ascii="Arial" w:hAnsi="Arial" w:cs="David" w:hint="cs"/>
          <w:rtl/>
        </w:rPr>
        <w:t>2</w:t>
      </w:r>
      <w:r w:rsidR="00D22C5A">
        <w:rPr>
          <w:rFonts w:ascii="Arial" w:hAnsi="Arial" w:cs="David" w:hint="cs"/>
          <w:rtl/>
        </w:rPr>
        <w:t>.</w:t>
      </w:r>
      <w:r w:rsidR="0040100D">
        <w:rPr>
          <w:rFonts w:ascii="Arial" w:hAnsi="Arial" w:cs="David" w:hint="cs"/>
          <w:rtl/>
        </w:rPr>
        <w:t>3</w:t>
      </w:r>
      <w:r w:rsidR="008708DF" w:rsidRPr="00D22C5A">
        <w:rPr>
          <w:rFonts w:ascii="Arial" w:hAnsi="Arial" w:cs="David" w:hint="cs"/>
          <w:rtl/>
        </w:rPr>
        <w:t>%</w:t>
      </w:r>
      <w:r w:rsidR="001654D9" w:rsidRPr="00D22C5A">
        <w:rPr>
          <w:rFonts w:ascii="Arial" w:hAnsi="Arial" w:cs="David" w:hint="cs"/>
          <w:rtl/>
        </w:rPr>
        <w:t>)</w:t>
      </w:r>
      <w:r w:rsidR="006676D5" w:rsidRPr="00D22C5A">
        <w:rPr>
          <w:rFonts w:ascii="Arial" w:hAnsi="Arial" w:cs="David" w:hint="cs"/>
          <w:rtl/>
        </w:rPr>
        <w:t xml:space="preserve"> </w:t>
      </w:r>
      <w:r w:rsidR="007057B4" w:rsidRPr="00D22C5A">
        <w:rPr>
          <w:rFonts w:ascii="Arial" w:hAnsi="Arial" w:cs="David" w:hint="cs"/>
          <w:rtl/>
        </w:rPr>
        <w:t xml:space="preserve">ועמד </w:t>
      </w:r>
      <w:r w:rsidR="00B46419" w:rsidRPr="00D22C5A">
        <w:rPr>
          <w:rFonts w:ascii="Arial" w:hAnsi="Arial" w:cs="David" w:hint="cs"/>
          <w:rtl/>
        </w:rPr>
        <w:t>ב</w:t>
      </w:r>
      <w:r w:rsidR="000E2DCA" w:rsidRPr="00D22C5A">
        <w:rPr>
          <w:rFonts w:ascii="Arial" w:hAnsi="Arial" w:cs="David" w:hint="cs"/>
          <w:rtl/>
        </w:rPr>
        <w:t xml:space="preserve">סוף </w:t>
      </w:r>
      <w:r w:rsidR="008B1CA7">
        <w:rPr>
          <w:rFonts w:ascii="Arial" w:hAnsi="Arial" w:cs="David" w:hint="cs"/>
          <w:rtl/>
        </w:rPr>
        <w:t>ספטמבר</w:t>
      </w:r>
      <w:r w:rsidR="004C7474" w:rsidRPr="00D22C5A">
        <w:rPr>
          <w:rFonts w:ascii="Arial" w:hAnsi="Arial" w:cs="David" w:hint="cs"/>
          <w:rtl/>
        </w:rPr>
        <w:t xml:space="preserve"> </w:t>
      </w:r>
      <w:r w:rsidR="007057B4" w:rsidRPr="00D22C5A">
        <w:rPr>
          <w:rFonts w:ascii="Arial" w:hAnsi="Arial" w:cs="David" w:hint="cs"/>
          <w:rtl/>
        </w:rPr>
        <w:t>על</w:t>
      </w:r>
      <w:r w:rsidR="00D258EC" w:rsidRPr="00D22C5A">
        <w:rPr>
          <w:rFonts w:ascii="Arial" w:hAnsi="Arial" w:cs="David" w:hint="cs"/>
          <w:rtl/>
        </w:rPr>
        <w:t xml:space="preserve"> </w:t>
      </w:r>
      <w:r w:rsidR="000F3BD1">
        <w:rPr>
          <w:rFonts w:ascii="Arial" w:hAnsi="Arial" w:cs="David" w:hint="cs"/>
          <w:rtl/>
        </w:rPr>
        <w:t xml:space="preserve">150 </w:t>
      </w:r>
      <w:r w:rsidR="007057B4" w:rsidRPr="00D22C5A">
        <w:rPr>
          <w:rFonts w:ascii="Arial" w:hAnsi="Arial" w:cs="David" w:hint="cs"/>
          <w:rtl/>
        </w:rPr>
        <w:t>מיליארדי</w:t>
      </w:r>
      <w:r w:rsidR="008708DF" w:rsidRPr="00D22C5A">
        <w:rPr>
          <w:rFonts w:ascii="Arial" w:hAnsi="Arial" w:cs="David" w:hint="cs"/>
          <w:rtl/>
        </w:rPr>
        <w:t>ם</w:t>
      </w:r>
      <w:r w:rsidR="00036848" w:rsidRPr="00D22C5A">
        <w:rPr>
          <w:rFonts w:ascii="Arial" w:hAnsi="Arial" w:cs="David" w:hint="cs"/>
          <w:rtl/>
        </w:rPr>
        <w:t xml:space="preserve"> (תרשים 5)</w:t>
      </w:r>
      <w:r w:rsidR="007057B4" w:rsidRPr="00D22C5A">
        <w:rPr>
          <w:rFonts w:ascii="Arial" w:hAnsi="Arial" w:cs="David" w:hint="cs"/>
          <w:rtl/>
        </w:rPr>
        <w:t xml:space="preserve">. </w:t>
      </w:r>
    </w:p>
    <w:p w:rsidR="00A23889" w:rsidRPr="00832460" w:rsidRDefault="0087100C" w:rsidP="0040100D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832460">
        <w:rPr>
          <w:rFonts w:ascii="Arial" w:hAnsi="Arial" w:cs="David" w:hint="cs"/>
          <w:rtl/>
        </w:rPr>
        <w:t>העלייה בעודף הנכסים התרחשה כתוצאה מ</w:t>
      </w:r>
      <w:r w:rsidR="003F2CC2" w:rsidRPr="00832460">
        <w:rPr>
          <w:rFonts w:ascii="Arial" w:hAnsi="Arial" w:cs="David" w:hint="cs"/>
          <w:rtl/>
        </w:rPr>
        <w:t>עלי</w:t>
      </w:r>
      <w:r w:rsidR="000B1132" w:rsidRPr="00832460">
        <w:rPr>
          <w:rFonts w:ascii="Arial" w:hAnsi="Arial" w:cs="David" w:hint="cs"/>
          <w:rtl/>
        </w:rPr>
        <w:t>י</w:t>
      </w:r>
      <w:r w:rsidR="003F2CC2" w:rsidRPr="00832460">
        <w:rPr>
          <w:rFonts w:ascii="Arial" w:hAnsi="Arial" w:cs="David" w:hint="cs"/>
          <w:rtl/>
        </w:rPr>
        <w:t>ה</w:t>
      </w:r>
      <w:r w:rsidRPr="00832460">
        <w:rPr>
          <w:rFonts w:ascii="Arial" w:hAnsi="Arial" w:cs="David" w:hint="cs"/>
          <w:rtl/>
        </w:rPr>
        <w:t xml:space="preserve"> ביתרת </w:t>
      </w:r>
      <w:r w:rsidR="000B1132" w:rsidRPr="00832460">
        <w:rPr>
          <w:rFonts w:ascii="Arial" w:hAnsi="Arial" w:cs="David" w:hint="cs"/>
          <w:rtl/>
        </w:rPr>
        <w:t xml:space="preserve">הנכסים </w:t>
      </w:r>
      <w:r w:rsidR="0040100D">
        <w:rPr>
          <w:rFonts w:ascii="Arial" w:hAnsi="Arial" w:cs="David" w:hint="cs"/>
          <w:rtl/>
        </w:rPr>
        <w:t>בהיקף</w:t>
      </w:r>
      <w:r w:rsidR="00D22C5A" w:rsidRPr="00832460">
        <w:rPr>
          <w:rFonts w:ascii="Arial" w:hAnsi="Arial" w:cs="David" w:hint="cs"/>
          <w:rtl/>
        </w:rPr>
        <w:t xml:space="preserve"> </w:t>
      </w:r>
      <w:r w:rsidR="0040100D">
        <w:rPr>
          <w:rFonts w:ascii="Arial" w:hAnsi="Arial" w:cs="David" w:hint="cs"/>
          <w:rtl/>
        </w:rPr>
        <w:t>גדול</w:t>
      </w:r>
      <w:r w:rsidRPr="00832460">
        <w:rPr>
          <w:rFonts w:ascii="Arial" w:hAnsi="Arial" w:cs="David" w:hint="cs"/>
          <w:rtl/>
        </w:rPr>
        <w:t xml:space="preserve"> </w:t>
      </w:r>
      <w:r w:rsidR="0040100D">
        <w:rPr>
          <w:rFonts w:ascii="Arial" w:hAnsi="Arial" w:cs="David" w:hint="cs"/>
          <w:rtl/>
        </w:rPr>
        <w:t xml:space="preserve">יותר מהעלייה </w:t>
      </w:r>
      <w:r w:rsidRPr="00832460">
        <w:rPr>
          <w:rFonts w:ascii="Arial" w:hAnsi="Arial" w:cs="David" w:hint="cs"/>
          <w:rtl/>
        </w:rPr>
        <w:t xml:space="preserve">ביתרת </w:t>
      </w:r>
      <w:r w:rsidR="000B1132" w:rsidRPr="00832460">
        <w:rPr>
          <w:rFonts w:ascii="Arial" w:hAnsi="Arial" w:cs="David" w:hint="cs"/>
          <w:rtl/>
        </w:rPr>
        <w:t>ההתחייבויות</w:t>
      </w:r>
      <w:r w:rsidRPr="00832460">
        <w:rPr>
          <w:rFonts w:ascii="Arial" w:hAnsi="Arial" w:cs="David" w:hint="cs"/>
          <w:rtl/>
        </w:rPr>
        <w:t>.</w:t>
      </w:r>
    </w:p>
    <w:p w:rsidR="008964DB" w:rsidRPr="00A53CC2" w:rsidRDefault="008964DB" w:rsidP="008964DB">
      <w:pPr>
        <w:spacing w:line="360" w:lineRule="auto"/>
        <w:ind w:right="426"/>
        <w:jc w:val="both"/>
        <w:rPr>
          <w:rFonts w:ascii="Arial" w:hAnsi="Arial" w:cs="David"/>
          <w:highlight w:val="yellow"/>
          <w:rtl/>
        </w:rPr>
      </w:pPr>
    </w:p>
    <w:p w:rsidR="008964DB" w:rsidRPr="00A53CC2" w:rsidRDefault="0040100D" w:rsidP="0034171E">
      <w:pPr>
        <w:spacing w:line="360" w:lineRule="auto"/>
        <w:ind w:right="426"/>
        <w:jc w:val="center"/>
        <w:rPr>
          <w:rFonts w:ascii="Arial" w:hAnsi="Arial" w:cs="David"/>
          <w:highlight w:val="yellow"/>
          <w:rtl/>
        </w:rPr>
      </w:pPr>
      <w:r>
        <w:rPr>
          <w:rFonts w:ascii="Arial" w:hAnsi="Arial" w:cs="David"/>
          <w:noProof/>
          <w:highlight w:val="yellow"/>
          <w:lang w:eastAsia="en-US"/>
        </w:rPr>
        <w:drawing>
          <wp:inline distT="0" distB="0" distL="0" distR="0" wp14:anchorId="255F7A08" wp14:editId="22256F95">
            <wp:extent cx="4715301" cy="2874421"/>
            <wp:effectExtent l="0" t="0" r="0" b="254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812" cy="2899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0BD" w:rsidRPr="00D45CA2" w:rsidRDefault="001C20BD" w:rsidP="008964DB">
      <w:pPr>
        <w:pStyle w:val="1"/>
      </w:pPr>
      <w:r w:rsidRPr="00D45CA2">
        <w:rPr>
          <w:rFonts w:hint="cs"/>
          <w:rtl/>
        </w:rPr>
        <w:t xml:space="preserve">עודף הנכסים על ההתחייבויות של המשק מול חו"ל במכשירי חוב בלבד </w:t>
      </w:r>
    </w:p>
    <w:p w:rsidR="008B1CA7" w:rsidRDefault="001C20BD" w:rsidP="008B1CA7">
      <w:pPr>
        <w:spacing w:line="360" w:lineRule="auto"/>
        <w:jc w:val="both"/>
        <w:rPr>
          <w:rFonts w:ascii="Arial" w:hAnsi="Arial" w:cs="David"/>
          <w:rtl/>
        </w:rPr>
      </w:pPr>
      <w:r w:rsidRPr="00D45CA2"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D45CA2">
        <w:rPr>
          <w:rFonts w:ascii="Arial" w:hAnsi="Arial" w:cs="David" w:hint="cs"/>
          <w:rtl/>
        </w:rPr>
        <w:t xml:space="preserve">חוב חיצוני </w:t>
      </w:r>
      <w:r w:rsidRPr="00D45CA2">
        <w:rPr>
          <w:rFonts w:ascii="Arial" w:hAnsi="Arial" w:cs="David" w:hint="cs"/>
          <w:rtl/>
        </w:rPr>
        <w:t>ה</w:t>
      </w:r>
      <w:r w:rsidR="00785F18" w:rsidRPr="00D45CA2">
        <w:rPr>
          <w:rFonts w:ascii="Arial" w:hAnsi="Arial" w:cs="David" w:hint="cs"/>
          <w:rtl/>
        </w:rPr>
        <w:t>שלילי</w:t>
      </w:r>
      <w:r w:rsidRPr="00D45CA2">
        <w:rPr>
          <w:rFonts w:ascii="Arial" w:hAnsi="Arial" w:cs="David" w:hint="cs"/>
          <w:rtl/>
        </w:rPr>
        <w:t xml:space="preserve"> נטו)</w:t>
      </w:r>
      <w:r w:rsidR="001F545C" w:rsidRPr="00D45CA2">
        <w:rPr>
          <w:rFonts w:ascii="Arial" w:hAnsi="Arial" w:cs="David" w:hint="cs"/>
          <w:rtl/>
        </w:rPr>
        <w:t xml:space="preserve">, </w:t>
      </w:r>
      <w:r w:rsidR="005A6716">
        <w:rPr>
          <w:rFonts w:ascii="Arial" w:hAnsi="Arial" w:cs="David" w:hint="cs"/>
          <w:rtl/>
        </w:rPr>
        <w:t>ירד</w:t>
      </w:r>
      <w:r w:rsidR="0087100C" w:rsidRPr="00D45CA2">
        <w:rPr>
          <w:rFonts w:ascii="Arial" w:hAnsi="Arial" w:cs="David" w:hint="cs"/>
          <w:rtl/>
        </w:rPr>
        <w:t xml:space="preserve"> </w:t>
      </w:r>
      <w:r w:rsidR="00AA4817" w:rsidRPr="00D45CA2">
        <w:rPr>
          <w:rFonts w:ascii="Arial" w:hAnsi="Arial" w:cs="David" w:hint="cs"/>
          <w:rtl/>
        </w:rPr>
        <w:t>במהלך</w:t>
      </w:r>
      <w:r w:rsidR="00785F18" w:rsidRPr="00D45CA2">
        <w:rPr>
          <w:rFonts w:ascii="Arial" w:hAnsi="Arial" w:cs="David" w:hint="cs"/>
          <w:rtl/>
        </w:rPr>
        <w:t xml:space="preserve"> </w:t>
      </w:r>
      <w:r w:rsidR="00AA4817" w:rsidRPr="00D45CA2">
        <w:rPr>
          <w:rFonts w:ascii="Arial" w:hAnsi="Arial" w:cs="David" w:hint="cs"/>
          <w:rtl/>
        </w:rPr>
        <w:t>ה</w:t>
      </w:r>
      <w:r w:rsidR="00EA0CA3" w:rsidRPr="00D45CA2">
        <w:rPr>
          <w:rFonts w:ascii="Arial" w:hAnsi="Arial" w:cs="David" w:hint="cs"/>
          <w:rtl/>
        </w:rPr>
        <w:t xml:space="preserve">רביע </w:t>
      </w:r>
      <w:r w:rsidR="00AD1765" w:rsidRPr="00D45CA2">
        <w:rPr>
          <w:rFonts w:ascii="Arial" w:hAnsi="Arial" w:cs="David" w:hint="cs"/>
          <w:rtl/>
        </w:rPr>
        <w:t>ה</w:t>
      </w:r>
      <w:r w:rsidR="008B1CA7">
        <w:rPr>
          <w:rFonts w:ascii="Arial" w:hAnsi="Arial" w:cs="David" w:hint="cs"/>
          <w:rtl/>
        </w:rPr>
        <w:t>שלישי</w:t>
      </w:r>
    </w:p>
    <w:p w:rsidR="001F545C" w:rsidRPr="00D45CA2" w:rsidRDefault="00AA4817" w:rsidP="00B14645">
      <w:pPr>
        <w:spacing w:line="360" w:lineRule="auto"/>
        <w:jc w:val="both"/>
        <w:rPr>
          <w:rFonts w:ascii="Arial" w:hAnsi="Arial" w:cs="David"/>
          <w:rtl/>
        </w:rPr>
      </w:pPr>
      <w:r w:rsidRPr="00D45CA2">
        <w:rPr>
          <w:rFonts w:ascii="Arial" w:hAnsi="Arial" w:cs="David" w:hint="cs"/>
          <w:rtl/>
        </w:rPr>
        <w:t xml:space="preserve"> </w:t>
      </w:r>
      <w:r w:rsidR="003F2CC2" w:rsidRPr="00D45CA2">
        <w:rPr>
          <w:rFonts w:ascii="Arial" w:hAnsi="Arial" w:cs="David" w:hint="cs"/>
          <w:rtl/>
        </w:rPr>
        <w:t>ב-</w:t>
      </w:r>
      <w:r w:rsidR="005A6716">
        <w:rPr>
          <w:rFonts w:ascii="Arial" w:hAnsi="Arial" w:cs="David" w:hint="cs"/>
          <w:rtl/>
        </w:rPr>
        <w:t xml:space="preserve"> 1.</w:t>
      </w:r>
      <w:r w:rsidR="00B14645">
        <w:rPr>
          <w:rFonts w:ascii="Arial" w:hAnsi="Arial" w:cs="David" w:hint="cs"/>
          <w:rtl/>
        </w:rPr>
        <w:t xml:space="preserve">5 </w:t>
      </w:r>
      <w:r w:rsidR="003F2CC2" w:rsidRPr="00D45CA2">
        <w:rPr>
          <w:rFonts w:ascii="Arial" w:hAnsi="Arial" w:cs="David" w:hint="cs"/>
          <w:rtl/>
        </w:rPr>
        <w:t>מיליארד</w:t>
      </w:r>
      <w:r w:rsidR="00A16522" w:rsidRPr="00D45CA2">
        <w:rPr>
          <w:rFonts w:ascii="Arial" w:hAnsi="Arial" w:cs="David" w:hint="cs"/>
          <w:rtl/>
        </w:rPr>
        <w:t>י</w:t>
      </w:r>
      <w:r w:rsidR="003F2CC2" w:rsidRPr="00D45CA2">
        <w:rPr>
          <w:rFonts w:ascii="Arial" w:hAnsi="Arial" w:cs="David" w:hint="cs"/>
          <w:rtl/>
        </w:rPr>
        <w:t xml:space="preserve"> דולר</w:t>
      </w:r>
      <w:r w:rsidR="00A16522" w:rsidRPr="00D45CA2">
        <w:rPr>
          <w:rFonts w:ascii="Arial" w:hAnsi="Arial" w:cs="David" w:hint="cs"/>
          <w:rtl/>
        </w:rPr>
        <w:t>ים (</w:t>
      </w:r>
      <w:r w:rsidR="005A6716">
        <w:rPr>
          <w:rFonts w:ascii="Arial" w:hAnsi="Arial" w:cs="David" w:hint="cs"/>
          <w:rtl/>
        </w:rPr>
        <w:t>0</w:t>
      </w:r>
      <w:r w:rsidR="00D45CA2" w:rsidRPr="00D45CA2">
        <w:rPr>
          <w:rFonts w:ascii="Arial" w:hAnsi="Arial" w:cs="David" w:hint="cs"/>
          <w:rtl/>
        </w:rPr>
        <w:t>.9</w:t>
      </w:r>
      <w:r w:rsidR="00A16522" w:rsidRPr="00D45CA2">
        <w:rPr>
          <w:rFonts w:ascii="Arial" w:hAnsi="Arial" w:cs="David" w:hint="cs"/>
          <w:rtl/>
        </w:rPr>
        <w:t>%)</w:t>
      </w:r>
      <w:r w:rsidR="003F2CC2" w:rsidRPr="00D45CA2">
        <w:rPr>
          <w:rFonts w:ascii="Arial" w:hAnsi="Arial" w:cs="David" w:hint="cs"/>
          <w:rtl/>
        </w:rPr>
        <w:t xml:space="preserve"> </w:t>
      </w:r>
      <w:r w:rsidR="0087100C" w:rsidRPr="00D45CA2">
        <w:rPr>
          <w:rFonts w:ascii="Arial" w:hAnsi="Arial" w:cs="David" w:hint="cs"/>
          <w:rtl/>
        </w:rPr>
        <w:t>ו</w:t>
      </w:r>
      <w:r w:rsidR="00A16522" w:rsidRPr="00D45CA2">
        <w:rPr>
          <w:rFonts w:ascii="Arial" w:hAnsi="Arial" w:cs="David" w:hint="cs"/>
          <w:rtl/>
        </w:rPr>
        <w:t xml:space="preserve">הגיע </w:t>
      </w:r>
      <w:r w:rsidR="00922388" w:rsidRPr="00D45CA2">
        <w:rPr>
          <w:rFonts w:ascii="Arial" w:hAnsi="Arial" w:cs="David" w:hint="cs"/>
          <w:rtl/>
        </w:rPr>
        <w:t xml:space="preserve">בסוף </w:t>
      </w:r>
      <w:r w:rsidR="005A6716">
        <w:rPr>
          <w:rFonts w:ascii="Arial" w:hAnsi="Arial" w:cs="David" w:hint="cs"/>
          <w:rtl/>
        </w:rPr>
        <w:t>ספטמבר</w:t>
      </w:r>
      <w:r w:rsidR="00922388" w:rsidRPr="00D45CA2">
        <w:rPr>
          <w:rFonts w:ascii="Arial" w:hAnsi="Arial" w:cs="David" w:hint="cs"/>
          <w:rtl/>
        </w:rPr>
        <w:t xml:space="preserve"> </w:t>
      </w:r>
      <w:r w:rsidR="003F2CC2" w:rsidRPr="00D45CA2">
        <w:rPr>
          <w:rFonts w:ascii="Arial" w:hAnsi="Arial" w:cs="David" w:hint="cs"/>
          <w:rtl/>
        </w:rPr>
        <w:t>ל</w:t>
      </w:r>
      <w:r w:rsidR="0087100C" w:rsidRPr="00D45CA2">
        <w:rPr>
          <w:rFonts w:ascii="Arial" w:hAnsi="Arial" w:cs="David" w:hint="cs"/>
          <w:rtl/>
        </w:rPr>
        <w:t>רמה של</w:t>
      </w:r>
      <w:r w:rsidR="00EA0CA3" w:rsidRPr="00D45CA2">
        <w:rPr>
          <w:rFonts w:ascii="Arial" w:hAnsi="Arial" w:cs="David" w:hint="cs"/>
          <w:rtl/>
        </w:rPr>
        <w:t xml:space="preserve"> </w:t>
      </w:r>
      <w:r w:rsidR="00AD1765" w:rsidRPr="00D45CA2">
        <w:rPr>
          <w:rFonts w:ascii="Arial" w:hAnsi="Arial" w:cs="David" w:hint="cs"/>
          <w:rtl/>
        </w:rPr>
        <w:t>1</w:t>
      </w:r>
      <w:r w:rsidR="00D45CA2" w:rsidRPr="00D45CA2">
        <w:rPr>
          <w:rFonts w:ascii="Arial" w:hAnsi="Arial" w:cs="David" w:hint="cs"/>
          <w:rtl/>
        </w:rPr>
        <w:t>62</w:t>
      </w:r>
      <w:r w:rsidR="00F9624C" w:rsidRPr="00D45CA2">
        <w:rPr>
          <w:rFonts w:ascii="Arial" w:hAnsi="Arial" w:cs="David" w:hint="cs"/>
          <w:rtl/>
        </w:rPr>
        <w:t xml:space="preserve"> </w:t>
      </w:r>
      <w:r w:rsidR="00EA0CA3" w:rsidRPr="00D45CA2">
        <w:rPr>
          <w:rFonts w:ascii="Arial" w:hAnsi="Arial" w:cs="David" w:hint="cs"/>
          <w:rtl/>
        </w:rPr>
        <w:t>מיליארד</w:t>
      </w:r>
      <w:r w:rsidR="00F9624C" w:rsidRPr="00D45CA2">
        <w:rPr>
          <w:rFonts w:ascii="Arial" w:hAnsi="Arial" w:cs="David" w:hint="cs"/>
          <w:rtl/>
        </w:rPr>
        <w:t>י</w:t>
      </w:r>
      <w:r w:rsidR="00EA0CA3" w:rsidRPr="00D45CA2">
        <w:rPr>
          <w:rFonts w:ascii="Arial" w:hAnsi="Arial" w:cs="David" w:hint="cs"/>
          <w:rtl/>
        </w:rPr>
        <w:t xml:space="preserve"> דולר</w:t>
      </w:r>
      <w:r w:rsidR="00F9624C" w:rsidRPr="00D45CA2">
        <w:rPr>
          <w:rFonts w:ascii="Arial" w:hAnsi="Arial" w:cs="David" w:hint="cs"/>
          <w:rtl/>
        </w:rPr>
        <w:t>ים</w:t>
      </w:r>
      <w:r w:rsidR="00EA0CA3" w:rsidRPr="00D45CA2">
        <w:rPr>
          <w:rFonts w:ascii="Arial" w:hAnsi="Arial" w:cs="David" w:hint="cs"/>
          <w:rtl/>
        </w:rPr>
        <w:t xml:space="preserve"> </w:t>
      </w:r>
      <w:r w:rsidR="00172E92" w:rsidRPr="00D45CA2">
        <w:rPr>
          <w:rFonts w:ascii="Arial" w:hAnsi="Arial" w:cs="David" w:hint="cs"/>
          <w:rtl/>
        </w:rPr>
        <w:t xml:space="preserve">(תרשים </w:t>
      </w:r>
      <w:r w:rsidR="00212D62" w:rsidRPr="00D45CA2">
        <w:rPr>
          <w:rFonts w:ascii="Arial" w:hAnsi="Arial" w:cs="David" w:hint="cs"/>
          <w:rtl/>
        </w:rPr>
        <w:t>6</w:t>
      </w:r>
      <w:r w:rsidR="00172E92" w:rsidRPr="00D45CA2">
        <w:rPr>
          <w:rFonts w:ascii="Arial" w:hAnsi="Arial" w:cs="David" w:hint="cs"/>
          <w:rtl/>
        </w:rPr>
        <w:t>)</w:t>
      </w:r>
      <w:r w:rsidR="001F545C" w:rsidRPr="00D45CA2">
        <w:rPr>
          <w:rFonts w:ascii="Arial" w:hAnsi="Arial" w:cs="David" w:hint="cs"/>
          <w:rtl/>
        </w:rPr>
        <w:t>.</w:t>
      </w:r>
      <w:r w:rsidR="00785F18" w:rsidRPr="00D45CA2">
        <w:rPr>
          <w:rFonts w:ascii="Arial" w:hAnsi="Arial" w:cs="David" w:hint="cs"/>
          <w:rtl/>
        </w:rPr>
        <w:t xml:space="preserve"> </w:t>
      </w:r>
    </w:p>
    <w:p w:rsidR="009522BF" w:rsidRDefault="009522BF" w:rsidP="008B5A32">
      <w:pPr>
        <w:spacing w:line="360" w:lineRule="auto"/>
        <w:jc w:val="both"/>
        <w:rPr>
          <w:rFonts w:ascii="Arial" w:hAnsi="Arial" w:cs="David"/>
          <w:rtl/>
        </w:rPr>
      </w:pPr>
      <w:r w:rsidRPr="00D45CA2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2A768F" w:rsidRPr="00D45CA2">
        <w:rPr>
          <w:rFonts w:ascii="Arial" w:hAnsi="Arial" w:cs="David" w:hint="cs"/>
          <w:rtl/>
        </w:rPr>
        <w:t xml:space="preserve"> (פירעון/מימוש תוך שנה) </w:t>
      </w:r>
      <w:r w:rsidR="00183594">
        <w:rPr>
          <w:rFonts w:ascii="Arial" w:hAnsi="Arial" w:cs="David" w:hint="cs"/>
          <w:rtl/>
        </w:rPr>
        <w:t>עלתה ברביע השלישי ב</w:t>
      </w:r>
      <w:r w:rsidR="005B7FF7">
        <w:rPr>
          <w:rFonts w:ascii="Arial" w:hAnsi="Arial" w:cs="David" w:hint="cs"/>
          <w:rtl/>
        </w:rPr>
        <w:t>-</w:t>
      </w:r>
      <w:r w:rsidR="00183594">
        <w:rPr>
          <w:rFonts w:ascii="Arial" w:hAnsi="Arial" w:cs="David" w:hint="cs"/>
          <w:rtl/>
        </w:rPr>
        <w:t>2.7 מיליארדי דולרים</w:t>
      </w:r>
      <w:r w:rsidR="008731B6" w:rsidRPr="00D45CA2">
        <w:rPr>
          <w:rFonts w:ascii="Arial" w:hAnsi="Arial" w:cs="David" w:hint="cs"/>
          <w:rtl/>
        </w:rPr>
        <w:t xml:space="preserve"> </w:t>
      </w:r>
      <w:r w:rsidR="00A16522" w:rsidRPr="00D45CA2">
        <w:rPr>
          <w:rFonts w:ascii="Arial" w:hAnsi="Arial" w:cs="David" w:hint="cs"/>
          <w:rtl/>
        </w:rPr>
        <w:t>ו</w:t>
      </w:r>
      <w:r w:rsidRPr="00D45CA2">
        <w:rPr>
          <w:rFonts w:ascii="Arial" w:hAnsi="Arial" w:cs="David" w:hint="cs"/>
          <w:rtl/>
        </w:rPr>
        <w:t xml:space="preserve">עמדה </w:t>
      </w:r>
      <w:r w:rsidRPr="00D45CA2">
        <w:rPr>
          <w:rFonts w:ascii="Arial" w:hAnsi="Arial" w:cs="David"/>
          <w:rtl/>
        </w:rPr>
        <w:t>בסוף</w:t>
      </w:r>
      <w:r w:rsidR="005F7ED1" w:rsidRPr="00D45CA2">
        <w:rPr>
          <w:rFonts w:ascii="Arial" w:hAnsi="Arial" w:cs="David" w:hint="cs"/>
          <w:rtl/>
        </w:rPr>
        <w:t xml:space="preserve"> </w:t>
      </w:r>
      <w:r w:rsidR="00F86ED1" w:rsidRPr="00D45CA2">
        <w:rPr>
          <w:rFonts w:ascii="Arial" w:hAnsi="Arial" w:cs="David" w:hint="cs"/>
          <w:rtl/>
        </w:rPr>
        <w:t xml:space="preserve">הרביע </w:t>
      </w:r>
      <w:r w:rsidR="008731B6" w:rsidRPr="00D45CA2">
        <w:rPr>
          <w:rFonts w:ascii="Arial" w:hAnsi="Arial" w:cs="David" w:hint="cs"/>
          <w:rtl/>
        </w:rPr>
        <w:t>ה</w:t>
      </w:r>
      <w:r w:rsidR="00627074">
        <w:rPr>
          <w:rFonts w:ascii="Arial" w:hAnsi="Arial" w:cs="David" w:hint="cs"/>
          <w:rtl/>
        </w:rPr>
        <w:t>שלישי</w:t>
      </w:r>
      <w:r w:rsidR="008731B6" w:rsidRPr="00D45CA2">
        <w:rPr>
          <w:rFonts w:ascii="Arial" w:hAnsi="Arial" w:cs="David" w:hint="cs"/>
          <w:rtl/>
        </w:rPr>
        <w:t xml:space="preserve"> </w:t>
      </w:r>
      <w:r w:rsidRPr="00D45CA2">
        <w:rPr>
          <w:rFonts w:ascii="Arial" w:hAnsi="Arial" w:cs="David" w:hint="cs"/>
          <w:rtl/>
        </w:rPr>
        <w:t xml:space="preserve">על </w:t>
      </w:r>
      <w:r w:rsidR="0087100C" w:rsidRPr="00D45CA2">
        <w:rPr>
          <w:rFonts w:ascii="Arial" w:hAnsi="Arial" w:cs="David" w:hint="cs"/>
          <w:rtl/>
        </w:rPr>
        <w:t>16</w:t>
      </w:r>
      <w:r w:rsidR="00627074">
        <w:rPr>
          <w:rFonts w:ascii="Arial" w:hAnsi="Arial" w:cs="David" w:hint="cs"/>
          <w:rtl/>
        </w:rPr>
        <w:t>6.4</w:t>
      </w:r>
      <w:r w:rsidR="00183594">
        <w:rPr>
          <w:rFonts w:ascii="Arial" w:hAnsi="Arial" w:cs="David"/>
          <w:rtl/>
        </w:rPr>
        <w:t xml:space="preserve"> מיליארד</w:t>
      </w:r>
      <w:r w:rsidRPr="00D45CA2">
        <w:rPr>
          <w:rFonts w:ascii="Arial" w:hAnsi="Arial" w:cs="David" w:hint="cs"/>
          <w:rtl/>
        </w:rPr>
        <w:t>ים</w:t>
      </w:r>
      <w:r w:rsidR="002A768F" w:rsidRPr="00D45CA2">
        <w:rPr>
          <w:rFonts w:ascii="Arial" w:hAnsi="Arial" w:cs="David" w:hint="cs"/>
          <w:rtl/>
        </w:rPr>
        <w:t>,</w:t>
      </w:r>
      <w:r w:rsidR="00A16522" w:rsidRPr="00D45CA2">
        <w:rPr>
          <w:rFonts w:ascii="Arial" w:hAnsi="Arial" w:cs="David" w:hint="cs"/>
          <w:rtl/>
        </w:rPr>
        <w:t xml:space="preserve"> </w:t>
      </w:r>
      <w:r w:rsidR="00183594">
        <w:rPr>
          <w:rFonts w:ascii="Arial" w:hAnsi="Arial" w:cs="David" w:hint="cs"/>
          <w:rtl/>
        </w:rPr>
        <w:t>מתוכם</w:t>
      </w:r>
      <w:r w:rsidR="002A768F" w:rsidRPr="00D45CA2">
        <w:rPr>
          <w:rFonts w:ascii="Arial" w:hAnsi="Arial" w:cs="David" w:hint="cs"/>
          <w:rtl/>
        </w:rPr>
        <w:t xml:space="preserve"> </w:t>
      </w:r>
      <w:r w:rsidR="008B5A32">
        <w:rPr>
          <w:rFonts w:ascii="Arial" w:hAnsi="Arial" w:cs="David" w:hint="cs"/>
          <w:rtl/>
        </w:rPr>
        <w:t xml:space="preserve">כ-120 </w:t>
      </w:r>
      <w:r w:rsidR="002A768F" w:rsidRPr="00D45CA2">
        <w:rPr>
          <w:rFonts w:ascii="Arial" w:hAnsi="Arial" w:cs="David" w:hint="cs"/>
          <w:rtl/>
        </w:rPr>
        <w:t>מיליארד</w:t>
      </w:r>
      <w:r w:rsidR="00183594">
        <w:rPr>
          <w:rFonts w:ascii="Arial" w:hAnsi="Arial" w:cs="David" w:hint="cs"/>
          <w:rtl/>
        </w:rPr>
        <w:t>ים</w:t>
      </w:r>
      <w:r w:rsidR="002A768F" w:rsidRPr="00D45CA2">
        <w:rPr>
          <w:rFonts w:ascii="Arial" w:hAnsi="Arial" w:cs="David" w:hint="cs"/>
          <w:rtl/>
        </w:rPr>
        <w:t xml:space="preserve"> </w:t>
      </w:r>
      <w:r w:rsidR="00183594">
        <w:rPr>
          <w:rFonts w:ascii="Arial" w:hAnsi="Arial" w:cs="David" w:hint="cs"/>
          <w:rtl/>
        </w:rPr>
        <w:t xml:space="preserve">הן </w:t>
      </w:r>
      <w:r w:rsidR="00A16522" w:rsidRPr="00D45CA2">
        <w:rPr>
          <w:rFonts w:ascii="Arial" w:hAnsi="Arial" w:cs="David" w:hint="cs"/>
          <w:rtl/>
        </w:rPr>
        <w:t xml:space="preserve">רזרבות </w:t>
      </w:r>
      <w:r w:rsidR="005B7FF7">
        <w:rPr>
          <w:rFonts w:ascii="Arial" w:hAnsi="Arial" w:cs="David" w:hint="cs"/>
          <w:rtl/>
        </w:rPr>
        <w:t>ה</w:t>
      </w:r>
      <w:r w:rsidR="00A16522" w:rsidRPr="00D45CA2">
        <w:rPr>
          <w:rFonts w:ascii="Arial" w:hAnsi="Arial" w:cs="David" w:hint="cs"/>
          <w:rtl/>
        </w:rPr>
        <w:t>מט"ח בבנק ישראל</w:t>
      </w:r>
      <w:r w:rsidR="002A768F" w:rsidRPr="00D45CA2">
        <w:rPr>
          <w:rFonts w:ascii="Arial" w:hAnsi="Arial" w:cs="David" w:hint="cs"/>
          <w:rtl/>
        </w:rPr>
        <w:t>. יתרה זו</w:t>
      </w:r>
      <w:r w:rsidR="00A16522" w:rsidRPr="00D45CA2">
        <w:rPr>
          <w:rFonts w:ascii="Arial" w:hAnsi="Arial" w:cs="David" w:hint="cs"/>
          <w:rtl/>
        </w:rPr>
        <w:t xml:space="preserve"> משקפת יחס כיסוי של פי 4.</w:t>
      </w:r>
      <w:r w:rsidR="00D45CA2">
        <w:rPr>
          <w:rFonts w:ascii="Arial" w:hAnsi="Arial" w:cs="David" w:hint="cs"/>
          <w:rtl/>
        </w:rPr>
        <w:t>3</w:t>
      </w:r>
      <w:r w:rsidR="00A16522" w:rsidRPr="00D45CA2">
        <w:rPr>
          <w:rFonts w:ascii="Arial" w:hAnsi="Arial" w:cs="David" w:hint="cs"/>
          <w:rtl/>
        </w:rPr>
        <w:t xml:space="preserve"> מהחוב לזמן קצר.</w:t>
      </w:r>
      <w:r w:rsidR="001E6906" w:rsidRPr="00D45CA2">
        <w:rPr>
          <w:rFonts w:ascii="Arial" w:hAnsi="Arial" w:cs="David" w:hint="cs"/>
          <w:rtl/>
        </w:rPr>
        <w:t xml:space="preserve"> </w:t>
      </w:r>
    </w:p>
    <w:p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741161" w:rsidRDefault="008B1CA7" w:rsidP="008B1CA7">
      <w:pPr>
        <w:spacing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6DE68745" wp14:editId="0EFA8950">
            <wp:extent cx="4851779" cy="2957153"/>
            <wp:effectExtent l="0" t="0" r="635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960" cy="298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2C9" w:rsidRDefault="007312C9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7312C9" w:rsidRDefault="007312C9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741161" w:rsidRPr="00D45CA2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741161" w:rsidRDefault="00741161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David"/>
          <w:rtl/>
        </w:rPr>
      </w:pPr>
    </w:p>
    <w:p w:rsidR="00884A8B" w:rsidRPr="00B516A1" w:rsidRDefault="00A76EE4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D22C5A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D22C5A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D22C5A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 w:rsidRPr="00D22C5A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C1" w:rsidRDefault="006860C1">
      <w:r>
        <w:separator/>
      </w:r>
    </w:p>
  </w:endnote>
  <w:endnote w:type="continuationSeparator" w:id="0">
    <w:p w:rsidR="006860C1" w:rsidRDefault="0068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Pr="000150C4" w:rsidRDefault="00D45CC6" w:rsidP="00C83C49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844D86">
      <w:rPr>
        <w:rFonts w:cs="David" w:hint="cs"/>
        <w:rtl/>
      </w:rPr>
      <w:t>ה</w:t>
    </w:r>
    <w:r w:rsidR="00C83C49">
      <w:rPr>
        <w:rFonts w:cs="David" w:hint="cs"/>
        <w:rtl/>
      </w:rPr>
      <w:t>שלישי</w:t>
    </w:r>
    <w:r w:rsidR="000C42BC">
      <w:rPr>
        <w:rFonts w:cs="David" w:hint="cs"/>
        <w:rtl/>
      </w:rPr>
      <w:t xml:space="preserve"> </w:t>
    </w:r>
    <w:r w:rsidRPr="00A105AE">
      <w:rPr>
        <w:rFonts w:cs="David" w:hint="cs"/>
        <w:rtl/>
      </w:rPr>
      <w:t xml:space="preserve">של שנת </w:t>
    </w:r>
    <w:r w:rsidR="00C72855" w:rsidRPr="00A105AE">
      <w:rPr>
        <w:rFonts w:cs="David" w:hint="cs"/>
        <w:rtl/>
      </w:rPr>
      <w:t>20</w:t>
    </w:r>
    <w:r w:rsidR="00A004E7">
      <w:rPr>
        <w:rFonts w:cs="David" w:hint="cs"/>
        <w:rtl/>
      </w:rPr>
      <w:t>1</w:t>
    </w:r>
    <w:r w:rsidR="000C42BC">
      <w:rPr>
        <w:rFonts w:cs="David" w:hint="cs"/>
        <w:rtl/>
      </w:rPr>
      <w:t>9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A76EE4">
      <w:rPr>
        <w:rFonts w:cs="David"/>
        <w:b/>
        <w:bCs/>
        <w:noProof/>
        <w:rtl/>
      </w:rPr>
      <w:t>1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A76EE4">
      <w:rPr>
        <w:rFonts w:cs="David"/>
        <w:b/>
        <w:bCs/>
        <w:noProof/>
        <w:rtl/>
      </w:rPr>
      <w:t>6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C1" w:rsidRDefault="006860C1">
      <w:r>
        <w:separator/>
      </w:r>
    </w:p>
  </w:footnote>
  <w:footnote w:type="continuationSeparator" w:id="0">
    <w:p w:rsidR="006860C1" w:rsidRDefault="0068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7F3C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268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24D0D"/>
    <w:multiLevelType w:val="hybridMultilevel"/>
    <w:tmpl w:val="6C8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443"/>
    <w:multiLevelType w:val="hybridMultilevel"/>
    <w:tmpl w:val="B59A84C0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5A1C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2D1B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CF6"/>
    <w:rsid w:val="00075F08"/>
    <w:rsid w:val="000761AC"/>
    <w:rsid w:val="0007648A"/>
    <w:rsid w:val="00076C7A"/>
    <w:rsid w:val="00082ABB"/>
    <w:rsid w:val="000830F4"/>
    <w:rsid w:val="000837AC"/>
    <w:rsid w:val="00083E59"/>
    <w:rsid w:val="000852B0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49E8"/>
    <w:rsid w:val="00094D10"/>
    <w:rsid w:val="00095024"/>
    <w:rsid w:val="0009532A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8BE"/>
    <w:rsid w:val="000A3A08"/>
    <w:rsid w:val="000A3A38"/>
    <w:rsid w:val="000A406E"/>
    <w:rsid w:val="000A4372"/>
    <w:rsid w:val="000A6793"/>
    <w:rsid w:val="000B016F"/>
    <w:rsid w:val="000B1132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72D8"/>
    <w:rsid w:val="000D0678"/>
    <w:rsid w:val="000D1C5F"/>
    <w:rsid w:val="000D23D5"/>
    <w:rsid w:val="000D2C44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BD1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6D80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1843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594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466"/>
    <w:rsid w:val="00190C5E"/>
    <w:rsid w:val="0019132F"/>
    <w:rsid w:val="00191FE2"/>
    <w:rsid w:val="00192594"/>
    <w:rsid w:val="00192C3B"/>
    <w:rsid w:val="00195984"/>
    <w:rsid w:val="00195C6E"/>
    <w:rsid w:val="00196C3C"/>
    <w:rsid w:val="001975D6"/>
    <w:rsid w:val="00197CDA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41AC"/>
    <w:rsid w:val="001B5E81"/>
    <w:rsid w:val="001B60EB"/>
    <w:rsid w:val="001B65AD"/>
    <w:rsid w:val="001B65E4"/>
    <w:rsid w:val="001B6796"/>
    <w:rsid w:val="001B6CCF"/>
    <w:rsid w:val="001B6E49"/>
    <w:rsid w:val="001B763A"/>
    <w:rsid w:val="001C1516"/>
    <w:rsid w:val="001C18D8"/>
    <w:rsid w:val="001C20BD"/>
    <w:rsid w:val="001C282E"/>
    <w:rsid w:val="001C2DA6"/>
    <w:rsid w:val="001C3F70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906"/>
    <w:rsid w:val="001E6C92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3A0D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48E3"/>
    <w:rsid w:val="00214AB0"/>
    <w:rsid w:val="002150D3"/>
    <w:rsid w:val="002169EA"/>
    <w:rsid w:val="00216A49"/>
    <w:rsid w:val="0021746F"/>
    <w:rsid w:val="00217D61"/>
    <w:rsid w:val="002207F2"/>
    <w:rsid w:val="002216F2"/>
    <w:rsid w:val="00221960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6672"/>
    <w:rsid w:val="002367FB"/>
    <w:rsid w:val="00237D95"/>
    <w:rsid w:val="00240AFA"/>
    <w:rsid w:val="00241683"/>
    <w:rsid w:val="00241D9B"/>
    <w:rsid w:val="0024226F"/>
    <w:rsid w:val="00242C40"/>
    <w:rsid w:val="002434C9"/>
    <w:rsid w:val="00243F20"/>
    <w:rsid w:val="00244E4A"/>
    <w:rsid w:val="00245854"/>
    <w:rsid w:val="00245CF6"/>
    <w:rsid w:val="0024642F"/>
    <w:rsid w:val="00247155"/>
    <w:rsid w:val="0024715E"/>
    <w:rsid w:val="0025000A"/>
    <w:rsid w:val="00250751"/>
    <w:rsid w:val="00250838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26EC"/>
    <w:rsid w:val="0026436A"/>
    <w:rsid w:val="002644F5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108"/>
    <w:rsid w:val="00291259"/>
    <w:rsid w:val="0029184D"/>
    <w:rsid w:val="002926E9"/>
    <w:rsid w:val="002934B7"/>
    <w:rsid w:val="00293FCB"/>
    <w:rsid w:val="002941FF"/>
    <w:rsid w:val="002944B2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C7D"/>
    <w:rsid w:val="002A5E75"/>
    <w:rsid w:val="002A768F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10F"/>
    <w:rsid w:val="002B5805"/>
    <w:rsid w:val="002B58EE"/>
    <w:rsid w:val="002B63D7"/>
    <w:rsid w:val="002B73BC"/>
    <w:rsid w:val="002C0FA1"/>
    <w:rsid w:val="002C13BA"/>
    <w:rsid w:val="002C1D60"/>
    <w:rsid w:val="002C1D8F"/>
    <w:rsid w:val="002C2844"/>
    <w:rsid w:val="002C28D9"/>
    <w:rsid w:val="002C414A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D7D8A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5DFE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35D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331F"/>
    <w:rsid w:val="003149AA"/>
    <w:rsid w:val="00315EBF"/>
    <w:rsid w:val="00315F18"/>
    <w:rsid w:val="00316734"/>
    <w:rsid w:val="00321BED"/>
    <w:rsid w:val="003225C6"/>
    <w:rsid w:val="0032383B"/>
    <w:rsid w:val="00324581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3717C"/>
    <w:rsid w:val="00337599"/>
    <w:rsid w:val="0034126E"/>
    <w:rsid w:val="00341687"/>
    <w:rsid w:val="0034171E"/>
    <w:rsid w:val="00341F4D"/>
    <w:rsid w:val="00342682"/>
    <w:rsid w:val="00342B58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452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4A8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77D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897"/>
    <w:rsid w:val="00386B9C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52F"/>
    <w:rsid w:val="003A4632"/>
    <w:rsid w:val="003A509B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3D47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2CC2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00D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6153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46C1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5491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3767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646E"/>
    <w:rsid w:val="004C6C2B"/>
    <w:rsid w:val="004C6CA0"/>
    <w:rsid w:val="004C6E82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0BC2"/>
    <w:rsid w:val="004E1A65"/>
    <w:rsid w:val="004E1C27"/>
    <w:rsid w:val="004E1CDE"/>
    <w:rsid w:val="004E1D9D"/>
    <w:rsid w:val="004E2A38"/>
    <w:rsid w:val="004E2B8B"/>
    <w:rsid w:val="004E4889"/>
    <w:rsid w:val="004E49AE"/>
    <w:rsid w:val="004E50A7"/>
    <w:rsid w:val="004E5176"/>
    <w:rsid w:val="004E5ADB"/>
    <w:rsid w:val="004E6554"/>
    <w:rsid w:val="004E73C3"/>
    <w:rsid w:val="004E7611"/>
    <w:rsid w:val="004E7783"/>
    <w:rsid w:val="004E78BD"/>
    <w:rsid w:val="004E79A1"/>
    <w:rsid w:val="004E7B04"/>
    <w:rsid w:val="004F00C6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07C24"/>
    <w:rsid w:val="0051087E"/>
    <w:rsid w:val="00511669"/>
    <w:rsid w:val="00511A57"/>
    <w:rsid w:val="00511F43"/>
    <w:rsid w:val="0051262C"/>
    <w:rsid w:val="0051301C"/>
    <w:rsid w:val="00514221"/>
    <w:rsid w:val="005147E8"/>
    <w:rsid w:val="00514C9D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87"/>
    <w:rsid w:val="005324F5"/>
    <w:rsid w:val="00532594"/>
    <w:rsid w:val="00534599"/>
    <w:rsid w:val="0053463B"/>
    <w:rsid w:val="00535330"/>
    <w:rsid w:val="00535393"/>
    <w:rsid w:val="005353B3"/>
    <w:rsid w:val="00535467"/>
    <w:rsid w:val="00536DFD"/>
    <w:rsid w:val="00537605"/>
    <w:rsid w:val="0053772E"/>
    <w:rsid w:val="00540A3F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7E7"/>
    <w:rsid w:val="00551C09"/>
    <w:rsid w:val="00551E55"/>
    <w:rsid w:val="00551F46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DE8"/>
    <w:rsid w:val="00562E06"/>
    <w:rsid w:val="00563811"/>
    <w:rsid w:val="00563D92"/>
    <w:rsid w:val="0056525D"/>
    <w:rsid w:val="0056536B"/>
    <w:rsid w:val="0056598D"/>
    <w:rsid w:val="00566529"/>
    <w:rsid w:val="00566FD6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183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6716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B7FF7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1FF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473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14"/>
    <w:rsid w:val="00624072"/>
    <w:rsid w:val="006240FF"/>
    <w:rsid w:val="00624395"/>
    <w:rsid w:val="0062473C"/>
    <w:rsid w:val="00625A5B"/>
    <w:rsid w:val="006262EC"/>
    <w:rsid w:val="006264D5"/>
    <w:rsid w:val="0062686E"/>
    <w:rsid w:val="00627074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AF3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38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592D"/>
    <w:rsid w:val="006660A8"/>
    <w:rsid w:val="006666C7"/>
    <w:rsid w:val="006676D5"/>
    <w:rsid w:val="00670AFB"/>
    <w:rsid w:val="00670C47"/>
    <w:rsid w:val="00671F89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4B23"/>
    <w:rsid w:val="00685D31"/>
    <w:rsid w:val="006860C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2B8F"/>
    <w:rsid w:val="006B3083"/>
    <w:rsid w:val="006B3F70"/>
    <w:rsid w:val="006B4A9B"/>
    <w:rsid w:val="006B59AB"/>
    <w:rsid w:val="006B5DA4"/>
    <w:rsid w:val="006B701A"/>
    <w:rsid w:val="006B75C6"/>
    <w:rsid w:val="006B7B56"/>
    <w:rsid w:val="006C0915"/>
    <w:rsid w:val="006C0940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4F7"/>
    <w:rsid w:val="006F5656"/>
    <w:rsid w:val="006F5CAC"/>
    <w:rsid w:val="006F7093"/>
    <w:rsid w:val="006F7578"/>
    <w:rsid w:val="006F79A1"/>
    <w:rsid w:val="006F7A05"/>
    <w:rsid w:val="006F7C7B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8B0"/>
    <w:rsid w:val="00710EE2"/>
    <w:rsid w:val="00711304"/>
    <w:rsid w:val="00711918"/>
    <w:rsid w:val="007126B0"/>
    <w:rsid w:val="00714E51"/>
    <w:rsid w:val="00715B85"/>
    <w:rsid w:val="007163C4"/>
    <w:rsid w:val="00716555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12C9"/>
    <w:rsid w:val="00733791"/>
    <w:rsid w:val="007346B6"/>
    <w:rsid w:val="007347A9"/>
    <w:rsid w:val="0073706C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00D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BBE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A7FAC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74B"/>
    <w:rsid w:val="00803BCE"/>
    <w:rsid w:val="00803FC4"/>
    <w:rsid w:val="00804281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46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4D86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447"/>
    <w:rsid w:val="00890869"/>
    <w:rsid w:val="00891003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67C8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43D1"/>
    <w:rsid w:val="008A4EAA"/>
    <w:rsid w:val="008A52F5"/>
    <w:rsid w:val="008A5311"/>
    <w:rsid w:val="008A578E"/>
    <w:rsid w:val="008A79AC"/>
    <w:rsid w:val="008A7BF0"/>
    <w:rsid w:val="008B000B"/>
    <w:rsid w:val="008B17A5"/>
    <w:rsid w:val="008B1CA7"/>
    <w:rsid w:val="008B2E03"/>
    <w:rsid w:val="008B2E55"/>
    <w:rsid w:val="008B4E7C"/>
    <w:rsid w:val="008B5734"/>
    <w:rsid w:val="008B5A2F"/>
    <w:rsid w:val="008B5A32"/>
    <w:rsid w:val="008B5EE0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C765A"/>
    <w:rsid w:val="008D15D2"/>
    <w:rsid w:val="008D1A7F"/>
    <w:rsid w:val="008D26D0"/>
    <w:rsid w:val="008D2A62"/>
    <w:rsid w:val="008D3D52"/>
    <w:rsid w:val="008D5031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B27"/>
    <w:rsid w:val="00921B3A"/>
    <w:rsid w:val="00922388"/>
    <w:rsid w:val="00922702"/>
    <w:rsid w:val="009227E6"/>
    <w:rsid w:val="00922F75"/>
    <w:rsid w:val="00924B57"/>
    <w:rsid w:val="00926466"/>
    <w:rsid w:val="009265CF"/>
    <w:rsid w:val="00926A72"/>
    <w:rsid w:val="00926E10"/>
    <w:rsid w:val="00930517"/>
    <w:rsid w:val="00930751"/>
    <w:rsid w:val="00931172"/>
    <w:rsid w:val="009316BB"/>
    <w:rsid w:val="00931C57"/>
    <w:rsid w:val="00931C8B"/>
    <w:rsid w:val="0093237B"/>
    <w:rsid w:val="00932766"/>
    <w:rsid w:val="00933151"/>
    <w:rsid w:val="0093344B"/>
    <w:rsid w:val="009342A6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0F7B"/>
    <w:rsid w:val="009614FA"/>
    <w:rsid w:val="009627DF"/>
    <w:rsid w:val="00962E0D"/>
    <w:rsid w:val="00963C7A"/>
    <w:rsid w:val="00964410"/>
    <w:rsid w:val="009645C4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202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EF5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4AC"/>
    <w:rsid w:val="009B5D73"/>
    <w:rsid w:val="009B6B87"/>
    <w:rsid w:val="009C09AB"/>
    <w:rsid w:val="009C1028"/>
    <w:rsid w:val="009C1FB0"/>
    <w:rsid w:val="009C275B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00F"/>
    <w:rsid w:val="009E265C"/>
    <w:rsid w:val="009E2940"/>
    <w:rsid w:val="009E29EE"/>
    <w:rsid w:val="009E33F9"/>
    <w:rsid w:val="009E461E"/>
    <w:rsid w:val="009E4654"/>
    <w:rsid w:val="009E5843"/>
    <w:rsid w:val="009E585A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33E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4FF9"/>
    <w:rsid w:val="00A161BA"/>
    <w:rsid w:val="00A161D3"/>
    <w:rsid w:val="00A1641A"/>
    <w:rsid w:val="00A16522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F1"/>
    <w:rsid w:val="00A33AAF"/>
    <w:rsid w:val="00A34CAB"/>
    <w:rsid w:val="00A352BD"/>
    <w:rsid w:val="00A359AA"/>
    <w:rsid w:val="00A363A2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6EE4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23C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217"/>
    <w:rsid w:val="00AE1423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059E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7A4"/>
    <w:rsid w:val="00B11A80"/>
    <w:rsid w:val="00B11BBF"/>
    <w:rsid w:val="00B12347"/>
    <w:rsid w:val="00B1302B"/>
    <w:rsid w:val="00B142D7"/>
    <w:rsid w:val="00B14645"/>
    <w:rsid w:val="00B16C21"/>
    <w:rsid w:val="00B16F10"/>
    <w:rsid w:val="00B20550"/>
    <w:rsid w:val="00B20930"/>
    <w:rsid w:val="00B21854"/>
    <w:rsid w:val="00B22F1B"/>
    <w:rsid w:val="00B22FA4"/>
    <w:rsid w:val="00B2343C"/>
    <w:rsid w:val="00B236D1"/>
    <w:rsid w:val="00B23D35"/>
    <w:rsid w:val="00B24031"/>
    <w:rsid w:val="00B2487A"/>
    <w:rsid w:val="00B248E1"/>
    <w:rsid w:val="00B2509E"/>
    <w:rsid w:val="00B258B1"/>
    <w:rsid w:val="00B278B5"/>
    <w:rsid w:val="00B3105F"/>
    <w:rsid w:val="00B311C5"/>
    <w:rsid w:val="00B32084"/>
    <w:rsid w:val="00B32626"/>
    <w:rsid w:val="00B332F0"/>
    <w:rsid w:val="00B3376B"/>
    <w:rsid w:val="00B33887"/>
    <w:rsid w:val="00B34352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6ECC"/>
    <w:rsid w:val="00B4717F"/>
    <w:rsid w:val="00B47A7A"/>
    <w:rsid w:val="00B5023F"/>
    <w:rsid w:val="00B509A5"/>
    <w:rsid w:val="00B509F1"/>
    <w:rsid w:val="00B50C3E"/>
    <w:rsid w:val="00B513EA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1D86"/>
    <w:rsid w:val="00B729F3"/>
    <w:rsid w:val="00B72BCB"/>
    <w:rsid w:val="00B740A3"/>
    <w:rsid w:val="00B748EA"/>
    <w:rsid w:val="00B74BAD"/>
    <w:rsid w:val="00B74C18"/>
    <w:rsid w:val="00B74EA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0D1A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B7FB2"/>
    <w:rsid w:val="00BC0BAA"/>
    <w:rsid w:val="00BC1D2F"/>
    <w:rsid w:val="00BC2AB4"/>
    <w:rsid w:val="00BC3A7C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5BEF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2C39"/>
    <w:rsid w:val="00C33F8D"/>
    <w:rsid w:val="00C340A3"/>
    <w:rsid w:val="00C340A4"/>
    <w:rsid w:val="00C346B9"/>
    <w:rsid w:val="00C34D3E"/>
    <w:rsid w:val="00C3617B"/>
    <w:rsid w:val="00C36CF6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2D3"/>
    <w:rsid w:val="00C52920"/>
    <w:rsid w:val="00C534F9"/>
    <w:rsid w:val="00C53A37"/>
    <w:rsid w:val="00C53C33"/>
    <w:rsid w:val="00C53DE0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0984"/>
    <w:rsid w:val="00C724CC"/>
    <w:rsid w:val="00C726B1"/>
    <w:rsid w:val="00C727BC"/>
    <w:rsid w:val="00C72855"/>
    <w:rsid w:val="00C738FD"/>
    <w:rsid w:val="00C73C05"/>
    <w:rsid w:val="00C73E9E"/>
    <w:rsid w:val="00C741C4"/>
    <w:rsid w:val="00C754AF"/>
    <w:rsid w:val="00C7572D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3C49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3BEF"/>
    <w:rsid w:val="00CA446F"/>
    <w:rsid w:val="00CA44A5"/>
    <w:rsid w:val="00CA46A6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D99"/>
    <w:rsid w:val="00CB3F68"/>
    <w:rsid w:val="00CB4D60"/>
    <w:rsid w:val="00CB5F9F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1B06"/>
    <w:rsid w:val="00CC1DF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68A"/>
    <w:rsid w:val="00CD5D7E"/>
    <w:rsid w:val="00CD5E2E"/>
    <w:rsid w:val="00CD5FF7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210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41A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580"/>
    <w:rsid w:val="00D42CB7"/>
    <w:rsid w:val="00D42CF0"/>
    <w:rsid w:val="00D42D51"/>
    <w:rsid w:val="00D43BBB"/>
    <w:rsid w:val="00D441F8"/>
    <w:rsid w:val="00D443B3"/>
    <w:rsid w:val="00D44E54"/>
    <w:rsid w:val="00D45999"/>
    <w:rsid w:val="00D45BF1"/>
    <w:rsid w:val="00D45CA2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793"/>
    <w:rsid w:val="00D55E77"/>
    <w:rsid w:val="00D563E0"/>
    <w:rsid w:val="00D569AA"/>
    <w:rsid w:val="00D56FDA"/>
    <w:rsid w:val="00D57CB6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541D"/>
    <w:rsid w:val="00D661C2"/>
    <w:rsid w:val="00D665D6"/>
    <w:rsid w:val="00D671D0"/>
    <w:rsid w:val="00D70743"/>
    <w:rsid w:val="00D70E5B"/>
    <w:rsid w:val="00D71C55"/>
    <w:rsid w:val="00D72460"/>
    <w:rsid w:val="00D726D6"/>
    <w:rsid w:val="00D72967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98A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0D1F"/>
    <w:rsid w:val="00DD2561"/>
    <w:rsid w:val="00DD290C"/>
    <w:rsid w:val="00DD2C6C"/>
    <w:rsid w:val="00DD3088"/>
    <w:rsid w:val="00DD31EF"/>
    <w:rsid w:val="00DD4C4E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B6B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27F2A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318E"/>
    <w:rsid w:val="00E440D9"/>
    <w:rsid w:val="00E45365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40F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52B"/>
    <w:rsid w:val="00E75770"/>
    <w:rsid w:val="00E75D24"/>
    <w:rsid w:val="00E75DEE"/>
    <w:rsid w:val="00E76B37"/>
    <w:rsid w:val="00E76F93"/>
    <w:rsid w:val="00E77CF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6BC"/>
    <w:rsid w:val="00E951A9"/>
    <w:rsid w:val="00E9538C"/>
    <w:rsid w:val="00E95830"/>
    <w:rsid w:val="00E95A20"/>
    <w:rsid w:val="00E95D04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94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664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53D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1D"/>
    <w:rsid w:val="00F81531"/>
    <w:rsid w:val="00F82753"/>
    <w:rsid w:val="00F83769"/>
    <w:rsid w:val="00F848B6"/>
    <w:rsid w:val="00F86ED1"/>
    <w:rsid w:val="00F872B7"/>
    <w:rsid w:val="00F90AE7"/>
    <w:rsid w:val="00F9229B"/>
    <w:rsid w:val="00F92B7D"/>
    <w:rsid w:val="00F93CFB"/>
    <w:rsid w:val="00F946D9"/>
    <w:rsid w:val="00F9493D"/>
    <w:rsid w:val="00F94DA7"/>
    <w:rsid w:val="00F9624C"/>
    <w:rsid w:val="00F965A6"/>
    <w:rsid w:val="00F968C5"/>
    <w:rsid w:val="00F96D43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806"/>
    <w:rsid w:val="00FA6B3C"/>
    <w:rsid w:val="00FA6D66"/>
    <w:rsid w:val="00FA6F50"/>
    <w:rsid w:val="00FB0E71"/>
    <w:rsid w:val="00FB1297"/>
    <w:rsid w:val="00FB1799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19B3"/>
    <w:rsid w:val="00FD28B0"/>
    <w:rsid w:val="00FD28BF"/>
    <w:rsid w:val="00FD2942"/>
    <w:rsid w:val="00FD3084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B8A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27A6"/>
    <w:rsid w:val="00FF31D8"/>
    <w:rsid w:val="00FF3A00"/>
    <w:rsid w:val="00FF49C9"/>
    <w:rsid w:val="00FF4F2A"/>
    <w:rsid w:val="00FF55B9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772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  <w:style w:type="paragraph" w:styleId="af7">
    <w:name w:val="List Paragraph"/>
    <w:basedOn w:val="a"/>
    <w:uiPriority w:val="34"/>
    <w:qFormat/>
    <w:rsid w:val="005E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6AF3D51-88D0-4A60-8C6E-2320EC66A86C}"/>
</file>

<file path=customXml/itemProps2.xml><?xml version="1.0" encoding="utf-8"?>
<ds:datastoreItem xmlns:ds="http://schemas.openxmlformats.org/officeDocument/2006/customXml" ds:itemID="{D0C62FF0-47CD-402D-8083-1F09C64F8DEF}"/>
</file>

<file path=customXml/itemProps3.xml><?xml version="1.0" encoding="utf-8"?>
<ds:datastoreItem xmlns:ds="http://schemas.openxmlformats.org/officeDocument/2006/customXml" ds:itemID="{C6E1B578-443D-4232-9983-3B505328E089}"/>
</file>

<file path=customXml/itemProps4.xml><?xml version="1.0" encoding="utf-8"?>
<ds:datastoreItem xmlns:ds="http://schemas.openxmlformats.org/officeDocument/2006/customXml" ds:itemID="{72B34F55-5901-42D8-8AD7-6A4A98ED0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5159</Characters>
  <Application>Microsoft Office Word</Application>
  <DocSecurity>4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6123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2019-12-17T10:26:00Z</dcterms:created>
  <dcterms:modified xsi:type="dcterms:W3CDTF">2019-12-17T10:26:00Z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