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jc w:val="center"/>
        <w:tblLayout w:type="fixed"/>
        <w:tblLook w:val="0000" w:firstRow="0" w:lastRow="0" w:firstColumn="0" w:lastColumn="0" w:noHBand="0" w:noVBand="0"/>
      </w:tblPr>
      <w:tblGrid>
        <w:gridCol w:w="2840"/>
        <w:gridCol w:w="2596"/>
        <w:gridCol w:w="3084"/>
      </w:tblGrid>
      <w:tr w:rsidR="006E4A40" w:rsidRPr="00A67536" w:rsidTr="000657A8">
        <w:trPr>
          <w:trHeight w:val="1701"/>
          <w:jc w:val="center"/>
        </w:trPr>
        <w:tc>
          <w:tcPr>
            <w:tcW w:w="2840" w:type="dxa"/>
            <w:tcBorders>
              <w:top w:val="nil"/>
              <w:left w:val="nil"/>
              <w:bottom w:val="nil"/>
              <w:right w:val="nil"/>
            </w:tcBorders>
            <w:vAlign w:val="center"/>
          </w:tcPr>
          <w:p w:rsidR="006E4A40" w:rsidRPr="00A67536" w:rsidRDefault="00AA42F2" w:rsidP="00DD735B">
            <w:pPr>
              <w:spacing w:line="360" w:lineRule="auto"/>
              <w:jc w:val="both"/>
              <w:rPr>
                <w:rFonts w:cs="David"/>
                <w:b/>
                <w:bCs/>
                <w:sz w:val="28"/>
                <w:szCs w:val="28"/>
              </w:rPr>
            </w:pPr>
            <w:r>
              <w:rPr>
                <w:rFonts w:cs="David" w:hint="cs"/>
                <w:b/>
                <w:bCs/>
                <w:sz w:val="28"/>
                <w:szCs w:val="28"/>
                <w:rtl/>
              </w:rPr>
              <w:t xml:space="preserve">     </w:t>
            </w:r>
            <w:r w:rsidR="006E4A40" w:rsidRPr="00A67536">
              <w:rPr>
                <w:rFonts w:cs="David"/>
                <w:b/>
                <w:bCs/>
                <w:sz w:val="28"/>
                <w:szCs w:val="28"/>
                <w:rtl/>
              </w:rPr>
              <w:t>בנ</w:t>
            </w:r>
            <w:r w:rsidR="006E4A40" w:rsidRPr="00A67536">
              <w:rPr>
                <w:rFonts w:cs="David" w:hint="cs"/>
                <w:b/>
                <w:bCs/>
                <w:sz w:val="28"/>
                <w:szCs w:val="28"/>
                <w:rtl/>
              </w:rPr>
              <w:t xml:space="preserve">ק </w:t>
            </w:r>
            <w:r w:rsidR="006E4A40" w:rsidRPr="00A67536">
              <w:rPr>
                <w:rFonts w:cs="David"/>
                <w:b/>
                <w:bCs/>
                <w:sz w:val="28"/>
                <w:szCs w:val="28"/>
                <w:rtl/>
              </w:rPr>
              <w:t>יש</w:t>
            </w:r>
            <w:r w:rsidR="006E4A40" w:rsidRPr="00A67536">
              <w:rPr>
                <w:rFonts w:cs="David" w:hint="cs"/>
                <w:b/>
                <w:bCs/>
                <w:sz w:val="28"/>
                <w:szCs w:val="28"/>
                <w:rtl/>
              </w:rPr>
              <w:t>ראל</w:t>
            </w:r>
          </w:p>
          <w:p w:rsidR="006E4A40" w:rsidRDefault="006E4A40" w:rsidP="00DD735B">
            <w:pPr>
              <w:spacing w:line="360" w:lineRule="auto"/>
              <w:ind w:right="-101"/>
              <w:jc w:val="both"/>
              <w:rPr>
                <w:sz w:val="24"/>
                <w:szCs w:val="24"/>
                <w:rtl/>
              </w:rPr>
            </w:pPr>
            <w:r w:rsidRPr="00A67536">
              <w:rPr>
                <w:rFonts w:cs="David"/>
                <w:sz w:val="24"/>
                <w:szCs w:val="24"/>
                <w:rtl/>
              </w:rPr>
              <w:t>דו</w:t>
            </w:r>
            <w:r w:rsidRPr="00A67536">
              <w:rPr>
                <w:rFonts w:cs="David" w:hint="cs"/>
                <w:sz w:val="24"/>
                <w:szCs w:val="24"/>
                <w:rtl/>
              </w:rPr>
              <w:t>בר</w:t>
            </w:r>
            <w:r w:rsidRPr="00A67536">
              <w:rPr>
                <w:rFonts w:cs="David"/>
                <w:sz w:val="24"/>
                <w:szCs w:val="24"/>
                <w:rtl/>
              </w:rPr>
              <w:t>ות</w:t>
            </w:r>
            <w:r w:rsidRPr="00A67536">
              <w:rPr>
                <w:rFonts w:cs="David" w:hint="cs"/>
                <w:sz w:val="24"/>
                <w:szCs w:val="24"/>
                <w:rtl/>
              </w:rPr>
              <w:t xml:space="preserve"> והסברה כלכלית</w:t>
            </w:r>
          </w:p>
          <w:p w:rsidR="0015142D" w:rsidRPr="00A67536" w:rsidRDefault="0015142D" w:rsidP="00DD735B">
            <w:pPr>
              <w:spacing w:line="360" w:lineRule="auto"/>
              <w:ind w:right="-101"/>
              <w:jc w:val="both"/>
              <w:rPr>
                <w:sz w:val="24"/>
                <w:szCs w:val="24"/>
              </w:rPr>
            </w:pPr>
          </w:p>
        </w:tc>
        <w:tc>
          <w:tcPr>
            <w:tcW w:w="2596" w:type="dxa"/>
            <w:tcBorders>
              <w:top w:val="nil"/>
              <w:left w:val="nil"/>
              <w:bottom w:val="nil"/>
              <w:right w:val="nil"/>
            </w:tcBorders>
          </w:tcPr>
          <w:p w:rsidR="006E4A40" w:rsidRPr="00A67536" w:rsidRDefault="00FC325B" w:rsidP="00DD735B">
            <w:pPr>
              <w:jc w:val="both"/>
            </w:pPr>
            <w:r>
              <w:rPr>
                <w:rFonts w:cs="David" w:hint="eastAsia"/>
                <w:noProof/>
                <w:sz w:val="24"/>
                <w:szCs w:val="24"/>
                <w:rtl/>
              </w:rPr>
              <w:drawing>
                <wp:anchor distT="0" distB="0" distL="114300" distR="114300" simplePos="0" relativeHeight="251679744" behindDoc="0" locked="0" layoutInCell="1" allowOverlap="1" wp14:anchorId="4EDDF1D3" wp14:editId="33931D52">
                  <wp:simplePos x="0" y="0"/>
                  <wp:positionH relativeFrom="column">
                    <wp:align>center</wp:align>
                  </wp:positionH>
                  <wp:positionV relativeFrom="paragraph">
                    <wp:posOffset>33655</wp:posOffset>
                  </wp:positionV>
                  <wp:extent cx="914400" cy="914400"/>
                  <wp:effectExtent l="0" t="0" r="0" b="0"/>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nk of Israel 2 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p>
        </w:tc>
        <w:tc>
          <w:tcPr>
            <w:tcW w:w="3084" w:type="dxa"/>
            <w:tcBorders>
              <w:top w:val="nil"/>
              <w:left w:val="nil"/>
              <w:bottom w:val="nil"/>
              <w:right w:val="nil"/>
            </w:tcBorders>
            <w:vAlign w:val="center"/>
          </w:tcPr>
          <w:p w:rsidR="006E4A40" w:rsidRPr="001B64B5" w:rsidRDefault="006E4A40" w:rsidP="001B64B5">
            <w:pPr>
              <w:spacing w:line="480" w:lineRule="auto"/>
              <w:jc w:val="both"/>
              <w:rPr>
                <w:rFonts w:cs="David"/>
                <w:sz w:val="24"/>
                <w:szCs w:val="24"/>
              </w:rPr>
            </w:pPr>
            <w:r w:rsidRPr="001B64B5">
              <w:rPr>
                <w:rFonts w:cs="David" w:hint="eastAsia"/>
                <w:sz w:val="24"/>
                <w:szCs w:val="24"/>
                <w:rtl/>
              </w:rPr>
              <w:t>‏</w:t>
            </w:r>
            <w:r w:rsidRPr="001B64B5">
              <w:rPr>
                <w:rFonts w:cs="David" w:hint="cs"/>
                <w:sz w:val="24"/>
                <w:szCs w:val="24"/>
                <w:rtl/>
              </w:rPr>
              <w:t xml:space="preserve">ירושלים, </w:t>
            </w:r>
            <w:r w:rsidR="001B64B5" w:rsidRPr="001B64B5">
              <w:rPr>
                <w:rFonts w:cs="David" w:hint="cs"/>
                <w:sz w:val="24"/>
                <w:szCs w:val="24"/>
                <w:rtl/>
              </w:rPr>
              <w:t>ד</w:t>
            </w:r>
            <w:r w:rsidR="00FC325B" w:rsidRPr="001B64B5">
              <w:rPr>
                <w:rFonts w:cs="David" w:hint="cs"/>
                <w:sz w:val="24"/>
                <w:szCs w:val="24"/>
                <w:rtl/>
              </w:rPr>
              <w:t>'</w:t>
            </w:r>
            <w:r w:rsidRPr="001B64B5">
              <w:rPr>
                <w:rFonts w:cs="David" w:hint="cs"/>
                <w:sz w:val="24"/>
                <w:szCs w:val="24"/>
                <w:rtl/>
              </w:rPr>
              <w:t xml:space="preserve"> ב</w:t>
            </w:r>
            <w:r w:rsidR="001B64B5" w:rsidRPr="001B64B5">
              <w:rPr>
                <w:rFonts w:cs="David" w:hint="cs"/>
                <w:sz w:val="24"/>
                <w:szCs w:val="24"/>
                <w:rtl/>
              </w:rPr>
              <w:t xml:space="preserve">ניסן </w:t>
            </w:r>
            <w:r w:rsidRPr="001B64B5">
              <w:rPr>
                <w:rFonts w:cs="David" w:hint="cs"/>
                <w:sz w:val="24"/>
                <w:szCs w:val="24"/>
                <w:rtl/>
              </w:rPr>
              <w:t xml:space="preserve"> ה</w:t>
            </w:r>
            <w:r w:rsidRPr="001B64B5">
              <w:rPr>
                <w:rFonts w:cs="David"/>
                <w:sz w:val="24"/>
                <w:szCs w:val="24"/>
                <w:rtl/>
              </w:rPr>
              <w:t>תש</w:t>
            </w:r>
            <w:r w:rsidR="001B64B5" w:rsidRPr="001B64B5">
              <w:rPr>
                <w:rFonts w:cs="David" w:hint="cs"/>
                <w:sz w:val="24"/>
                <w:szCs w:val="24"/>
                <w:rtl/>
              </w:rPr>
              <w:t>פ</w:t>
            </w:r>
            <w:r w:rsidRPr="001B64B5">
              <w:rPr>
                <w:rFonts w:cs="David"/>
                <w:sz w:val="24"/>
                <w:szCs w:val="24"/>
                <w:rtl/>
              </w:rPr>
              <w:t>"</w:t>
            </w:r>
            <w:r w:rsidR="001B64B5" w:rsidRPr="001B64B5">
              <w:rPr>
                <w:rFonts w:cs="David" w:hint="cs"/>
                <w:sz w:val="24"/>
                <w:szCs w:val="24"/>
                <w:rtl/>
              </w:rPr>
              <w:t>א</w:t>
            </w:r>
          </w:p>
          <w:p w:rsidR="006E4A40" w:rsidRPr="001B64B5" w:rsidRDefault="006E4A40" w:rsidP="00DD735B">
            <w:pPr>
              <w:spacing w:line="480" w:lineRule="auto"/>
              <w:jc w:val="both"/>
              <w:rPr>
                <w:rFonts w:cs="David"/>
                <w:sz w:val="24"/>
                <w:szCs w:val="24"/>
              </w:rPr>
            </w:pPr>
            <w:r w:rsidRPr="001B64B5">
              <w:rPr>
                <w:rFonts w:cs="David" w:hint="eastAsia"/>
                <w:sz w:val="24"/>
                <w:szCs w:val="24"/>
                <w:rtl/>
              </w:rPr>
              <w:t>‏‏</w:t>
            </w:r>
            <w:r w:rsidR="00AA42F2">
              <w:rPr>
                <w:rFonts w:cs="David" w:hint="cs"/>
                <w:sz w:val="24"/>
                <w:szCs w:val="24"/>
                <w:rtl/>
              </w:rPr>
              <w:t xml:space="preserve">            </w:t>
            </w:r>
            <w:bookmarkStart w:id="0" w:name="_GoBack"/>
            <w:bookmarkEnd w:id="0"/>
            <w:r w:rsidR="00AA42F2">
              <w:rPr>
                <w:rFonts w:cs="David" w:hint="cs"/>
                <w:sz w:val="24"/>
                <w:szCs w:val="24"/>
                <w:rtl/>
              </w:rPr>
              <w:t xml:space="preserve">           17</w:t>
            </w:r>
            <w:r w:rsidRPr="001B64B5">
              <w:rPr>
                <w:rFonts w:cs="David" w:hint="cs"/>
                <w:sz w:val="24"/>
                <w:szCs w:val="24"/>
                <w:rtl/>
              </w:rPr>
              <w:t xml:space="preserve"> במרץ </w:t>
            </w:r>
            <w:r w:rsidR="008E7241" w:rsidRPr="001B64B5">
              <w:rPr>
                <w:rFonts w:cs="David" w:hint="cs"/>
                <w:sz w:val="24"/>
                <w:szCs w:val="24"/>
                <w:rtl/>
              </w:rPr>
              <w:t>2021</w:t>
            </w:r>
          </w:p>
        </w:tc>
      </w:tr>
    </w:tbl>
    <w:p w:rsidR="006E4A40" w:rsidRDefault="006E4A40" w:rsidP="00DD735B">
      <w:pPr>
        <w:jc w:val="both"/>
        <w:rPr>
          <w:b/>
          <w:bCs/>
          <w:rtl/>
        </w:rPr>
      </w:pPr>
      <w:r w:rsidRPr="00A67536">
        <w:rPr>
          <w:rFonts w:cs="David" w:hint="cs"/>
          <w:sz w:val="24"/>
          <w:szCs w:val="24"/>
          <w:rtl/>
        </w:rPr>
        <w:t>הודעה לעיתונות:</w:t>
      </w:r>
    </w:p>
    <w:p w:rsidR="00F62F43" w:rsidRPr="00343301" w:rsidRDefault="00964D0D" w:rsidP="00343301">
      <w:pPr>
        <w:spacing w:line="360" w:lineRule="auto"/>
        <w:jc w:val="center"/>
        <w:rPr>
          <w:rFonts w:cs="David"/>
          <w:b/>
          <w:bCs/>
          <w:sz w:val="28"/>
          <w:szCs w:val="28"/>
          <w:rtl/>
        </w:rPr>
      </w:pPr>
      <w:r w:rsidRPr="00343301">
        <w:rPr>
          <w:rFonts w:cs="David" w:hint="cs"/>
          <w:b/>
          <w:bCs/>
          <w:sz w:val="28"/>
          <w:szCs w:val="28"/>
          <w:rtl/>
        </w:rPr>
        <w:t xml:space="preserve">החטיבה למידע ולסטטיסטיקה בבנק ישראל מפרסמת היום את </w:t>
      </w:r>
      <w:r w:rsidR="00316DB3" w:rsidRPr="00343301">
        <w:rPr>
          <w:rFonts w:cs="David" w:hint="cs"/>
          <w:b/>
          <w:bCs/>
          <w:sz w:val="28"/>
          <w:szCs w:val="28"/>
          <w:rtl/>
        </w:rPr>
        <w:t xml:space="preserve">דו"ח </w:t>
      </w:r>
      <w:r w:rsidR="00F62F43" w:rsidRPr="00343301">
        <w:rPr>
          <w:rFonts w:cs="David" w:hint="cs"/>
          <w:b/>
          <w:bCs/>
          <w:sz w:val="28"/>
          <w:szCs w:val="28"/>
          <w:rtl/>
        </w:rPr>
        <w:t>'מבט סטטיסטי</w:t>
      </w:r>
      <w:r w:rsidR="00316DB3" w:rsidRPr="00343301">
        <w:rPr>
          <w:rFonts w:cs="David" w:hint="cs"/>
          <w:b/>
          <w:bCs/>
          <w:sz w:val="28"/>
          <w:szCs w:val="28"/>
          <w:rtl/>
        </w:rPr>
        <w:t>' לשנת</w:t>
      </w:r>
      <w:r w:rsidR="00F62F43" w:rsidRPr="00343301">
        <w:rPr>
          <w:rFonts w:cs="David" w:hint="cs"/>
          <w:b/>
          <w:bCs/>
          <w:sz w:val="28"/>
          <w:szCs w:val="28"/>
          <w:rtl/>
        </w:rPr>
        <w:t xml:space="preserve"> </w:t>
      </w:r>
      <w:r w:rsidR="008E7241" w:rsidRPr="00343301">
        <w:rPr>
          <w:rFonts w:cs="David" w:hint="cs"/>
          <w:b/>
          <w:bCs/>
          <w:sz w:val="28"/>
          <w:szCs w:val="28"/>
          <w:rtl/>
        </w:rPr>
        <w:t>2020</w:t>
      </w:r>
    </w:p>
    <w:p w:rsidR="00F62F43" w:rsidRDefault="00316DB3" w:rsidP="00343301">
      <w:pPr>
        <w:spacing w:line="360" w:lineRule="auto"/>
        <w:jc w:val="center"/>
        <w:rPr>
          <w:rFonts w:cs="David"/>
          <w:b/>
          <w:bCs/>
          <w:sz w:val="24"/>
          <w:szCs w:val="24"/>
          <w:rtl/>
        </w:rPr>
      </w:pPr>
      <w:r w:rsidRPr="00343301">
        <w:rPr>
          <w:rFonts w:cs="David" w:hint="cs"/>
          <w:b/>
          <w:bCs/>
          <w:sz w:val="24"/>
          <w:szCs w:val="24"/>
          <w:rtl/>
        </w:rPr>
        <w:t xml:space="preserve">הדו"ח מכיל </w:t>
      </w:r>
      <w:r w:rsidR="00F62F43" w:rsidRPr="00343301">
        <w:rPr>
          <w:rFonts w:cs="David" w:hint="cs"/>
          <w:b/>
          <w:bCs/>
          <w:sz w:val="24"/>
          <w:szCs w:val="24"/>
          <w:rtl/>
        </w:rPr>
        <w:t>פרסום ראשון של הנתונים והמצרפים הפיננסיים המרכזיים במשק</w:t>
      </w:r>
      <w:r w:rsidR="008D7EF6" w:rsidRPr="00343301">
        <w:rPr>
          <w:rFonts w:cs="David" w:hint="cs"/>
          <w:b/>
          <w:bCs/>
          <w:sz w:val="24"/>
          <w:szCs w:val="24"/>
          <w:rtl/>
        </w:rPr>
        <w:t xml:space="preserve"> לשנת </w:t>
      </w:r>
      <w:r w:rsidR="008E7241" w:rsidRPr="00343301">
        <w:rPr>
          <w:rFonts w:cs="David" w:hint="cs"/>
          <w:b/>
          <w:bCs/>
          <w:sz w:val="24"/>
          <w:szCs w:val="24"/>
          <w:rtl/>
        </w:rPr>
        <w:t>2020</w:t>
      </w:r>
      <w:r w:rsidR="00CC3C00" w:rsidRPr="00343301">
        <w:rPr>
          <w:rFonts w:cs="David" w:hint="cs"/>
          <w:b/>
          <w:bCs/>
          <w:sz w:val="24"/>
          <w:szCs w:val="24"/>
          <w:rtl/>
        </w:rPr>
        <w:t xml:space="preserve"> </w:t>
      </w:r>
      <w:r w:rsidR="00CC3C00" w:rsidRPr="00343301">
        <w:rPr>
          <w:rFonts w:cs="David"/>
          <w:b/>
          <w:bCs/>
          <w:sz w:val="24"/>
          <w:szCs w:val="24"/>
          <w:rtl/>
        </w:rPr>
        <w:t>–</w:t>
      </w:r>
      <w:r w:rsidR="00CC3C00" w:rsidRPr="00343301">
        <w:rPr>
          <w:rFonts w:cs="David" w:hint="cs"/>
          <w:b/>
          <w:bCs/>
          <w:sz w:val="24"/>
          <w:szCs w:val="24"/>
          <w:rtl/>
        </w:rPr>
        <w:t xml:space="preserve"> </w:t>
      </w:r>
      <w:r w:rsidR="00F35C66" w:rsidRPr="00343301">
        <w:rPr>
          <w:rFonts w:cs="David" w:hint="cs"/>
          <w:b/>
          <w:bCs/>
          <w:sz w:val="24"/>
          <w:szCs w:val="24"/>
          <w:rtl/>
        </w:rPr>
        <w:t xml:space="preserve">תיק הנכסים הפיננסיים של הציבור, </w:t>
      </w:r>
      <w:r w:rsidR="004D694C" w:rsidRPr="00343301">
        <w:rPr>
          <w:rFonts w:cs="David" w:hint="cs"/>
          <w:b/>
          <w:bCs/>
          <w:sz w:val="24"/>
          <w:szCs w:val="24"/>
          <w:rtl/>
        </w:rPr>
        <w:t>החוב של המגזר הפרטי הלא-פיננסי</w:t>
      </w:r>
      <w:r w:rsidR="00CC3C00" w:rsidRPr="00343301">
        <w:rPr>
          <w:rFonts w:cs="David" w:hint="cs"/>
          <w:b/>
          <w:bCs/>
          <w:sz w:val="24"/>
          <w:szCs w:val="24"/>
          <w:rtl/>
        </w:rPr>
        <w:t xml:space="preserve">, </w:t>
      </w:r>
      <w:r w:rsidR="00F35C66" w:rsidRPr="00343301">
        <w:rPr>
          <w:rFonts w:cs="David" w:hint="cs"/>
          <w:b/>
          <w:bCs/>
          <w:sz w:val="24"/>
          <w:szCs w:val="24"/>
          <w:rtl/>
        </w:rPr>
        <w:t xml:space="preserve">פעילות </w:t>
      </w:r>
      <w:r w:rsidR="008E7241" w:rsidRPr="00343301">
        <w:rPr>
          <w:rFonts w:cs="David" w:hint="cs"/>
          <w:b/>
          <w:bCs/>
          <w:sz w:val="24"/>
          <w:szCs w:val="24"/>
          <w:rtl/>
        </w:rPr>
        <w:t xml:space="preserve">המשק </w:t>
      </w:r>
      <w:r w:rsidR="00F35C66" w:rsidRPr="00343301">
        <w:rPr>
          <w:rFonts w:cs="David" w:hint="cs"/>
          <w:b/>
          <w:bCs/>
          <w:sz w:val="24"/>
          <w:szCs w:val="24"/>
          <w:rtl/>
        </w:rPr>
        <w:t xml:space="preserve">מול חו"ל </w:t>
      </w:r>
      <w:r w:rsidR="008E7241" w:rsidRPr="00343301">
        <w:rPr>
          <w:rFonts w:cs="David" w:hint="cs"/>
          <w:b/>
          <w:bCs/>
          <w:sz w:val="24"/>
          <w:szCs w:val="24"/>
          <w:rtl/>
        </w:rPr>
        <w:t>ופעילות המגזרים העיקריים במטבע חוץ.</w:t>
      </w:r>
    </w:p>
    <w:p w:rsidR="00343301" w:rsidRPr="00343301" w:rsidRDefault="00343301" w:rsidP="00343301">
      <w:pPr>
        <w:spacing w:line="360" w:lineRule="auto"/>
        <w:jc w:val="center"/>
        <w:rPr>
          <w:rFonts w:cs="David"/>
          <w:b/>
          <w:bCs/>
          <w:sz w:val="24"/>
          <w:szCs w:val="24"/>
          <w:rtl/>
        </w:rPr>
      </w:pPr>
    </w:p>
    <w:p w:rsidR="001A1017" w:rsidRDefault="000A3948" w:rsidP="00DD735B">
      <w:pPr>
        <w:spacing w:line="360" w:lineRule="auto"/>
        <w:jc w:val="both"/>
        <w:rPr>
          <w:rFonts w:cs="David"/>
          <w:sz w:val="24"/>
          <w:szCs w:val="24"/>
          <w:rtl/>
        </w:rPr>
      </w:pPr>
      <w:r>
        <w:rPr>
          <w:rFonts w:cs="David" w:hint="cs"/>
          <w:b/>
          <w:bCs/>
          <w:sz w:val="24"/>
          <w:szCs w:val="24"/>
          <w:rtl/>
        </w:rPr>
        <w:t>ה</w:t>
      </w:r>
      <w:r w:rsidR="00716312" w:rsidRPr="006E4A40">
        <w:rPr>
          <w:rFonts w:cs="David" w:hint="cs"/>
          <w:b/>
          <w:bCs/>
          <w:sz w:val="24"/>
          <w:szCs w:val="24"/>
          <w:rtl/>
        </w:rPr>
        <w:t xml:space="preserve">חלק הראשון של 'מבט סטטיסטי </w:t>
      </w:r>
      <w:r w:rsidR="008E7241">
        <w:rPr>
          <w:rFonts w:cs="David" w:hint="cs"/>
          <w:b/>
          <w:bCs/>
          <w:sz w:val="24"/>
          <w:szCs w:val="24"/>
          <w:rtl/>
        </w:rPr>
        <w:t>2020</w:t>
      </w:r>
      <w:r w:rsidR="00F35C66" w:rsidRPr="006E4A40">
        <w:rPr>
          <w:rFonts w:cs="David" w:hint="cs"/>
          <w:b/>
          <w:bCs/>
          <w:sz w:val="24"/>
          <w:szCs w:val="24"/>
          <w:rtl/>
        </w:rPr>
        <w:t>'</w:t>
      </w:r>
      <w:r w:rsidR="004E30FA">
        <w:rPr>
          <w:rFonts w:cs="David" w:hint="cs"/>
          <w:sz w:val="24"/>
          <w:szCs w:val="24"/>
          <w:rtl/>
        </w:rPr>
        <w:t xml:space="preserve"> </w:t>
      </w:r>
      <w:r w:rsidR="001A1017">
        <w:rPr>
          <w:rFonts w:cs="David" w:hint="cs"/>
          <w:sz w:val="24"/>
          <w:szCs w:val="24"/>
          <w:rtl/>
        </w:rPr>
        <w:t>מציג בצורה ויזואלית את ה</w:t>
      </w:r>
      <w:r w:rsidRPr="006E4A40">
        <w:rPr>
          <w:rFonts w:cs="David" w:hint="cs"/>
          <w:sz w:val="24"/>
          <w:szCs w:val="24"/>
          <w:rtl/>
        </w:rPr>
        <w:t xml:space="preserve">נתונים </w:t>
      </w:r>
      <w:r w:rsidR="001A1017" w:rsidRPr="006E4A40">
        <w:rPr>
          <w:rFonts w:cs="David" w:hint="cs"/>
          <w:sz w:val="24"/>
          <w:szCs w:val="24"/>
          <w:rtl/>
        </w:rPr>
        <w:t>ו</w:t>
      </w:r>
      <w:r w:rsidR="001A1017">
        <w:rPr>
          <w:rFonts w:cs="David" w:hint="cs"/>
          <w:sz w:val="24"/>
          <w:szCs w:val="24"/>
          <w:rtl/>
        </w:rPr>
        <w:t>ה</w:t>
      </w:r>
      <w:r w:rsidR="001A1017" w:rsidRPr="006E4A40">
        <w:rPr>
          <w:rFonts w:cs="David" w:hint="cs"/>
          <w:sz w:val="24"/>
          <w:szCs w:val="24"/>
          <w:rtl/>
        </w:rPr>
        <w:t xml:space="preserve">מצרפים </w:t>
      </w:r>
      <w:r w:rsidRPr="006E4A40">
        <w:rPr>
          <w:rFonts w:cs="David" w:hint="cs"/>
          <w:sz w:val="24"/>
          <w:szCs w:val="24"/>
          <w:rtl/>
        </w:rPr>
        <w:t>המרכזיים על הפעילות הפיננסית בישראל, בצירוף מידע והסברים על הנתונים, ההגדרות והעיבודים</w:t>
      </w:r>
      <w:r w:rsidR="001A1017">
        <w:rPr>
          <w:rFonts w:cs="David" w:hint="cs"/>
          <w:sz w:val="24"/>
          <w:szCs w:val="24"/>
          <w:rtl/>
        </w:rPr>
        <w:t xml:space="preserve"> השונים</w:t>
      </w:r>
      <w:r w:rsidR="00653851">
        <w:rPr>
          <w:rFonts w:cs="David" w:hint="cs"/>
          <w:sz w:val="24"/>
          <w:szCs w:val="24"/>
          <w:rtl/>
        </w:rPr>
        <w:t xml:space="preserve">; </w:t>
      </w:r>
      <w:r w:rsidR="001A1017" w:rsidRPr="00F11718">
        <w:rPr>
          <w:rFonts w:cs="David" w:hint="cs"/>
          <w:b/>
          <w:bCs/>
          <w:sz w:val="24"/>
          <w:szCs w:val="24"/>
          <w:rtl/>
        </w:rPr>
        <w:t xml:space="preserve">החלק השני </w:t>
      </w:r>
      <w:r w:rsidR="001A1017">
        <w:rPr>
          <w:rFonts w:cs="David" w:hint="cs"/>
          <w:sz w:val="24"/>
          <w:szCs w:val="24"/>
          <w:rtl/>
        </w:rPr>
        <w:t>מציג</w:t>
      </w:r>
      <w:r w:rsidR="001A1017" w:rsidRPr="00F11718">
        <w:rPr>
          <w:rFonts w:cs="David" w:hint="cs"/>
          <w:sz w:val="24"/>
          <w:szCs w:val="24"/>
          <w:rtl/>
        </w:rPr>
        <w:t xml:space="preserve"> עבודות בתחום המתודולוגיה הסטטיסטית</w:t>
      </w:r>
      <w:r w:rsidR="001A1017">
        <w:rPr>
          <w:rFonts w:cs="David" w:hint="cs"/>
          <w:sz w:val="24"/>
          <w:szCs w:val="24"/>
          <w:rtl/>
        </w:rPr>
        <w:t xml:space="preserve"> שנערכו בבנק ישראל.</w:t>
      </w:r>
    </w:p>
    <w:p w:rsidR="00716312" w:rsidRPr="006E4A40" w:rsidRDefault="001A1017" w:rsidP="00DD735B">
      <w:pPr>
        <w:spacing w:line="360" w:lineRule="auto"/>
        <w:jc w:val="both"/>
        <w:rPr>
          <w:rFonts w:cs="David"/>
          <w:b/>
          <w:bCs/>
          <w:sz w:val="24"/>
          <w:szCs w:val="24"/>
          <w:rtl/>
        </w:rPr>
      </w:pPr>
      <w:r>
        <w:rPr>
          <w:rFonts w:cs="David" w:hint="cs"/>
          <w:sz w:val="24"/>
          <w:szCs w:val="24"/>
          <w:rtl/>
        </w:rPr>
        <w:t xml:space="preserve">החלק הראשון </w:t>
      </w:r>
      <w:r w:rsidR="008E0F81">
        <w:rPr>
          <w:rFonts w:cs="David" w:hint="cs"/>
          <w:sz w:val="24"/>
          <w:szCs w:val="24"/>
          <w:rtl/>
        </w:rPr>
        <w:t>ב</w:t>
      </w:r>
      <w:r>
        <w:rPr>
          <w:rFonts w:cs="David" w:hint="cs"/>
          <w:sz w:val="24"/>
          <w:szCs w:val="24"/>
          <w:rtl/>
        </w:rPr>
        <w:t xml:space="preserve">דו"ח </w:t>
      </w:r>
      <w:r w:rsidR="008E0F81">
        <w:rPr>
          <w:rFonts w:cs="David" w:hint="cs"/>
          <w:sz w:val="24"/>
          <w:szCs w:val="24"/>
          <w:rtl/>
        </w:rPr>
        <w:t>עוסק</w:t>
      </w:r>
      <w:r>
        <w:rPr>
          <w:rFonts w:cs="David" w:hint="cs"/>
          <w:sz w:val="24"/>
          <w:szCs w:val="24"/>
          <w:rtl/>
        </w:rPr>
        <w:t xml:space="preserve"> </w:t>
      </w:r>
      <w:r w:rsidR="000A3948">
        <w:rPr>
          <w:rFonts w:cs="David" w:hint="cs"/>
          <w:sz w:val="24"/>
          <w:szCs w:val="24"/>
          <w:rtl/>
        </w:rPr>
        <w:t>בארבע</w:t>
      </w:r>
      <w:r w:rsidR="00614AF5">
        <w:rPr>
          <w:rFonts w:cs="David" w:hint="cs"/>
          <w:sz w:val="24"/>
          <w:szCs w:val="24"/>
          <w:rtl/>
        </w:rPr>
        <w:t>ה</w:t>
      </w:r>
      <w:r w:rsidR="000A3948">
        <w:rPr>
          <w:rFonts w:cs="David" w:hint="cs"/>
          <w:sz w:val="24"/>
          <w:szCs w:val="24"/>
          <w:rtl/>
        </w:rPr>
        <w:t xml:space="preserve"> נושאים מרכזיים</w:t>
      </w:r>
      <w:r w:rsidR="00653851">
        <w:rPr>
          <w:rFonts w:cs="David" w:hint="cs"/>
          <w:sz w:val="24"/>
          <w:szCs w:val="24"/>
          <w:rtl/>
        </w:rPr>
        <w:t xml:space="preserve"> בסטטיסטיקה הפיננסית של ישראל</w:t>
      </w:r>
      <w:r>
        <w:rPr>
          <w:rFonts w:cs="David" w:hint="cs"/>
          <w:sz w:val="24"/>
          <w:szCs w:val="24"/>
          <w:rtl/>
        </w:rPr>
        <w:t>:</w:t>
      </w:r>
    </w:p>
    <w:p w:rsidR="00716312" w:rsidRDefault="00716312" w:rsidP="00DD735B">
      <w:pPr>
        <w:pStyle w:val="a3"/>
        <w:numPr>
          <w:ilvl w:val="0"/>
          <w:numId w:val="11"/>
        </w:numPr>
        <w:spacing w:line="360" w:lineRule="auto"/>
        <w:ind w:left="360"/>
        <w:jc w:val="both"/>
        <w:rPr>
          <w:rFonts w:cs="David"/>
          <w:b/>
          <w:bCs/>
          <w:sz w:val="24"/>
          <w:szCs w:val="24"/>
        </w:rPr>
      </w:pPr>
      <w:r w:rsidRPr="006E4A40">
        <w:rPr>
          <w:rFonts w:cs="David" w:hint="cs"/>
          <w:b/>
          <w:bCs/>
          <w:sz w:val="24"/>
          <w:szCs w:val="24"/>
          <w:rtl/>
        </w:rPr>
        <w:t>תיק הנכסים הפיננסיים של הציבור</w:t>
      </w:r>
    </w:p>
    <w:p w:rsidR="00480E5F" w:rsidRPr="005801F4" w:rsidRDefault="00272D51" w:rsidP="00B15636">
      <w:pPr>
        <w:pStyle w:val="a3"/>
        <w:numPr>
          <w:ilvl w:val="0"/>
          <w:numId w:val="15"/>
        </w:numPr>
        <w:spacing w:line="360" w:lineRule="auto"/>
        <w:jc w:val="both"/>
        <w:rPr>
          <w:rFonts w:cs="David"/>
          <w:b/>
          <w:bCs/>
          <w:sz w:val="24"/>
          <w:szCs w:val="24"/>
        </w:rPr>
      </w:pPr>
      <w:r w:rsidRPr="00272D51">
        <w:rPr>
          <w:rFonts w:asciiTheme="minorBidi" w:hAnsiTheme="minorBidi" w:cs="David"/>
          <w:sz w:val="24"/>
          <w:szCs w:val="24"/>
          <w:rtl/>
        </w:rPr>
        <w:t xml:space="preserve">יתרת תיק הנכסים הפיננסים שבידי הציבור עלתה </w:t>
      </w:r>
      <w:r w:rsidR="00B15636">
        <w:rPr>
          <w:rFonts w:asciiTheme="minorBidi" w:hAnsiTheme="minorBidi" w:cs="David" w:hint="cs"/>
          <w:sz w:val="24"/>
          <w:szCs w:val="24"/>
          <w:rtl/>
        </w:rPr>
        <w:t xml:space="preserve">בשנת 2020 בשיעור ניכר של כ-8% </w:t>
      </w:r>
      <w:r w:rsidR="00C20025">
        <w:rPr>
          <w:rFonts w:asciiTheme="minorBidi" w:hAnsiTheme="minorBidi" w:cs="David" w:hint="cs"/>
          <w:sz w:val="24"/>
          <w:szCs w:val="24"/>
          <w:rtl/>
        </w:rPr>
        <w:t xml:space="preserve">ועמדה בסוף השנה על </w:t>
      </w:r>
      <w:r w:rsidRPr="00272D51">
        <w:rPr>
          <w:rFonts w:asciiTheme="minorBidi" w:hAnsiTheme="minorBidi" w:cs="David"/>
          <w:sz w:val="24"/>
          <w:szCs w:val="24"/>
          <w:rtl/>
        </w:rPr>
        <w:t>כ-4.</w:t>
      </w:r>
      <w:r w:rsidR="00B15636">
        <w:rPr>
          <w:rFonts w:asciiTheme="minorBidi" w:hAnsiTheme="minorBidi" w:cs="David" w:hint="cs"/>
          <w:sz w:val="24"/>
          <w:szCs w:val="24"/>
          <w:rtl/>
        </w:rPr>
        <w:t>4</w:t>
      </w:r>
      <w:r w:rsidRPr="00272D51">
        <w:rPr>
          <w:rFonts w:asciiTheme="minorBidi" w:hAnsiTheme="minorBidi" w:cs="David"/>
          <w:sz w:val="24"/>
          <w:szCs w:val="24"/>
          <w:rtl/>
        </w:rPr>
        <w:t xml:space="preserve"> טריליוני ש"ח </w:t>
      </w:r>
      <w:r w:rsidR="00480E5F" w:rsidRPr="005E416D">
        <w:rPr>
          <w:rFonts w:cs="David" w:hint="cs"/>
          <w:rtl/>
        </w:rPr>
        <w:t>(איור א'-</w:t>
      </w:r>
      <w:r w:rsidR="00CC6614">
        <w:rPr>
          <w:rFonts w:cs="David" w:hint="cs"/>
          <w:rtl/>
        </w:rPr>
        <w:t xml:space="preserve"> 1 בפרסום)</w:t>
      </w:r>
    </w:p>
    <w:tbl>
      <w:tblPr>
        <w:tblStyle w:val="aa"/>
        <w:bidiVisual/>
        <w:tblW w:w="8642"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4"/>
        <w:gridCol w:w="4538"/>
      </w:tblGrid>
      <w:tr w:rsidR="007819A4" w:rsidTr="00B75EE7">
        <w:tc>
          <w:tcPr>
            <w:tcW w:w="4104" w:type="dxa"/>
          </w:tcPr>
          <w:p w:rsidR="007819A4" w:rsidRPr="005801F4" w:rsidRDefault="00272D51" w:rsidP="00DD735B">
            <w:pPr>
              <w:pStyle w:val="a3"/>
              <w:numPr>
                <w:ilvl w:val="0"/>
                <w:numId w:val="3"/>
              </w:numPr>
              <w:spacing w:line="360" w:lineRule="auto"/>
              <w:ind w:left="985" w:hanging="393"/>
              <w:jc w:val="both"/>
              <w:rPr>
                <w:rFonts w:asciiTheme="minorBidi" w:hAnsiTheme="minorBidi" w:cs="David"/>
                <w:sz w:val="24"/>
                <w:szCs w:val="24"/>
                <w:rtl/>
              </w:rPr>
            </w:pPr>
            <w:r w:rsidRPr="00272D51">
              <w:rPr>
                <w:rFonts w:asciiTheme="minorBidi" w:hAnsiTheme="minorBidi" w:cs="David"/>
                <w:sz w:val="24"/>
                <w:szCs w:val="24"/>
                <w:rtl/>
              </w:rPr>
              <w:t xml:space="preserve">יתרת הפיקדונות והמזומן עלתה משמעותית, </w:t>
            </w:r>
            <w:r>
              <w:rPr>
                <w:rFonts w:asciiTheme="minorBidi" w:hAnsiTheme="minorBidi" w:cs="David" w:hint="cs"/>
                <w:sz w:val="24"/>
                <w:szCs w:val="24"/>
                <w:rtl/>
              </w:rPr>
              <w:t>במקביל לעלייה ב</w:t>
            </w:r>
            <w:r w:rsidRPr="00272D51">
              <w:rPr>
                <w:rFonts w:asciiTheme="minorBidi" w:hAnsiTheme="minorBidi" w:cs="David"/>
                <w:sz w:val="24"/>
                <w:szCs w:val="24"/>
                <w:rtl/>
              </w:rPr>
              <w:t xml:space="preserve">יתרת הנכסים הפיננסים בחו"ל </w:t>
            </w:r>
            <w:r>
              <w:rPr>
                <w:rFonts w:asciiTheme="minorBidi" w:hAnsiTheme="minorBidi" w:cs="David" w:hint="cs"/>
                <w:sz w:val="24"/>
                <w:szCs w:val="24"/>
                <w:rtl/>
              </w:rPr>
              <w:t xml:space="preserve">- </w:t>
            </w:r>
            <w:r w:rsidRPr="00272D51">
              <w:rPr>
                <w:rFonts w:asciiTheme="minorBidi" w:hAnsiTheme="minorBidi" w:cs="David"/>
                <w:sz w:val="24"/>
                <w:szCs w:val="24"/>
                <w:rtl/>
              </w:rPr>
              <w:t>בעיקר על רקע עליות המחירים בשווקים בחו"ל במחצית השנייה של 2020.</w:t>
            </w:r>
            <w:r w:rsidRPr="00272D51">
              <w:rPr>
                <w:rFonts w:asciiTheme="minorBidi" w:hAnsiTheme="minorBidi" w:cs="David" w:hint="cs"/>
                <w:sz w:val="24"/>
                <w:szCs w:val="24"/>
                <w:rtl/>
              </w:rPr>
              <w:t xml:space="preserve"> </w:t>
            </w:r>
            <w:r w:rsidR="005E416D">
              <w:rPr>
                <w:rFonts w:asciiTheme="minorBidi" w:hAnsiTheme="minorBidi" w:cs="David" w:hint="cs"/>
                <w:sz w:val="24"/>
                <w:szCs w:val="24"/>
                <w:rtl/>
              </w:rPr>
              <w:t>(איור א'-</w:t>
            </w:r>
            <w:r>
              <w:rPr>
                <w:rFonts w:asciiTheme="minorBidi" w:hAnsiTheme="minorBidi" w:cs="David" w:hint="cs"/>
                <w:sz w:val="24"/>
                <w:szCs w:val="24"/>
                <w:rtl/>
              </w:rPr>
              <w:t>3</w:t>
            </w:r>
            <w:r w:rsidR="005E416D">
              <w:rPr>
                <w:rFonts w:asciiTheme="minorBidi" w:hAnsiTheme="minorBidi" w:cs="David" w:hint="cs"/>
                <w:sz w:val="24"/>
                <w:szCs w:val="24"/>
                <w:rtl/>
              </w:rPr>
              <w:t>)</w:t>
            </w:r>
          </w:p>
        </w:tc>
        <w:tc>
          <w:tcPr>
            <w:tcW w:w="4538" w:type="dxa"/>
          </w:tcPr>
          <w:p w:rsidR="00142177" w:rsidRPr="00142177" w:rsidRDefault="00142177" w:rsidP="00DD735B">
            <w:pPr>
              <w:pStyle w:val="a3"/>
              <w:ind w:left="30"/>
              <w:jc w:val="both"/>
              <w:rPr>
                <w:rFonts w:asciiTheme="minorBidi" w:hAnsiTheme="minorBidi" w:cs="David"/>
                <w:b/>
                <w:bCs/>
                <w:sz w:val="24"/>
                <w:szCs w:val="24"/>
                <w:rtl/>
              </w:rPr>
            </w:pPr>
            <w:r w:rsidRPr="00142177">
              <w:rPr>
                <w:rFonts w:asciiTheme="minorBidi" w:hAnsiTheme="minorBidi" w:cs="David" w:hint="cs"/>
                <w:b/>
                <w:bCs/>
                <w:sz w:val="24"/>
                <w:szCs w:val="24"/>
                <w:rtl/>
              </w:rPr>
              <w:t>שינוי ב</w:t>
            </w:r>
            <w:r w:rsidR="00450898">
              <w:rPr>
                <w:rFonts w:asciiTheme="minorBidi" w:hAnsiTheme="minorBidi" w:cs="David" w:hint="cs"/>
                <w:b/>
                <w:bCs/>
                <w:sz w:val="24"/>
                <w:szCs w:val="24"/>
                <w:rtl/>
              </w:rPr>
              <w:t>י</w:t>
            </w:r>
            <w:r w:rsidRPr="00142177">
              <w:rPr>
                <w:rFonts w:asciiTheme="minorBidi" w:hAnsiTheme="minorBidi" w:cs="David" w:hint="cs"/>
                <w:b/>
                <w:bCs/>
                <w:sz w:val="24"/>
                <w:szCs w:val="24"/>
                <w:rtl/>
              </w:rPr>
              <w:t>תרת הנכסים בתיק ב-2020</w:t>
            </w:r>
          </w:p>
          <w:p w:rsidR="00142177" w:rsidRPr="00142177" w:rsidRDefault="00142177" w:rsidP="00DD735B">
            <w:pPr>
              <w:spacing w:after="180"/>
              <w:ind w:left="30" w:right="-113"/>
              <w:jc w:val="both"/>
              <w:rPr>
                <w:rFonts w:ascii="David" w:eastAsiaTheme="majorEastAsia" w:hAnsi="David" w:cs="David"/>
                <w:sz w:val="21"/>
                <w:szCs w:val="21"/>
                <w:rtl/>
              </w:rPr>
            </w:pPr>
            <w:r w:rsidRPr="00142177">
              <w:rPr>
                <w:rFonts w:ascii="David" w:eastAsiaTheme="majorEastAsia" w:hAnsi="David" w:cs="David"/>
                <w:sz w:val="21"/>
                <w:szCs w:val="21"/>
                <w:rtl/>
              </w:rPr>
              <w:t>שינוי במיליארדי ש"ח (עמודות) ושינוי באחוזים (בועות)</w:t>
            </w:r>
          </w:p>
          <w:p w:rsidR="007819A4" w:rsidRPr="006B36AB" w:rsidRDefault="00192B5B" w:rsidP="00DD735B">
            <w:pPr>
              <w:pStyle w:val="a3"/>
              <w:spacing w:line="360" w:lineRule="auto"/>
              <w:ind w:left="0"/>
              <w:jc w:val="both"/>
              <w:rPr>
                <w:rFonts w:cs="David"/>
                <w:sz w:val="16"/>
                <w:szCs w:val="16"/>
                <w:rtl/>
              </w:rPr>
            </w:pPr>
            <w:r w:rsidRPr="00192B5B">
              <w:rPr>
                <w:rFonts w:cs="David" w:hint="cs"/>
                <w:noProof/>
                <w:sz w:val="16"/>
                <w:szCs w:val="16"/>
                <w:rtl/>
              </w:rPr>
              <w:drawing>
                <wp:anchor distT="0" distB="0" distL="114300" distR="114300" simplePos="0" relativeHeight="251688960" behindDoc="0" locked="0" layoutInCell="1" allowOverlap="1">
                  <wp:simplePos x="0" y="0"/>
                  <wp:positionH relativeFrom="column">
                    <wp:posOffset>-1977</wp:posOffset>
                  </wp:positionH>
                  <wp:positionV relativeFrom="paragraph">
                    <wp:posOffset>-276</wp:posOffset>
                  </wp:positionV>
                  <wp:extent cx="2700000" cy="1620000"/>
                  <wp:effectExtent l="0" t="0" r="5715" b="0"/>
                  <wp:wrapSquare wrapText="bothSides"/>
                  <wp:docPr id="2" name="תמונה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0000"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36AB" w:rsidRPr="006B36AB">
              <w:rPr>
                <w:rFonts w:cs="David" w:hint="cs"/>
                <w:sz w:val="16"/>
                <w:szCs w:val="16"/>
                <w:rtl/>
              </w:rPr>
              <w:t>המקור: נתוני ועיבודי בנק ישראל</w:t>
            </w:r>
            <w:r w:rsidR="006B36AB">
              <w:rPr>
                <w:rFonts w:cs="David" w:hint="cs"/>
                <w:sz w:val="16"/>
                <w:szCs w:val="16"/>
                <w:rtl/>
              </w:rPr>
              <w:t>.</w:t>
            </w:r>
          </w:p>
        </w:tc>
      </w:tr>
    </w:tbl>
    <w:p w:rsidR="00450898" w:rsidRDefault="00450898" w:rsidP="00DD735B">
      <w:pPr>
        <w:pStyle w:val="a3"/>
        <w:spacing w:line="360" w:lineRule="auto"/>
        <w:jc w:val="both"/>
        <w:rPr>
          <w:rFonts w:asciiTheme="minorBidi" w:hAnsiTheme="minorBidi" w:cs="David"/>
          <w:sz w:val="24"/>
          <w:szCs w:val="24"/>
          <w:rtl/>
        </w:rPr>
      </w:pPr>
    </w:p>
    <w:p w:rsidR="00B15636" w:rsidRDefault="00B15636" w:rsidP="00DD735B">
      <w:pPr>
        <w:pStyle w:val="a3"/>
        <w:spacing w:line="360" w:lineRule="auto"/>
        <w:jc w:val="both"/>
        <w:rPr>
          <w:rFonts w:asciiTheme="minorBidi" w:hAnsiTheme="minorBidi" w:cs="David"/>
          <w:sz w:val="24"/>
          <w:szCs w:val="24"/>
          <w:rtl/>
        </w:rPr>
      </w:pPr>
    </w:p>
    <w:p w:rsidR="00B15636" w:rsidRDefault="00B15636" w:rsidP="00DD735B">
      <w:pPr>
        <w:pStyle w:val="a3"/>
        <w:spacing w:line="360" w:lineRule="auto"/>
        <w:jc w:val="both"/>
        <w:rPr>
          <w:rFonts w:asciiTheme="minorBidi" w:hAnsiTheme="minorBidi" w:cs="David"/>
          <w:sz w:val="24"/>
          <w:szCs w:val="24"/>
          <w:rtl/>
        </w:rPr>
      </w:pPr>
    </w:p>
    <w:p w:rsidR="00B15636" w:rsidRDefault="00B15636" w:rsidP="00DD735B">
      <w:pPr>
        <w:pStyle w:val="a3"/>
        <w:spacing w:line="360" w:lineRule="auto"/>
        <w:jc w:val="both"/>
        <w:rPr>
          <w:rFonts w:asciiTheme="minorBidi" w:hAnsiTheme="minorBidi" w:cs="David"/>
          <w:sz w:val="24"/>
          <w:szCs w:val="24"/>
          <w:rtl/>
        </w:rPr>
      </w:pPr>
    </w:p>
    <w:p w:rsidR="00B15636" w:rsidRDefault="00B15636" w:rsidP="00DD735B">
      <w:pPr>
        <w:pStyle w:val="a3"/>
        <w:spacing w:line="360" w:lineRule="auto"/>
        <w:jc w:val="both"/>
        <w:rPr>
          <w:rFonts w:asciiTheme="minorBidi" w:hAnsiTheme="minorBidi" w:cs="David"/>
          <w:sz w:val="24"/>
          <w:szCs w:val="24"/>
          <w:rtl/>
        </w:rPr>
      </w:pPr>
    </w:p>
    <w:p w:rsidR="00B15636" w:rsidRDefault="00B15636" w:rsidP="00DD735B">
      <w:pPr>
        <w:pStyle w:val="a3"/>
        <w:spacing w:line="360" w:lineRule="auto"/>
        <w:jc w:val="both"/>
        <w:rPr>
          <w:rFonts w:asciiTheme="minorBidi" w:hAnsiTheme="minorBidi" w:cs="David"/>
          <w:sz w:val="24"/>
          <w:szCs w:val="24"/>
          <w:rtl/>
        </w:rPr>
      </w:pPr>
    </w:p>
    <w:p w:rsidR="00B15636" w:rsidRDefault="00B15636" w:rsidP="00DD735B">
      <w:pPr>
        <w:pStyle w:val="a3"/>
        <w:spacing w:line="360" w:lineRule="auto"/>
        <w:jc w:val="both"/>
        <w:rPr>
          <w:rFonts w:asciiTheme="minorBidi" w:hAnsiTheme="minorBidi" w:cs="David"/>
          <w:sz w:val="24"/>
          <w:szCs w:val="24"/>
          <w:rtl/>
        </w:rPr>
      </w:pPr>
    </w:p>
    <w:p w:rsidR="00B15636" w:rsidRDefault="00B15636" w:rsidP="00DD735B">
      <w:pPr>
        <w:pStyle w:val="a3"/>
        <w:spacing w:line="360" w:lineRule="auto"/>
        <w:jc w:val="both"/>
        <w:rPr>
          <w:rFonts w:asciiTheme="minorBidi" w:hAnsiTheme="minorBidi" w:cs="David"/>
          <w:sz w:val="24"/>
          <w:szCs w:val="24"/>
          <w:rtl/>
        </w:rPr>
      </w:pPr>
    </w:p>
    <w:p w:rsidR="00B15636" w:rsidRDefault="00B15636" w:rsidP="00DD735B">
      <w:pPr>
        <w:pStyle w:val="a3"/>
        <w:spacing w:line="360" w:lineRule="auto"/>
        <w:jc w:val="both"/>
        <w:rPr>
          <w:rFonts w:asciiTheme="minorBidi" w:hAnsiTheme="minorBidi" w:cs="David"/>
          <w:sz w:val="24"/>
          <w:szCs w:val="24"/>
          <w:rtl/>
        </w:rPr>
      </w:pPr>
    </w:p>
    <w:p w:rsidR="00B15636" w:rsidRDefault="00B15636" w:rsidP="00DD735B">
      <w:pPr>
        <w:pStyle w:val="a3"/>
        <w:spacing w:line="360" w:lineRule="auto"/>
        <w:jc w:val="both"/>
        <w:rPr>
          <w:rFonts w:asciiTheme="minorBidi" w:hAnsiTheme="minorBidi" w:cs="David"/>
          <w:sz w:val="24"/>
          <w:szCs w:val="24"/>
          <w:rtl/>
        </w:rPr>
      </w:pPr>
    </w:p>
    <w:p w:rsidR="00B15636" w:rsidRDefault="00B15636" w:rsidP="00DD735B">
      <w:pPr>
        <w:pStyle w:val="a3"/>
        <w:spacing w:line="360" w:lineRule="auto"/>
        <w:jc w:val="both"/>
        <w:rPr>
          <w:rFonts w:asciiTheme="minorBidi" w:hAnsiTheme="minorBidi" w:cs="David"/>
          <w:sz w:val="24"/>
          <w:szCs w:val="24"/>
          <w:rtl/>
        </w:rPr>
      </w:pPr>
    </w:p>
    <w:p w:rsidR="00551E33" w:rsidRPr="00F2062E" w:rsidRDefault="00716312" w:rsidP="00DD735B">
      <w:pPr>
        <w:pStyle w:val="a3"/>
        <w:numPr>
          <w:ilvl w:val="0"/>
          <w:numId w:val="11"/>
        </w:numPr>
        <w:spacing w:line="360" w:lineRule="auto"/>
        <w:ind w:left="360"/>
        <w:jc w:val="both"/>
        <w:rPr>
          <w:rFonts w:cs="David"/>
          <w:b/>
          <w:bCs/>
          <w:sz w:val="24"/>
          <w:szCs w:val="24"/>
        </w:rPr>
      </w:pPr>
      <w:r w:rsidRPr="006E4A40">
        <w:rPr>
          <w:rFonts w:cs="David" w:hint="cs"/>
          <w:b/>
          <w:bCs/>
          <w:sz w:val="24"/>
          <w:szCs w:val="24"/>
          <w:rtl/>
        </w:rPr>
        <w:t>החוב של המגזר הפרטי</w:t>
      </w:r>
      <w:r w:rsidR="005A317B">
        <w:rPr>
          <w:rFonts w:cs="David" w:hint="cs"/>
          <w:b/>
          <w:bCs/>
          <w:sz w:val="24"/>
          <w:szCs w:val="24"/>
          <w:rtl/>
        </w:rPr>
        <w:t xml:space="preserve"> הלא-פיננסי</w:t>
      </w:r>
    </w:p>
    <w:tbl>
      <w:tblPr>
        <w:tblStyle w:val="aa"/>
        <w:bidiVisual/>
        <w:tblW w:w="8738" w:type="dxa"/>
        <w:tblInd w:w="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9"/>
        <w:gridCol w:w="4529"/>
      </w:tblGrid>
      <w:tr w:rsidR="00551E33" w:rsidTr="00B75EE7">
        <w:trPr>
          <w:trHeight w:val="3457"/>
        </w:trPr>
        <w:tc>
          <w:tcPr>
            <w:tcW w:w="4209" w:type="dxa"/>
          </w:tcPr>
          <w:p w:rsidR="00C20025" w:rsidRPr="00C20025" w:rsidRDefault="0093532C" w:rsidP="0093532C">
            <w:pPr>
              <w:pStyle w:val="a3"/>
              <w:numPr>
                <w:ilvl w:val="0"/>
                <w:numId w:val="4"/>
              </w:numPr>
              <w:tabs>
                <w:tab w:val="left" w:pos="984"/>
              </w:tabs>
              <w:spacing w:line="360" w:lineRule="auto"/>
              <w:jc w:val="both"/>
              <w:rPr>
                <w:rFonts w:ascii="Arial" w:hAnsi="Arial" w:cs="David"/>
                <w:sz w:val="24"/>
                <w:szCs w:val="24"/>
              </w:rPr>
            </w:pPr>
            <w:r>
              <w:rPr>
                <w:rFonts w:ascii="Arial" w:hAnsi="Arial" w:cs="David"/>
                <w:sz w:val="24"/>
                <w:szCs w:val="24"/>
                <w:rtl/>
              </w:rPr>
              <w:t>בשנת 2020 גדלה</w:t>
            </w:r>
            <w:r>
              <w:rPr>
                <w:rFonts w:ascii="Arial" w:hAnsi="Arial" w:cs="David" w:hint="cs"/>
                <w:sz w:val="24"/>
                <w:szCs w:val="24"/>
                <w:rtl/>
              </w:rPr>
              <w:t xml:space="preserve"> </w:t>
            </w:r>
            <w:r w:rsidR="00C20025" w:rsidRPr="00C20025">
              <w:rPr>
                <w:rFonts w:ascii="Arial" w:hAnsi="Arial" w:cs="David"/>
                <w:sz w:val="24"/>
                <w:szCs w:val="24"/>
                <w:rtl/>
              </w:rPr>
              <w:t xml:space="preserve">יתרת החוב של המגזר העסקי הלא-פיננסי בשיעור </w:t>
            </w:r>
            <w:r w:rsidR="00C20025" w:rsidRPr="00C20025">
              <w:rPr>
                <w:rFonts w:ascii="Arial" w:hAnsi="Arial" w:cs="David" w:hint="cs"/>
                <w:sz w:val="24"/>
                <w:szCs w:val="24"/>
                <w:rtl/>
              </w:rPr>
              <w:t>מתון של כ-2.5% בלבד,</w:t>
            </w:r>
            <w:r w:rsidR="00C20025" w:rsidRPr="00C20025">
              <w:rPr>
                <w:rFonts w:ascii="Arial" w:hAnsi="Arial" w:cs="David"/>
                <w:sz w:val="24"/>
                <w:szCs w:val="24"/>
                <w:rtl/>
              </w:rPr>
              <w:t xml:space="preserve"> בהשוואה לגידול של כ-4% אשתקד ושל כ-7% ב-2018. </w:t>
            </w:r>
          </w:p>
          <w:p w:rsidR="00C20025" w:rsidRDefault="00C20025" w:rsidP="00DD735B">
            <w:pPr>
              <w:pStyle w:val="a3"/>
              <w:numPr>
                <w:ilvl w:val="0"/>
                <w:numId w:val="4"/>
              </w:numPr>
              <w:tabs>
                <w:tab w:val="left" w:pos="984"/>
              </w:tabs>
              <w:spacing w:line="360" w:lineRule="auto"/>
              <w:jc w:val="both"/>
              <w:rPr>
                <w:rFonts w:ascii="Arial" w:hAnsi="Arial" w:cs="David"/>
                <w:sz w:val="24"/>
                <w:szCs w:val="24"/>
              </w:rPr>
            </w:pPr>
            <w:r w:rsidRPr="00C20025">
              <w:rPr>
                <w:rFonts w:ascii="Arial" w:hAnsi="Arial" w:cs="David" w:hint="cs"/>
                <w:sz w:val="24"/>
                <w:szCs w:val="24"/>
                <w:rtl/>
              </w:rPr>
              <w:t>על רקע</w:t>
            </w:r>
            <w:r w:rsidRPr="00C20025">
              <w:rPr>
                <w:rFonts w:ascii="Arial" w:hAnsi="Arial" w:cs="David"/>
                <w:sz w:val="24"/>
                <w:szCs w:val="24"/>
                <w:rtl/>
              </w:rPr>
              <w:t xml:space="preserve"> משבר הקורונה נרשמה ירידה בקצב הגידול בחוב של המגזר העסקי למלווים החוץ-בנקאיים</w:t>
            </w:r>
            <w:r w:rsidRPr="00C20025">
              <w:rPr>
                <w:rFonts w:ascii="Arial" w:hAnsi="Arial" w:cs="David" w:hint="cs"/>
                <w:sz w:val="24"/>
                <w:szCs w:val="24"/>
                <w:rtl/>
              </w:rPr>
              <w:t xml:space="preserve"> ומנגד עלייה בשיעור הגידול בחובם לבנקים</w:t>
            </w:r>
            <w:r w:rsidRPr="00C20025">
              <w:rPr>
                <w:rFonts w:ascii="Arial" w:hAnsi="Arial" w:cs="David"/>
                <w:sz w:val="24"/>
                <w:szCs w:val="24"/>
                <w:rtl/>
              </w:rPr>
              <w:t xml:space="preserve">. </w:t>
            </w:r>
          </w:p>
          <w:p w:rsidR="00C20025" w:rsidRDefault="00450898" w:rsidP="00C20025">
            <w:pPr>
              <w:pStyle w:val="a3"/>
              <w:numPr>
                <w:ilvl w:val="0"/>
                <w:numId w:val="4"/>
              </w:numPr>
              <w:tabs>
                <w:tab w:val="left" w:pos="984"/>
              </w:tabs>
              <w:spacing w:line="360" w:lineRule="auto"/>
              <w:jc w:val="both"/>
              <w:rPr>
                <w:rFonts w:ascii="Arial" w:hAnsi="Arial" w:cs="David"/>
                <w:sz w:val="24"/>
                <w:szCs w:val="24"/>
              </w:rPr>
            </w:pPr>
            <w:r w:rsidRPr="00450898">
              <w:rPr>
                <w:rFonts w:ascii="Arial" w:hAnsi="Arial" w:cs="David"/>
                <w:sz w:val="24"/>
                <w:szCs w:val="24"/>
                <w:rtl/>
              </w:rPr>
              <w:t xml:space="preserve">שיעור הגידול בחוב לדיור ממשיך לצמוח בהמשך לשנים הקודמות, בעוד שבחוב לא-לדיור חל קיטון בשיעור השינוי השנתי. </w:t>
            </w:r>
          </w:p>
          <w:p w:rsidR="00450898" w:rsidRPr="008E0F81" w:rsidRDefault="00450898" w:rsidP="00C20025">
            <w:pPr>
              <w:pStyle w:val="a3"/>
              <w:numPr>
                <w:ilvl w:val="0"/>
                <w:numId w:val="4"/>
              </w:numPr>
              <w:tabs>
                <w:tab w:val="left" w:pos="984"/>
              </w:tabs>
              <w:spacing w:line="360" w:lineRule="auto"/>
              <w:jc w:val="both"/>
              <w:rPr>
                <w:rFonts w:ascii="Arial" w:hAnsi="Arial" w:cs="David"/>
                <w:sz w:val="24"/>
                <w:szCs w:val="24"/>
                <w:rtl/>
              </w:rPr>
            </w:pPr>
            <w:r w:rsidRPr="00450898">
              <w:rPr>
                <w:rFonts w:ascii="Arial" w:hAnsi="Arial" w:cs="David"/>
                <w:sz w:val="24"/>
                <w:szCs w:val="24"/>
                <w:rtl/>
              </w:rPr>
              <w:t>שיעור השינוי בחוב לא-לדיור ירד על רקע הירידה בצריכה הפרטית, בדומה למדינות באירופה</w:t>
            </w:r>
            <w:r w:rsidR="00C20025">
              <w:rPr>
                <w:rFonts w:ascii="Arial" w:hAnsi="Arial" w:cs="David" w:hint="cs"/>
                <w:sz w:val="24"/>
                <w:szCs w:val="24"/>
                <w:rtl/>
              </w:rPr>
              <w:t>.</w:t>
            </w:r>
            <w:r w:rsidRPr="00450898">
              <w:rPr>
                <w:rFonts w:ascii="Arial" w:hAnsi="Arial" w:cs="David"/>
                <w:sz w:val="24"/>
                <w:szCs w:val="24"/>
                <w:rtl/>
              </w:rPr>
              <w:t xml:space="preserve"> </w:t>
            </w:r>
          </w:p>
        </w:tc>
        <w:tc>
          <w:tcPr>
            <w:tcW w:w="4529" w:type="dxa"/>
          </w:tcPr>
          <w:p w:rsidR="00450898" w:rsidRPr="00450898" w:rsidRDefault="00B75EE7" w:rsidP="00DD735B">
            <w:pPr>
              <w:pStyle w:val="a3"/>
              <w:ind w:left="30"/>
              <w:jc w:val="both"/>
              <w:rPr>
                <w:rFonts w:asciiTheme="minorBidi" w:hAnsiTheme="minorBidi" w:cs="David"/>
                <w:b/>
                <w:bCs/>
                <w:sz w:val="24"/>
                <w:szCs w:val="24"/>
                <w:rtl/>
              </w:rPr>
            </w:pPr>
            <w:r w:rsidRPr="00142177">
              <w:rPr>
                <w:rFonts w:ascii="Arial" w:hAnsi="Arial" w:cs="David"/>
                <w:b/>
                <w:bCs/>
                <w:noProof/>
                <w:sz w:val="24"/>
                <w:szCs w:val="24"/>
                <w:rtl/>
              </w:rPr>
              <w:drawing>
                <wp:anchor distT="0" distB="0" distL="114300" distR="114300" simplePos="0" relativeHeight="251682816" behindDoc="0" locked="0" layoutInCell="1" allowOverlap="1">
                  <wp:simplePos x="0" y="0"/>
                  <wp:positionH relativeFrom="column">
                    <wp:posOffset>0</wp:posOffset>
                  </wp:positionH>
                  <wp:positionV relativeFrom="paragraph">
                    <wp:posOffset>380365</wp:posOffset>
                  </wp:positionV>
                  <wp:extent cx="2700000" cy="1620000"/>
                  <wp:effectExtent l="0" t="0" r="5715" b="0"/>
                  <wp:wrapSquare wrapText="bothSides"/>
                  <wp:docPr id="4" name="תמונה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0000"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0898" w:rsidRPr="00450898">
              <w:rPr>
                <w:rFonts w:asciiTheme="minorBidi" w:hAnsiTheme="minorBidi" w:cs="David"/>
                <w:b/>
                <w:bCs/>
                <w:sz w:val="24"/>
                <w:szCs w:val="24"/>
                <w:rtl/>
              </w:rPr>
              <w:t>שיעורי השינוי השנתיים ביתרת החוב של משקי הבית, לדיור ולא-לדיור</w:t>
            </w:r>
            <w:r w:rsidR="00450898">
              <w:rPr>
                <w:rFonts w:asciiTheme="minorBidi" w:hAnsiTheme="minorBidi" w:cs="David" w:hint="cs"/>
                <w:b/>
                <w:bCs/>
                <w:sz w:val="24"/>
                <w:szCs w:val="24"/>
                <w:rtl/>
              </w:rPr>
              <w:t xml:space="preserve">, </w:t>
            </w:r>
            <w:r w:rsidR="00450898" w:rsidRPr="00450898">
              <w:rPr>
                <w:rFonts w:asciiTheme="minorBidi" w:hAnsiTheme="minorBidi" w:cs="David" w:hint="cs"/>
                <w:sz w:val="21"/>
                <w:szCs w:val="21"/>
                <w:rtl/>
              </w:rPr>
              <w:t>אחוזים</w:t>
            </w:r>
          </w:p>
          <w:p w:rsidR="00551E33" w:rsidRPr="006B36AB" w:rsidRDefault="006B36AB" w:rsidP="00DD735B">
            <w:pPr>
              <w:pStyle w:val="a3"/>
              <w:tabs>
                <w:tab w:val="left" w:pos="984"/>
              </w:tabs>
              <w:spacing w:line="360" w:lineRule="auto"/>
              <w:ind w:left="0" w:right="749"/>
              <w:jc w:val="both"/>
              <w:rPr>
                <w:rFonts w:ascii="Arial" w:hAnsi="Arial" w:cs="David"/>
                <w:sz w:val="16"/>
                <w:szCs w:val="16"/>
                <w:rtl/>
              </w:rPr>
            </w:pPr>
            <w:r w:rsidRPr="006B36AB">
              <w:rPr>
                <w:rFonts w:ascii="Arial" w:hAnsi="Arial" w:cs="David"/>
                <w:sz w:val="16"/>
                <w:szCs w:val="16"/>
                <w:rtl/>
              </w:rPr>
              <w:t>המקור: דיווחים לבנק ישראל ועיבודי בנק ישראל.</w:t>
            </w:r>
          </w:p>
        </w:tc>
      </w:tr>
    </w:tbl>
    <w:p w:rsidR="006A0382" w:rsidRPr="00B15D4C" w:rsidRDefault="006A0382" w:rsidP="00DD735B">
      <w:pPr>
        <w:pStyle w:val="a3"/>
        <w:tabs>
          <w:tab w:val="left" w:pos="984"/>
        </w:tabs>
        <w:spacing w:line="360" w:lineRule="auto"/>
        <w:ind w:left="1440"/>
        <w:jc w:val="both"/>
        <w:rPr>
          <w:rFonts w:cs="David"/>
          <w:b/>
          <w:bCs/>
          <w:sz w:val="24"/>
          <w:szCs w:val="24"/>
        </w:rPr>
      </w:pPr>
    </w:p>
    <w:p w:rsidR="00716312" w:rsidRPr="00AC2448" w:rsidRDefault="00716312" w:rsidP="00DD735B">
      <w:pPr>
        <w:pStyle w:val="a3"/>
        <w:numPr>
          <w:ilvl w:val="0"/>
          <w:numId w:val="11"/>
        </w:numPr>
        <w:spacing w:line="360" w:lineRule="auto"/>
        <w:ind w:left="360"/>
        <w:jc w:val="both"/>
        <w:rPr>
          <w:rFonts w:cs="David"/>
          <w:b/>
          <w:bCs/>
          <w:sz w:val="24"/>
          <w:szCs w:val="24"/>
        </w:rPr>
      </w:pPr>
      <w:r w:rsidRPr="00AC2448">
        <w:rPr>
          <w:rFonts w:cs="David" w:hint="cs"/>
          <w:b/>
          <w:bCs/>
          <w:sz w:val="24"/>
          <w:szCs w:val="24"/>
          <w:rtl/>
        </w:rPr>
        <w:t>פעילות המשק מול חו"ל</w:t>
      </w:r>
    </w:p>
    <w:tbl>
      <w:tblPr>
        <w:tblStyle w:val="aa"/>
        <w:tblpPr w:leftFromText="180" w:rightFromText="180" w:vertAnchor="text" w:horzAnchor="margin" w:tblpY="116"/>
        <w:bidiVisual/>
        <w:tblW w:w="87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4540"/>
      </w:tblGrid>
      <w:tr w:rsidR="00835150" w:rsidTr="00B75EE7">
        <w:trPr>
          <w:trHeight w:val="3403"/>
        </w:trPr>
        <w:tc>
          <w:tcPr>
            <w:tcW w:w="4253" w:type="dxa"/>
          </w:tcPr>
          <w:p w:rsidR="00835150" w:rsidRPr="008E0F81" w:rsidRDefault="002C6B31" w:rsidP="00DD735B">
            <w:pPr>
              <w:pStyle w:val="a3"/>
              <w:numPr>
                <w:ilvl w:val="0"/>
                <w:numId w:val="4"/>
              </w:numPr>
              <w:tabs>
                <w:tab w:val="left" w:pos="984"/>
              </w:tabs>
              <w:spacing w:line="360" w:lineRule="auto"/>
              <w:jc w:val="both"/>
              <w:rPr>
                <w:rFonts w:ascii="Arial" w:hAnsi="Arial" w:cs="David"/>
                <w:sz w:val="24"/>
                <w:szCs w:val="24"/>
                <w:rtl/>
              </w:rPr>
            </w:pPr>
            <w:r w:rsidRPr="002C6B31">
              <w:rPr>
                <w:rFonts w:ascii="Arial" w:hAnsi="Arial" w:cs="David"/>
                <w:sz w:val="24"/>
                <w:szCs w:val="24"/>
                <w:rtl/>
              </w:rPr>
              <w:t xml:space="preserve">עודף הנכסים על ההתחייבויות של המשק מול חו״ל עלה בכ-34 מיליארדי דולרים (21%) ועמד בסוף דצמבר על כ- 196 מיליארדים. </w:t>
            </w:r>
            <w:r>
              <w:rPr>
                <w:rFonts w:ascii="Arial" w:hAnsi="Arial" w:cs="David" w:hint="cs"/>
                <w:sz w:val="24"/>
                <w:szCs w:val="24"/>
                <w:rtl/>
              </w:rPr>
              <w:t>(איור ג'-15)</w:t>
            </w:r>
          </w:p>
        </w:tc>
        <w:tc>
          <w:tcPr>
            <w:tcW w:w="4540" w:type="dxa"/>
          </w:tcPr>
          <w:p w:rsidR="002C6B31" w:rsidRPr="002C6B31" w:rsidRDefault="00B75EE7" w:rsidP="00DD735B">
            <w:pPr>
              <w:pStyle w:val="a3"/>
              <w:ind w:left="0"/>
              <w:jc w:val="both"/>
              <w:rPr>
                <w:rFonts w:asciiTheme="minorBidi" w:hAnsiTheme="minorBidi" w:cs="David"/>
                <w:b/>
                <w:bCs/>
                <w:sz w:val="24"/>
                <w:szCs w:val="24"/>
                <w:rtl/>
              </w:rPr>
            </w:pPr>
            <w:r w:rsidRPr="00450898">
              <w:rPr>
                <w:rFonts w:ascii="Arial" w:hAnsi="Arial" w:cs="David"/>
                <w:noProof/>
                <w:sz w:val="24"/>
                <w:szCs w:val="24"/>
                <w:rtl/>
              </w:rPr>
              <w:drawing>
                <wp:anchor distT="0" distB="0" distL="114300" distR="114300" simplePos="0" relativeHeight="251683840" behindDoc="0" locked="0" layoutInCell="1" allowOverlap="1">
                  <wp:simplePos x="0" y="0"/>
                  <wp:positionH relativeFrom="column">
                    <wp:posOffset>19050</wp:posOffset>
                  </wp:positionH>
                  <wp:positionV relativeFrom="paragraph">
                    <wp:posOffset>356870</wp:posOffset>
                  </wp:positionV>
                  <wp:extent cx="2700000" cy="1620000"/>
                  <wp:effectExtent l="0" t="0" r="5715" b="0"/>
                  <wp:wrapSquare wrapText="bothSides"/>
                  <wp:docPr id="8" name="תמונה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0000"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6B31" w:rsidRPr="002C6B31">
              <w:rPr>
                <w:rFonts w:asciiTheme="minorBidi" w:hAnsiTheme="minorBidi" w:cs="David"/>
                <w:b/>
                <w:bCs/>
                <w:sz w:val="24"/>
                <w:szCs w:val="24"/>
                <w:rtl/>
              </w:rPr>
              <w:t>עודף הנכסים (+) על ההתחייבויות של המשק מול חו"ל</w:t>
            </w:r>
            <w:r w:rsidR="002C6B31" w:rsidRPr="002C6B31">
              <w:rPr>
                <w:rFonts w:asciiTheme="minorBidi" w:hAnsiTheme="minorBidi" w:cs="David" w:hint="cs"/>
                <w:b/>
                <w:bCs/>
                <w:sz w:val="24"/>
                <w:szCs w:val="24"/>
                <w:rtl/>
              </w:rPr>
              <w:t xml:space="preserve">, </w:t>
            </w:r>
            <w:r w:rsidR="002C6B31" w:rsidRPr="002C6B31">
              <w:rPr>
                <w:rFonts w:asciiTheme="minorBidi" w:hAnsiTheme="minorBidi" w:cs="David" w:hint="cs"/>
                <w:sz w:val="21"/>
                <w:szCs w:val="21"/>
                <w:rtl/>
              </w:rPr>
              <w:t>מיליארדי דולרים</w:t>
            </w:r>
          </w:p>
          <w:p w:rsidR="00835150" w:rsidRPr="006B36AB" w:rsidRDefault="006B36AB" w:rsidP="00DD735B">
            <w:pPr>
              <w:pStyle w:val="a3"/>
              <w:spacing w:after="120" w:line="360" w:lineRule="auto"/>
              <w:ind w:left="0"/>
              <w:jc w:val="both"/>
              <w:rPr>
                <w:rFonts w:ascii="Arial" w:hAnsi="Arial" w:cs="David"/>
                <w:sz w:val="16"/>
                <w:szCs w:val="16"/>
                <w:rtl/>
              </w:rPr>
            </w:pPr>
            <w:r w:rsidRPr="006B36AB">
              <w:rPr>
                <w:rFonts w:ascii="Arial" w:hAnsi="Arial" w:cs="David"/>
                <w:sz w:val="16"/>
                <w:szCs w:val="16"/>
                <w:rtl/>
              </w:rPr>
              <w:t>המקור: נתוני ועיבודי בנק ישראל.</w:t>
            </w:r>
          </w:p>
        </w:tc>
      </w:tr>
    </w:tbl>
    <w:p w:rsidR="00D77455" w:rsidRDefault="002C6B31" w:rsidP="00373959">
      <w:pPr>
        <w:pStyle w:val="a3"/>
        <w:numPr>
          <w:ilvl w:val="0"/>
          <w:numId w:val="6"/>
        </w:numPr>
        <w:tabs>
          <w:tab w:val="left" w:pos="2849"/>
        </w:tabs>
        <w:spacing w:after="240" w:line="360" w:lineRule="auto"/>
        <w:ind w:left="374" w:hanging="425"/>
        <w:jc w:val="both"/>
        <w:rPr>
          <w:rFonts w:ascii="Arial" w:hAnsi="Arial" w:cs="David"/>
          <w:sz w:val="24"/>
          <w:szCs w:val="24"/>
        </w:rPr>
      </w:pPr>
      <w:r w:rsidRPr="00D77455">
        <w:rPr>
          <w:rFonts w:ascii="Arial" w:hAnsi="Arial" w:cs="David"/>
          <w:sz w:val="24"/>
          <w:szCs w:val="24"/>
          <w:rtl/>
        </w:rPr>
        <w:t xml:space="preserve">בשנת 2020 חלה עלייה ניכרת ביתרת הנכסים של המשק בחו"ל, בהיקפים העולים על מגמת העלייה הרב שנתית. העלייה נבעה בעיקר מגידול חד בנכסי רזרבת המט"ח של המשק על רקע הצעדים המוניטריים שיושמו בגין משבר הקורונה, התערבות בנק ישראל בשוק מטבע חוץ והעברות הממשלה. לעלייה ביתרת הנכסים תרמה גם ההשקעה הניכרת של תושבי ישראל בנכסים פיננסיים זרים. </w:t>
      </w:r>
      <w:r w:rsidR="008448AD" w:rsidRPr="00D77455">
        <w:rPr>
          <w:rFonts w:ascii="Arial" w:hAnsi="Arial" w:cs="David" w:hint="cs"/>
          <w:sz w:val="24"/>
          <w:szCs w:val="24"/>
          <w:rtl/>
        </w:rPr>
        <w:t>(איורים ג'-</w:t>
      </w:r>
      <w:r w:rsidRPr="00D77455">
        <w:rPr>
          <w:rFonts w:ascii="Arial" w:hAnsi="Arial" w:cs="David" w:hint="cs"/>
          <w:sz w:val="24"/>
          <w:szCs w:val="24"/>
          <w:rtl/>
        </w:rPr>
        <w:t>1</w:t>
      </w:r>
      <w:r w:rsidR="00C20025" w:rsidRPr="00D77455">
        <w:rPr>
          <w:rFonts w:ascii="Arial" w:hAnsi="Arial" w:cs="David" w:hint="cs"/>
          <w:sz w:val="24"/>
          <w:szCs w:val="24"/>
          <w:rtl/>
        </w:rPr>
        <w:t>)</w:t>
      </w:r>
    </w:p>
    <w:p w:rsidR="0098781E" w:rsidRPr="00D77455" w:rsidRDefault="002C6B31" w:rsidP="00373959">
      <w:pPr>
        <w:pStyle w:val="a3"/>
        <w:numPr>
          <w:ilvl w:val="0"/>
          <w:numId w:val="6"/>
        </w:numPr>
        <w:tabs>
          <w:tab w:val="left" w:pos="2849"/>
        </w:tabs>
        <w:spacing w:after="240" w:line="360" w:lineRule="auto"/>
        <w:ind w:left="374" w:hanging="425"/>
        <w:jc w:val="both"/>
        <w:rPr>
          <w:rFonts w:ascii="Arial" w:hAnsi="Arial" w:cs="David"/>
          <w:sz w:val="24"/>
          <w:szCs w:val="24"/>
        </w:rPr>
      </w:pPr>
      <w:r w:rsidRPr="00D77455">
        <w:rPr>
          <w:rFonts w:ascii="Arial" w:hAnsi="Arial" w:cs="David"/>
          <w:sz w:val="24"/>
          <w:szCs w:val="24"/>
          <w:rtl/>
        </w:rPr>
        <w:t>בשנת 2020 חלה עלייה ביתרת ההתחייבויות של המשק לחו״ל, בעיקר בגין עלייה בהשקעות של תושבי חוץ באיגרות חוב של ממשלת ישראל ובהשקעות ישירות.</w:t>
      </w:r>
      <w:r w:rsidRPr="00D77455">
        <w:rPr>
          <w:rFonts w:ascii="Arial" w:hAnsi="Arial" w:cs="David" w:hint="cs"/>
          <w:sz w:val="24"/>
          <w:szCs w:val="24"/>
          <w:rtl/>
        </w:rPr>
        <w:t xml:space="preserve"> </w:t>
      </w:r>
      <w:r w:rsidR="00BE22E1" w:rsidRPr="00D77455">
        <w:rPr>
          <w:rFonts w:ascii="Arial" w:hAnsi="Arial" w:cs="David" w:hint="cs"/>
          <w:sz w:val="24"/>
          <w:szCs w:val="24"/>
          <w:rtl/>
        </w:rPr>
        <w:t>(איור ג'-9)</w:t>
      </w:r>
    </w:p>
    <w:p w:rsidR="00B75EE7" w:rsidRDefault="00B75EE7" w:rsidP="00DD735B">
      <w:pPr>
        <w:pStyle w:val="a3"/>
        <w:tabs>
          <w:tab w:val="left" w:pos="2849"/>
        </w:tabs>
        <w:spacing w:after="240" w:line="360" w:lineRule="auto"/>
        <w:ind w:left="651"/>
        <w:jc w:val="both"/>
        <w:rPr>
          <w:rFonts w:ascii="Arial" w:hAnsi="Arial" w:cs="David"/>
          <w:sz w:val="24"/>
          <w:szCs w:val="24"/>
          <w:rtl/>
        </w:rPr>
      </w:pPr>
    </w:p>
    <w:p w:rsidR="00F9496C" w:rsidRDefault="00F9496C" w:rsidP="00DD735B">
      <w:pPr>
        <w:pStyle w:val="a3"/>
        <w:tabs>
          <w:tab w:val="left" w:pos="2849"/>
        </w:tabs>
        <w:spacing w:after="240" w:line="360" w:lineRule="auto"/>
        <w:ind w:left="651"/>
        <w:jc w:val="both"/>
        <w:rPr>
          <w:rFonts w:ascii="Arial" w:hAnsi="Arial" w:cs="David"/>
          <w:sz w:val="24"/>
          <w:szCs w:val="24"/>
          <w:rtl/>
        </w:rPr>
      </w:pPr>
    </w:p>
    <w:p w:rsidR="0093532C" w:rsidRPr="00BB7CA3" w:rsidRDefault="0093532C" w:rsidP="00DD735B">
      <w:pPr>
        <w:pStyle w:val="a3"/>
        <w:tabs>
          <w:tab w:val="left" w:pos="2849"/>
        </w:tabs>
        <w:spacing w:after="240" w:line="360" w:lineRule="auto"/>
        <w:ind w:left="651"/>
        <w:jc w:val="both"/>
        <w:rPr>
          <w:rFonts w:ascii="Arial" w:hAnsi="Arial" w:cs="David"/>
          <w:sz w:val="24"/>
          <w:szCs w:val="24"/>
          <w:rtl/>
        </w:rPr>
      </w:pPr>
    </w:p>
    <w:p w:rsidR="005D6EE3" w:rsidRPr="00265734" w:rsidRDefault="00716312" w:rsidP="00DD735B">
      <w:pPr>
        <w:pStyle w:val="a3"/>
        <w:numPr>
          <w:ilvl w:val="0"/>
          <w:numId w:val="11"/>
        </w:numPr>
        <w:spacing w:line="360" w:lineRule="auto"/>
        <w:ind w:left="360"/>
        <w:jc w:val="both"/>
        <w:rPr>
          <w:rFonts w:cs="David"/>
          <w:b/>
          <w:bCs/>
          <w:sz w:val="24"/>
          <w:szCs w:val="24"/>
        </w:rPr>
      </w:pPr>
      <w:r w:rsidRPr="00265734">
        <w:rPr>
          <w:rFonts w:cs="David" w:hint="cs"/>
          <w:b/>
          <w:bCs/>
          <w:sz w:val="24"/>
          <w:szCs w:val="24"/>
          <w:rtl/>
        </w:rPr>
        <w:t>פעילות המגזרים העיקריים במטבע חוץ</w:t>
      </w:r>
      <w:r w:rsidR="005D6EE3" w:rsidRPr="00265734">
        <w:rPr>
          <w:rFonts w:cs="David"/>
          <w:b/>
          <w:bCs/>
          <w:sz w:val="24"/>
          <w:szCs w:val="24"/>
          <w:rtl/>
        </w:rPr>
        <w:t xml:space="preserve"> </w:t>
      </w:r>
    </w:p>
    <w:tbl>
      <w:tblPr>
        <w:tblStyle w:val="aa"/>
        <w:bidiVisual/>
        <w:tblW w:w="884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76"/>
        <w:gridCol w:w="5064"/>
      </w:tblGrid>
      <w:tr w:rsidR="007B1AD6" w:rsidTr="006B36AB">
        <w:trPr>
          <w:trHeight w:val="6681"/>
        </w:trPr>
        <w:tc>
          <w:tcPr>
            <w:tcW w:w="3776" w:type="dxa"/>
          </w:tcPr>
          <w:p w:rsidR="000E5356" w:rsidRDefault="00D77455" w:rsidP="00D77455">
            <w:pPr>
              <w:pStyle w:val="a3"/>
              <w:numPr>
                <w:ilvl w:val="0"/>
                <w:numId w:val="5"/>
              </w:numPr>
              <w:spacing w:line="360" w:lineRule="auto"/>
              <w:jc w:val="both"/>
              <w:rPr>
                <w:rFonts w:cs="David"/>
                <w:b/>
                <w:bCs/>
                <w:sz w:val="24"/>
                <w:szCs w:val="24"/>
              </w:rPr>
            </w:pPr>
            <w:r>
              <w:rPr>
                <w:rFonts w:cs="David" w:hint="cs"/>
                <w:sz w:val="24"/>
                <w:szCs w:val="24"/>
                <w:rtl/>
              </w:rPr>
              <w:t>בשנת 2020 תושבי חוץ הגדילו</w:t>
            </w:r>
            <w:r w:rsidR="00B75EE7" w:rsidRPr="00B75EE7">
              <w:rPr>
                <w:rFonts w:cs="David"/>
                <w:sz w:val="24"/>
                <w:szCs w:val="24"/>
                <w:rtl/>
              </w:rPr>
              <w:t xml:space="preserve"> את מכירות המט"ח נטו ובנק ישראל הגדיל את התערבותו בשוק מטבע החוץ. </w:t>
            </w:r>
          </w:p>
          <w:p w:rsidR="00B75EE7" w:rsidRDefault="00B75EE7" w:rsidP="00B15636">
            <w:pPr>
              <w:pStyle w:val="a3"/>
              <w:numPr>
                <w:ilvl w:val="0"/>
                <w:numId w:val="5"/>
              </w:numPr>
              <w:spacing w:line="360" w:lineRule="auto"/>
              <w:jc w:val="both"/>
              <w:rPr>
                <w:rFonts w:cs="David"/>
                <w:b/>
                <w:bCs/>
                <w:sz w:val="24"/>
                <w:szCs w:val="24"/>
              </w:rPr>
            </w:pPr>
            <w:r w:rsidRPr="00B75EE7">
              <w:rPr>
                <w:rFonts w:cs="David"/>
                <w:sz w:val="24"/>
                <w:szCs w:val="24"/>
                <w:rtl/>
              </w:rPr>
              <w:t xml:space="preserve">הגופים המוסדיים </w:t>
            </w:r>
            <w:r w:rsidR="00D77455">
              <w:rPr>
                <w:rFonts w:cs="David" w:hint="cs"/>
                <w:sz w:val="24"/>
                <w:szCs w:val="24"/>
                <w:rtl/>
              </w:rPr>
              <w:t>רכשו מט"ח נטו בהיקפים משמעותיים עם פרוץ המשבר, ו</w:t>
            </w:r>
            <w:r w:rsidRPr="00B75EE7">
              <w:rPr>
                <w:rFonts w:cs="David"/>
                <w:sz w:val="24"/>
                <w:szCs w:val="24"/>
                <w:rtl/>
              </w:rPr>
              <w:t xml:space="preserve">החל מחודש אפריל הגופים המוסדיים </w:t>
            </w:r>
            <w:r w:rsidR="00D77455">
              <w:rPr>
                <w:rFonts w:cs="David" w:hint="cs"/>
                <w:sz w:val="24"/>
                <w:szCs w:val="24"/>
                <w:rtl/>
              </w:rPr>
              <w:t xml:space="preserve">עברו </w:t>
            </w:r>
            <w:r w:rsidRPr="00B75EE7">
              <w:rPr>
                <w:rFonts w:cs="David"/>
                <w:sz w:val="24"/>
                <w:szCs w:val="24"/>
                <w:rtl/>
              </w:rPr>
              <w:t xml:space="preserve">למכירות מט"ח שהתפרסו על המשך השנה.  בסיכום שנתי הם </w:t>
            </w:r>
            <w:r w:rsidR="00D77455">
              <w:rPr>
                <w:rFonts w:cs="David" w:hint="cs"/>
                <w:sz w:val="24"/>
                <w:szCs w:val="24"/>
                <w:rtl/>
              </w:rPr>
              <w:t xml:space="preserve">המוסדיים </w:t>
            </w:r>
            <w:r w:rsidRPr="00B75EE7">
              <w:rPr>
                <w:rFonts w:cs="David"/>
                <w:sz w:val="24"/>
                <w:szCs w:val="24"/>
                <w:rtl/>
              </w:rPr>
              <w:t>רכשו מט"ח נטו בסך של כ-2 מיליארד דולר</w:t>
            </w:r>
            <w:r w:rsidR="00B15636">
              <w:rPr>
                <w:rFonts w:cs="David" w:hint="cs"/>
                <w:sz w:val="24"/>
                <w:szCs w:val="24"/>
                <w:rtl/>
              </w:rPr>
              <w:t>.</w:t>
            </w:r>
            <w:r w:rsidRPr="00B75EE7">
              <w:rPr>
                <w:rFonts w:cs="David"/>
                <w:sz w:val="24"/>
                <w:szCs w:val="24"/>
                <w:rtl/>
              </w:rPr>
              <w:t xml:space="preserve"> </w:t>
            </w:r>
            <w:r w:rsidR="00B10151" w:rsidRPr="00B10151">
              <w:rPr>
                <w:rFonts w:cs="David" w:hint="cs"/>
                <w:sz w:val="24"/>
                <w:szCs w:val="24"/>
                <w:rtl/>
              </w:rPr>
              <w:t>(איור ד'-8)</w:t>
            </w:r>
          </w:p>
          <w:p w:rsidR="006B36AB" w:rsidRDefault="006B36AB" w:rsidP="006B36AB">
            <w:pPr>
              <w:pStyle w:val="a3"/>
              <w:spacing w:line="360" w:lineRule="auto"/>
              <w:jc w:val="both"/>
              <w:rPr>
                <w:rFonts w:cs="David"/>
                <w:b/>
                <w:bCs/>
                <w:sz w:val="24"/>
                <w:szCs w:val="24"/>
                <w:rtl/>
              </w:rPr>
            </w:pPr>
          </w:p>
          <w:p w:rsidR="006B36AB" w:rsidRDefault="006B36AB" w:rsidP="006B36AB">
            <w:pPr>
              <w:pStyle w:val="a3"/>
              <w:spacing w:line="360" w:lineRule="auto"/>
              <w:jc w:val="both"/>
              <w:rPr>
                <w:rFonts w:cs="David"/>
                <w:b/>
                <w:bCs/>
                <w:sz w:val="24"/>
                <w:szCs w:val="24"/>
                <w:rtl/>
              </w:rPr>
            </w:pPr>
          </w:p>
          <w:p w:rsidR="006B36AB" w:rsidRPr="006B36AB" w:rsidRDefault="006B36AB" w:rsidP="006B36AB">
            <w:pPr>
              <w:spacing w:line="360" w:lineRule="auto"/>
              <w:jc w:val="both"/>
              <w:rPr>
                <w:rFonts w:cs="David"/>
                <w:b/>
                <w:bCs/>
                <w:sz w:val="24"/>
                <w:szCs w:val="24"/>
                <w:rtl/>
              </w:rPr>
            </w:pPr>
          </w:p>
        </w:tc>
        <w:tc>
          <w:tcPr>
            <w:tcW w:w="5064" w:type="dxa"/>
          </w:tcPr>
          <w:p w:rsidR="006B36AB" w:rsidRDefault="00B10151" w:rsidP="00343301">
            <w:pPr>
              <w:pStyle w:val="a3"/>
              <w:ind w:left="0"/>
              <w:jc w:val="both"/>
              <w:rPr>
                <w:rFonts w:asciiTheme="minorBidi" w:hAnsiTheme="minorBidi" w:cs="David"/>
                <w:sz w:val="21"/>
                <w:szCs w:val="21"/>
                <w:rtl/>
              </w:rPr>
            </w:pPr>
            <w:r w:rsidRPr="00B10151">
              <w:rPr>
                <w:rFonts w:asciiTheme="minorBidi" w:hAnsiTheme="minorBidi" w:cs="David"/>
                <w:b/>
                <w:bCs/>
                <w:sz w:val="24"/>
                <w:szCs w:val="24"/>
                <w:rtl/>
              </w:rPr>
              <w:t>אומדן רכישות מטבע החוץ (+) המצטברות נטו של המגזרים העיקריים</w:t>
            </w:r>
            <w:r>
              <w:rPr>
                <w:rFonts w:asciiTheme="minorBidi" w:hAnsiTheme="minorBidi" w:cs="David" w:hint="cs"/>
                <w:b/>
                <w:bCs/>
                <w:sz w:val="24"/>
                <w:szCs w:val="24"/>
                <w:rtl/>
              </w:rPr>
              <w:t xml:space="preserve">, </w:t>
            </w:r>
            <w:r w:rsidRPr="00B10151">
              <w:rPr>
                <w:rFonts w:asciiTheme="minorBidi" w:hAnsiTheme="minorBidi" w:cs="David"/>
                <w:sz w:val="21"/>
                <w:szCs w:val="21"/>
                <w:rtl/>
              </w:rPr>
              <w:t xml:space="preserve">מיליארדי </w:t>
            </w:r>
            <w:r w:rsidRPr="00B10151">
              <w:rPr>
                <w:rFonts w:asciiTheme="minorBidi" w:hAnsiTheme="minorBidi" w:cs="David" w:hint="cs"/>
                <w:sz w:val="21"/>
                <w:szCs w:val="21"/>
                <w:rtl/>
              </w:rPr>
              <w:t>דולרים</w:t>
            </w:r>
          </w:p>
          <w:p w:rsidR="006B36AB" w:rsidRPr="006B36AB" w:rsidRDefault="006B36AB" w:rsidP="006B36AB">
            <w:pPr>
              <w:pStyle w:val="a3"/>
              <w:ind w:left="0"/>
              <w:jc w:val="both"/>
              <w:rPr>
                <w:rFonts w:asciiTheme="minorBidi" w:hAnsiTheme="minorBidi" w:cs="David"/>
                <w:sz w:val="21"/>
                <w:szCs w:val="21"/>
                <w:rtl/>
              </w:rPr>
            </w:pPr>
          </w:p>
          <w:p w:rsidR="007B1AD6" w:rsidRDefault="006B36AB" w:rsidP="00DD735B">
            <w:pPr>
              <w:pStyle w:val="a3"/>
              <w:spacing w:line="360" w:lineRule="auto"/>
              <w:ind w:left="0"/>
              <w:jc w:val="both"/>
              <w:rPr>
                <w:rFonts w:cs="David"/>
                <w:b/>
                <w:bCs/>
                <w:sz w:val="24"/>
                <w:szCs w:val="24"/>
                <w:rtl/>
              </w:rPr>
            </w:pPr>
            <w:r w:rsidRPr="00B75EE7">
              <w:rPr>
                <w:rFonts w:cs="David"/>
                <w:b/>
                <w:bCs/>
                <w:noProof/>
                <w:sz w:val="24"/>
                <w:szCs w:val="24"/>
                <w:rtl/>
              </w:rPr>
              <w:drawing>
                <wp:anchor distT="0" distB="0" distL="114300" distR="114300" simplePos="0" relativeHeight="251684864" behindDoc="0" locked="0" layoutInCell="1" allowOverlap="1">
                  <wp:simplePos x="0" y="0"/>
                  <wp:positionH relativeFrom="column">
                    <wp:posOffset>371475</wp:posOffset>
                  </wp:positionH>
                  <wp:positionV relativeFrom="paragraph">
                    <wp:posOffset>1695450</wp:posOffset>
                  </wp:positionV>
                  <wp:extent cx="2700000" cy="1620000"/>
                  <wp:effectExtent l="0" t="0" r="5715" b="0"/>
                  <wp:wrapSquare wrapText="bothSides"/>
                  <wp:docPr id="11" name="תמונה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0000"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5EE7" w:rsidRPr="00B75EE7">
              <w:rPr>
                <w:rFonts w:cs="David"/>
                <w:b/>
                <w:bCs/>
                <w:noProof/>
                <w:sz w:val="24"/>
                <w:szCs w:val="24"/>
                <w:rtl/>
              </w:rPr>
              <w:drawing>
                <wp:anchor distT="0" distB="0" distL="114300" distR="114300" simplePos="0" relativeHeight="251685888" behindDoc="0" locked="0" layoutInCell="1" allowOverlap="1">
                  <wp:simplePos x="0" y="0"/>
                  <wp:positionH relativeFrom="column">
                    <wp:posOffset>371475</wp:posOffset>
                  </wp:positionH>
                  <wp:positionV relativeFrom="paragraph">
                    <wp:posOffset>0</wp:posOffset>
                  </wp:positionV>
                  <wp:extent cx="2700000" cy="1620000"/>
                  <wp:effectExtent l="0" t="0" r="5715" b="0"/>
                  <wp:wrapSquare wrapText="bothSides"/>
                  <wp:docPr id="9" name="תמונה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0000"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5EE7" w:rsidRDefault="006B36AB" w:rsidP="00DD735B">
            <w:pPr>
              <w:pStyle w:val="a3"/>
              <w:spacing w:line="360" w:lineRule="auto"/>
              <w:ind w:left="0"/>
              <w:jc w:val="both"/>
              <w:rPr>
                <w:rFonts w:cs="David"/>
                <w:b/>
                <w:bCs/>
                <w:sz w:val="24"/>
                <w:szCs w:val="24"/>
                <w:rtl/>
              </w:rPr>
            </w:pPr>
            <w:r w:rsidRPr="006B36AB">
              <w:rPr>
                <w:rFonts w:asciiTheme="minorBidi" w:hAnsiTheme="minorBidi" w:cs="David"/>
                <w:b/>
                <w:bCs/>
                <w:noProof/>
                <w:sz w:val="24"/>
                <w:szCs w:val="24"/>
                <w:rtl/>
              </w:rPr>
              <mc:AlternateContent>
                <mc:Choice Requires="wps">
                  <w:drawing>
                    <wp:anchor distT="45720" distB="45720" distL="114300" distR="114300" simplePos="0" relativeHeight="251687936" behindDoc="0" locked="0" layoutInCell="1" allowOverlap="1" wp14:anchorId="0E8D0335" wp14:editId="52C0C326">
                      <wp:simplePos x="0" y="0"/>
                      <wp:positionH relativeFrom="column">
                        <wp:posOffset>-41275</wp:posOffset>
                      </wp:positionH>
                      <wp:positionV relativeFrom="paragraph">
                        <wp:posOffset>3136900</wp:posOffset>
                      </wp:positionV>
                      <wp:extent cx="3132455" cy="349250"/>
                      <wp:effectExtent l="0" t="0" r="0" b="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32455" cy="349250"/>
                              </a:xfrm>
                              <a:prstGeom prst="rect">
                                <a:avLst/>
                              </a:prstGeom>
                              <a:solidFill>
                                <a:srgbClr val="FFFFFF"/>
                              </a:solidFill>
                              <a:ln w="9525">
                                <a:noFill/>
                                <a:miter lim="800000"/>
                                <a:headEnd/>
                                <a:tailEnd/>
                              </a:ln>
                            </wps:spPr>
                            <wps:txbx>
                              <w:txbxContent>
                                <w:p w:rsidR="006B36AB" w:rsidRPr="006B36AB" w:rsidRDefault="006B36AB" w:rsidP="006B36AB">
                                  <w:pPr>
                                    <w:rPr>
                                      <w:rFonts w:ascii="David" w:hAnsi="David" w:cs="David"/>
                                      <w:sz w:val="16"/>
                                      <w:szCs w:val="16"/>
                                      <w:rtl/>
                                      <w:cs/>
                                    </w:rPr>
                                  </w:pPr>
                                  <w:r w:rsidRPr="006B36AB">
                                    <w:rPr>
                                      <w:rFonts w:ascii="David" w:hAnsi="David" w:cs="David"/>
                                      <w:sz w:val="16"/>
                                      <w:szCs w:val="16"/>
                                      <w:rtl/>
                                    </w:rPr>
                                    <w:t>המקור: דיווחים לבנק ישראל מהמוסדות הפיננסיים ומחברות עסקיות, ועיבודי בנק ישראל.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8D0335" id="_x0000_t202" coordsize="21600,21600" o:spt="202" path="m,l,21600r21600,l21600,xe">
                      <v:stroke joinstyle="miter"/>
                      <v:path gradientshapeok="t" o:connecttype="rect"/>
                    </v:shapetype>
                    <v:shape id="תיבת טקסט 2" o:spid="_x0000_s1026" type="#_x0000_t202" style="position:absolute;left:0;text-align:left;margin-left:-3.25pt;margin-top:247pt;width:246.65pt;height:27.5pt;flip:x;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" stroked="f">
                      <v:textbox>
                        <w:txbxContent>
                          <w:p w:rsidR="006B36AB" w:rsidRPr="006B36AB" w:rsidRDefault="006B36AB" w:rsidP="006B36AB">
                            <w:pPr>
                              <w:rPr>
                                <w:rFonts w:ascii="David" w:hAnsi="David" w:cs="David"/>
                                <w:sz w:val="16"/>
                                <w:szCs w:val="16"/>
                                <w:rtl/>
                                <w:cs/>
                              </w:rPr>
                            </w:pPr>
                            <w:r w:rsidRPr="006B36AB">
                              <w:rPr>
                                <w:rFonts w:ascii="David" w:hAnsi="David" w:cs="David"/>
                                <w:sz w:val="16"/>
                                <w:szCs w:val="16"/>
                                <w:rtl/>
                              </w:rPr>
                              <w:t>המקור: דיווחים לבנק ישראל מהמוסדות הפיננסיים ומחברות עסקיות, ועיבודי בנק ישראל.</w:t>
                            </w:r>
                          </w:p>
                        </w:txbxContent>
                      </v:textbox>
                      <w10:wrap type="square"/>
                    </v:shape>
                  </w:pict>
                </mc:Fallback>
              </mc:AlternateContent>
            </w:r>
          </w:p>
        </w:tc>
      </w:tr>
    </w:tbl>
    <w:p w:rsidR="00306545" w:rsidRDefault="00B10151" w:rsidP="00DD735B">
      <w:pPr>
        <w:pStyle w:val="a3"/>
        <w:numPr>
          <w:ilvl w:val="0"/>
          <w:numId w:val="5"/>
        </w:numPr>
        <w:spacing w:after="0" w:line="360" w:lineRule="auto"/>
        <w:ind w:left="232" w:hanging="284"/>
        <w:jc w:val="both"/>
        <w:rPr>
          <w:rFonts w:cs="David"/>
          <w:sz w:val="24"/>
          <w:szCs w:val="24"/>
        </w:rPr>
      </w:pPr>
      <w:r w:rsidRPr="00B10151">
        <w:rPr>
          <w:rFonts w:cs="David"/>
          <w:sz w:val="24"/>
          <w:szCs w:val="24"/>
          <w:rtl/>
        </w:rPr>
        <w:t>השקל התחזק בשנת 2020 מול הדולר ומול סל המטבעות הנומינלי אפקטיבי לרמת שיא של שני העשורים האחרונים. בתחילת משבר הקורונה נרשם פיחות חד בשער החליפין של השקל מול הדולר (כ-11%) ועלייה משמעותית בתנודתיות בשוק, אך בהמשך השנה שב השקל והתחזק בשיעור כולל של כ-7%.</w:t>
      </w:r>
      <w:r w:rsidRPr="00B10151">
        <w:rPr>
          <w:rFonts w:cs="David" w:hint="cs"/>
          <w:sz w:val="24"/>
          <w:szCs w:val="24"/>
          <w:rtl/>
        </w:rPr>
        <w:t xml:space="preserve"> </w:t>
      </w:r>
      <w:r w:rsidR="00FB1D63">
        <w:rPr>
          <w:rFonts w:cs="David" w:hint="cs"/>
          <w:sz w:val="24"/>
          <w:szCs w:val="24"/>
          <w:rtl/>
        </w:rPr>
        <w:t>(איורים ד'-1)</w:t>
      </w:r>
    </w:p>
    <w:p w:rsidR="00B43ACC" w:rsidRPr="00B43ACC" w:rsidRDefault="00B43ACC" w:rsidP="00DD735B">
      <w:pPr>
        <w:pStyle w:val="a3"/>
        <w:spacing w:after="0" w:line="360" w:lineRule="auto"/>
        <w:ind w:left="743"/>
        <w:jc w:val="both"/>
        <w:rPr>
          <w:rFonts w:cs="David"/>
          <w:sz w:val="24"/>
          <w:szCs w:val="24"/>
        </w:rPr>
      </w:pPr>
    </w:p>
    <w:p w:rsidR="00716312" w:rsidRPr="00F11718" w:rsidRDefault="002D2EE7" w:rsidP="00343301">
      <w:pPr>
        <w:spacing w:line="360" w:lineRule="auto"/>
        <w:ind w:left="-58"/>
        <w:jc w:val="both"/>
        <w:rPr>
          <w:rFonts w:cs="David"/>
          <w:sz w:val="24"/>
          <w:szCs w:val="24"/>
          <w:rtl/>
        </w:rPr>
      </w:pPr>
      <w:r w:rsidRPr="00F11718">
        <w:rPr>
          <w:rFonts w:cs="David" w:hint="cs"/>
          <w:b/>
          <w:bCs/>
          <w:sz w:val="24"/>
          <w:szCs w:val="24"/>
          <w:rtl/>
        </w:rPr>
        <w:t>ה</w:t>
      </w:r>
      <w:r w:rsidR="00716312" w:rsidRPr="00F11718">
        <w:rPr>
          <w:rFonts w:cs="David" w:hint="cs"/>
          <w:b/>
          <w:bCs/>
          <w:sz w:val="24"/>
          <w:szCs w:val="24"/>
          <w:rtl/>
        </w:rPr>
        <w:t xml:space="preserve">חלק השני של 'מבט סטטיסטי </w:t>
      </w:r>
      <w:r w:rsidR="00B10151">
        <w:rPr>
          <w:rFonts w:cs="David" w:hint="cs"/>
          <w:b/>
          <w:bCs/>
          <w:sz w:val="24"/>
          <w:szCs w:val="24"/>
          <w:rtl/>
        </w:rPr>
        <w:t>2</w:t>
      </w:r>
      <w:r w:rsidR="00DD735B">
        <w:rPr>
          <w:rFonts w:cs="David" w:hint="cs"/>
          <w:b/>
          <w:bCs/>
          <w:sz w:val="24"/>
          <w:szCs w:val="24"/>
          <w:rtl/>
        </w:rPr>
        <w:t>020</w:t>
      </w:r>
      <w:r w:rsidR="000E5356" w:rsidRPr="00F11718">
        <w:rPr>
          <w:rFonts w:cs="David" w:hint="cs"/>
          <w:b/>
          <w:bCs/>
          <w:sz w:val="24"/>
          <w:szCs w:val="24"/>
          <w:rtl/>
        </w:rPr>
        <w:t>'</w:t>
      </w:r>
      <w:r>
        <w:rPr>
          <w:rFonts w:cs="David" w:hint="cs"/>
          <w:b/>
          <w:bCs/>
          <w:sz w:val="24"/>
          <w:szCs w:val="24"/>
          <w:rtl/>
        </w:rPr>
        <w:t xml:space="preserve"> </w:t>
      </w:r>
      <w:r w:rsidRPr="00F11718">
        <w:rPr>
          <w:rFonts w:cs="David" w:hint="cs"/>
          <w:sz w:val="24"/>
          <w:szCs w:val="24"/>
          <w:rtl/>
        </w:rPr>
        <w:t xml:space="preserve">כולל </w:t>
      </w:r>
      <w:r w:rsidR="00343301">
        <w:rPr>
          <w:rFonts w:cs="David" w:hint="cs"/>
          <w:sz w:val="24"/>
          <w:szCs w:val="24"/>
          <w:rtl/>
        </w:rPr>
        <w:t>שלוש</w:t>
      </w:r>
      <w:r w:rsidRPr="00F11718">
        <w:rPr>
          <w:rFonts w:cs="David" w:hint="cs"/>
          <w:sz w:val="24"/>
          <w:szCs w:val="24"/>
          <w:rtl/>
        </w:rPr>
        <w:t xml:space="preserve"> עבודות בתחום המתודולוגיה הסטטיסטית</w:t>
      </w:r>
      <w:r w:rsidR="00716312" w:rsidRPr="00F11718">
        <w:rPr>
          <w:rFonts w:cs="David" w:hint="cs"/>
          <w:sz w:val="24"/>
          <w:szCs w:val="24"/>
          <w:rtl/>
        </w:rPr>
        <w:t>:</w:t>
      </w:r>
    </w:p>
    <w:p w:rsidR="00630DB3" w:rsidRDefault="00DD735B" w:rsidP="00DD735B">
      <w:pPr>
        <w:pStyle w:val="a3"/>
        <w:numPr>
          <w:ilvl w:val="0"/>
          <w:numId w:val="13"/>
        </w:numPr>
        <w:spacing w:line="360" w:lineRule="auto"/>
        <w:jc w:val="both"/>
        <w:rPr>
          <w:rFonts w:cs="David"/>
          <w:sz w:val="24"/>
          <w:szCs w:val="24"/>
          <w:rtl/>
        </w:rPr>
      </w:pPr>
      <w:r>
        <w:rPr>
          <w:rFonts w:cs="David" w:hint="cs"/>
          <w:b/>
          <w:bCs/>
          <w:sz w:val="24"/>
          <w:szCs w:val="24"/>
          <w:rtl/>
        </w:rPr>
        <w:t>המאגר הסטטי</w:t>
      </w:r>
      <w:r w:rsidRPr="00DD735B">
        <w:rPr>
          <w:rFonts w:cs="David" w:hint="cs"/>
          <w:b/>
          <w:bCs/>
          <w:sz w:val="24"/>
          <w:szCs w:val="24"/>
          <w:rtl/>
        </w:rPr>
        <w:t>סטי על נתוני אשראי למשקי בית</w:t>
      </w:r>
    </w:p>
    <w:p w:rsidR="00DD735B" w:rsidRPr="00DD735B" w:rsidRDefault="000016BB" w:rsidP="000016BB">
      <w:pPr>
        <w:pStyle w:val="a3"/>
        <w:spacing w:line="360" w:lineRule="auto"/>
        <w:ind w:left="360"/>
        <w:jc w:val="both"/>
        <w:rPr>
          <w:rFonts w:cs="David"/>
          <w:sz w:val="24"/>
          <w:szCs w:val="24"/>
          <w:rtl/>
        </w:rPr>
      </w:pPr>
      <w:r w:rsidRPr="00DD735B">
        <w:rPr>
          <w:rFonts w:cs="David"/>
          <w:sz w:val="24"/>
          <w:szCs w:val="24"/>
          <w:rtl/>
        </w:rPr>
        <w:t>כחלק משורת צעדים לקידום התחרות בשוק האשראי בישראל, הרחבת הנגישות לא</w:t>
      </w:r>
      <w:r>
        <w:rPr>
          <w:rFonts w:cs="David"/>
          <w:sz w:val="24"/>
          <w:szCs w:val="24"/>
          <w:rtl/>
        </w:rPr>
        <w:t>שראי וצמצום האפליה במתן האשראי</w:t>
      </w:r>
      <w:r>
        <w:rPr>
          <w:rFonts w:cs="David" w:hint="cs"/>
          <w:sz w:val="24"/>
          <w:szCs w:val="24"/>
          <w:rtl/>
        </w:rPr>
        <w:t>, בנק ישראל הקים את</w:t>
      </w:r>
      <w:r w:rsidR="00DD735B" w:rsidRPr="00DD735B">
        <w:rPr>
          <w:rFonts w:cs="David"/>
          <w:sz w:val="24"/>
          <w:szCs w:val="24"/>
          <w:rtl/>
        </w:rPr>
        <w:t xml:space="preserve"> המערכת לשיתוף נתוני אשראי, שכוללת מידע פרטני על הלוואות למשקי הבית מכלל המלווים. מערכת זו הוקמה מתוקף חוק נתוני אשראי, תשע"ו-2016, </w:t>
      </w:r>
    </w:p>
    <w:p w:rsidR="00DD735B" w:rsidRPr="00DD735B" w:rsidRDefault="00DD735B" w:rsidP="000016BB">
      <w:pPr>
        <w:pStyle w:val="a3"/>
        <w:spacing w:line="360" w:lineRule="auto"/>
        <w:ind w:left="360"/>
        <w:jc w:val="both"/>
        <w:rPr>
          <w:rFonts w:cs="David"/>
          <w:sz w:val="24"/>
          <w:szCs w:val="24"/>
          <w:rtl/>
        </w:rPr>
      </w:pPr>
      <w:r w:rsidRPr="00DD735B">
        <w:rPr>
          <w:rFonts w:cs="David"/>
          <w:sz w:val="24"/>
          <w:szCs w:val="24"/>
          <w:rtl/>
        </w:rPr>
        <w:t>החטיבה למידע ולסטטיסטיקה בבנק ישראל, מנהלת</w:t>
      </w:r>
      <w:r w:rsidR="00D77455">
        <w:rPr>
          <w:rFonts w:cs="David" w:hint="cs"/>
          <w:sz w:val="24"/>
          <w:szCs w:val="24"/>
          <w:rtl/>
        </w:rPr>
        <w:t xml:space="preserve"> מאגר סטטיסטי שאינ</w:t>
      </w:r>
      <w:r w:rsidR="000016BB">
        <w:rPr>
          <w:rFonts w:cs="David" w:hint="cs"/>
          <w:sz w:val="24"/>
          <w:szCs w:val="24"/>
          <w:rtl/>
        </w:rPr>
        <w:t>נ</w:t>
      </w:r>
      <w:r w:rsidR="00D77455">
        <w:rPr>
          <w:rFonts w:cs="David" w:hint="cs"/>
          <w:sz w:val="24"/>
          <w:szCs w:val="24"/>
          <w:rtl/>
        </w:rPr>
        <w:t>ו מזוהה על בסיס</w:t>
      </w:r>
      <w:r w:rsidRPr="00DD735B">
        <w:rPr>
          <w:rFonts w:cs="David"/>
          <w:sz w:val="24"/>
          <w:szCs w:val="24"/>
          <w:rtl/>
        </w:rPr>
        <w:t xml:space="preserve"> </w:t>
      </w:r>
      <w:r w:rsidR="00D77455">
        <w:rPr>
          <w:rFonts w:cs="David" w:hint="cs"/>
          <w:sz w:val="24"/>
          <w:szCs w:val="24"/>
          <w:rtl/>
        </w:rPr>
        <w:t>המידע</w:t>
      </w:r>
      <w:r w:rsidRPr="00DD735B">
        <w:rPr>
          <w:rFonts w:cs="David"/>
          <w:sz w:val="24"/>
          <w:szCs w:val="24"/>
          <w:rtl/>
        </w:rPr>
        <w:t xml:space="preserve"> שנגזר מהמערכת</w:t>
      </w:r>
      <w:r w:rsidR="000016BB">
        <w:rPr>
          <w:rFonts w:cs="David" w:hint="cs"/>
          <w:sz w:val="24"/>
          <w:szCs w:val="24"/>
          <w:rtl/>
        </w:rPr>
        <w:t>,</w:t>
      </w:r>
      <w:r w:rsidR="000016BB" w:rsidRPr="000016BB">
        <w:rPr>
          <w:rFonts w:cs="David"/>
          <w:sz w:val="24"/>
          <w:szCs w:val="24"/>
          <w:rtl/>
        </w:rPr>
        <w:t xml:space="preserve"> </w:t>
      </w:r>
      <w:r w:rsidR="000016BB">
        <w:rPr>
          <w:rFonts w:cs="David" w:hint="cs"/>
          <w:sz w:val="24"/>
          <w:szCs w:val="24"/>
          <w:rtl/>
        </w:rPr>
        <w:t>ה</w:t>
      </w:r>
      <w:r w:rsidR="000016BB" w:rsidRPr="00DD735B">
        <w:rPr>
          <w:rFonts w:cs="David"/>
          <w:sz w:val="24"/>
          <w:szCs w:val="24"/>
          <w:rtl/>
        </w:rPr>
        <w:t xml:space="preserve">משמש </w:t>
      </w:r>
      <w:r w:rsidR="000016BB">
        <w:rPr>
          <w:rFonts w:cs="David" w:hint="cs"/>
          <w:sz w:val="24"/>
          <w:szCs w:val="24"/>
          <w:rtl/>
        </w:rPr>
        <w:t>את הבנק</w:t>
      </w:r>
      <w:r w:rsidR="000016BB" w:rsidRPr="00DD735B">
        <w:rPr>
          <w:rFonts w:cs="David"/>
          <w:sz w:val="24"/>
          <w:szCs w:val="24"/>
          <w:rtl/>
        </w:rPr>
        <w:t xml:space="preserve"> לשם ביצוע תפקידיו. </w:t>
      </w:r>
    </w:p>
    <w:p w:rsidR="00630DB3" w:rsidRDefault="00DD735B" w:rsidP="00D77455">
      <w:pPr>
        <w:pStyle w:val="a3"/>
        <w:spacing w:line="360" w:lineRule="auto"/>
        <w:ind w:left="360"/>
        <w:jc w:val="both"/>
        <w:rPr>
          <w:rFonts w:cs="David"/>
          <w:sz w:val="24"/>
          <w:szCs w:val="24"/>
          <w:rtl/>
        </w:rPr>
      </w:pPr>
      <w:r w:rsidRPr="00DD735B">
        <w:rPr>
          <w:rFonts w:cs="David"/>
          <w:sz w:val="24"/>
          <w:szCs w:val="24"/>
          <w:rtl/>
        </w:rPr>
        <w:t xml:space="preserve">עבודה זו מתארת את תכולת מאגר האשראי הסטטיסטי, מציגה את תהליך ההתממה של המידע ואת מגוון השימושים </w:t>
      </w:r>
      <w:r w:rsidR="00D77455">
        <w:rPr>
          <w:rFonts w:cs="David" w:hint="cs"/>
          <w:sz w:val="24"/>
          <w:szCs w:val="24"/>
          <w:rtl/>
        </w:rPr>
        <w:t>בו.</w:t>
      </w:r>
    </w:p>
    <w:p w:rsidR="000016BB" w:rsidRDefault="000016BB" w:rsidP="00DD735B">
      <w:pPr>
        <w:pStyle w:val="a3"/>
        <w:spacing w:line="360" w:lineRule="auto"/>
        <w:ind w:left="360"/>
        <w:jc w:val="both"/>
        <w:rPr>
          <w:rFonts w:cs="David"/>
          <w:sz w:val="24"/>
          <w:szCs w:val="24"/>
          <w:rtl/>
        </w:rPr>
      </w:pPr>
    </w:p>
    <w:p w:rsidR="00192B5B" w:rsidRDefault="00192B5B" w:rsidP="00DD735B">
      <w:pPr>
        <w:pStyle w:val="a3"/>
        <w:spacing w:line="360" w:lineRule="auto"/>
        <w:ind w:left="360"/>
        <w:jc w:val="both"/>
        <w:rPr>
          <w:rFonts w:cs="David"/>
          <w:sz w:val="24"/>
          <w:szCs w:val="24"/>
          <w:rtl/>
        </w:rPr>
      </w:pPr>
    </w:p>
    <w:p w:rsidR="00192B5B" w:rsidRDefault="00192B5B" w:rsidP="00DD735B">
      <w:pPr>
        <w:pStyle w:val="a3"/>
        <w:spacing w:line="360" w:lineRule="auto"/>
        <w:ind w:left="360"/>
        <w:jc w:val="both"/>
        <w:rPr>
          <w:rFonts w:cs="David"/>
          <w:sz w:val="24"/>
          <w:szCs w:val="24"/>
          <w:rtl/>
        </w:rPr>
      </w:pPr>
    </w:p>
    <w:p w:rsidR="00192B5B" w:rsidRPr="00630DB3" w:rsidRDefault="00192B5B" w:rsidP="00DD735B">
      <w:pPr>
        <w:pStyle w:val="a3"/>
        <w:spacing w:line="360" w:lineRule="auto"/>
        <w:ind w:left="360"/>
        <w:jc w:val="both"/>
        <w:rPr>
          <w:rFonts w:cs="David"/>
          <w:sz w:val="24"/>
          <w:szCs w:val="24"/>
          <w:rtl/>
        </w:rPr>
      </w:pPr>
    </w:p>
    <w:p w:rsidR="00630DB3" w:rsidRDefault="00DD735B" w:rsidP="00DD735B">
      <w:pPr>
        <w:pStyle w:val="a3"/>
        <w:numPr>
          <w:ilvl w:val="0"/>
          <w:numId w:val="13"/>
        </w:numPr>
        <w:spacing w:line="360" w:lineRule="auto"/>
        <w:jc w:val="both"/>
        <w:rPr>
          <w:rFonts w:cs="David"/>
          <w:sz w:val="24"/>
          <w:szCs w:val="24"/>
          <w:rtl/>
        </w:rPr>
      </w:pPr>
      <w:r>
        <w:rPr>
          <w:rFonts w:cs="David" w:hint="cs"/>
          <w:b/>
          <w:bCs/>
          <w:sz w:val="24"/>
          <w:szCs w:val="24"/>
          <w:rtl/>
        </w:rPr>
        <w:t>שימוש בשיטות סטטיסטיות לתחקור מאגר עסקות שוק מט"ח</w:t>
      </w:r>
    </w:p>
    <w:p w:rsidR="00D77455" w:rsidRDefault="00DD735B" w:rsidP="00D77455">
      <w:pPr>
        <w:spacing w:line="360" w:lineRule="auto"/>
        <w:jc w:val="both"/>
        <w:rPr>
          <w:rFonts w:cs="David"/>
          <w:sz w:val="24"/>
          <w:szCs w:val="24"/>
          <w:rtl/>
        </w:rPr>
      </w:pPr>
      <w:r w:rsidRPr="00DD735B">
        <w:rPr>
          <w:rFonts w:cs="David"/>
          <w:sz w:val="24"/>
          <w:szCs w:val="24"/>
          <w:rtl/>
        </w:rPr>
        <w:t>עבודה עם מאגר נתוני עתק (</w:t>
      </w:r>
      <w:r w:rsidRPr="00DD735B">
        <w:rPr>
          <w:rFonts w:cs="David"/>
          <w:sz w:val="24"/>
          <w:szCs w:val="24"/>
        </w:rPr>
        <w:t>Big Data</w:t>
      </w:r>
      <w:r w:rsidR="00D77455">
        <w:rPr>
          <w:rFonts w:cs="David"/>
          <w:sz w:val="24"/>
          <w:szCs w:val="24"/>
          <w:rtl/>
        </w:rPr>
        <w:t>) מצריכה</w:t>
      </w:r>
      <w:r w:rsidR="00D77455">
        <w:rPr>
          <w:rFonts w:cs="David" w:hint="cs"/>
          <w:sz w:val="24"/>
          <w:szCs w:val="24"/>
          <w:rtl/>
        </w:rPr>
        <w:t xml:space="preserve"> </w:t>
      </w:r>
      <w:r w:rsidRPr="00DD735B">
        <w:rPr>
          <w:rFonts w:cs="David"/>
          <w:sz w:val="24"/>
          <w:szCs w:val="24"/>
          <w:rtl/>
        </w:rPr>
        <w:t xml:space="preserve"> שימוש בכלים סטטיסטים מתקדמים לצורך בקרת איכות הנתונים והפקת תובנות מהמידע שמתקבל.</w:t>
      </w:r>
      <w:r>
        <w:rPr>
          <w:rFonts w:cs="David" w:hint="cs"/>
          <w:sz w:val="24"/>
          <w:szCs w:val="24"/>
          <w:rtl/>
        </w:rPr>
        <w:t xml:space="preserve"> </w:t>
      </w:r>
      <w:r w:rsidRPr="00DD735B">
        <w:rPr>
          <w:rFonts w:cs="David"/>
          <w:sz w:val="24"/>
          <w:szCs w:val="24"/>
          <w:rtl/>
        </w:rPr>
        <w:t>החטיבה למידע ולסטטיסטיקה בבנק ישראל מנהלת מאגר נתוני עתק על מכשירים פיננסים נגזרים בשוק המט"ח והריבית ("מפ"ן"), שמכיל מידע אודות עסקות בנגזרים אלה שמבוצעות בשוק ה-</w:t>
      </w:r>
      <w:r w:rsidRPr="00DD735B">
        <w:rPr>
          <w:rFonts w:cs="David"/>
          <w:sz w:val="24"/>
          <w:szCs w:val="24"/>
        </w:rPr>
        <w:t>OTC</w:t>
      </w:r>
      <w:r w:rsidRPr="00DD735B">
        <w:rPr>
          <w:rFonts w:cs="David"/>
          <w:sz w:val="24"/>
          <w:szCs w:val="24"/>
          <w:rtl/>
        </w:rPr>
        <w:t>. מאגר הנתונים משמש בעיקר לצורך הכרת השוק והפקת תוצרים תומכי החלטה לקובעי המדיניות בבנק ישראל.</w:t>
      </w:r>
      <w:r>
        <w:rPr>
          <w:rFonts w:cs="David" w:hint="cs"/>
          <w:sz w:val="24"/>
          <w:szCs w:val="24"/>
          <w:rtl/>
        </w:rPr>
        <w:t xml:space="preserve"> </w:t>
      </w:r>
      <w:r w:rsidRPr="00DD735B">
        <w:rPr>
          <w:rFonts w:cs="David"/>
          <w:sz w:val="24"/>
          <w:szCs w:val="24"/>
          <w:rtl/>
        </w:rPr>
        <w:t xml:space="preserve">בעבודה זו נסקרים חלק מהכלים ומהשיטות שמשמשים את החטיבה </w:t>
      </w:r>
      <w:r w:rsidR="00D77455">
        <w:rPr>
          <w:rFonts w:cs="David" w:hint="cs"/>
          <w:sz w:val="24"/>
          <w:szCs w:val="24"/>
          <w:rtl/>
        </w:rPr>
        <w:t>ל</w:t>
      </w:r>
      <w:r w:rsidRPr="00DD735B">
        <w:rPr>
          <w:rFonts w:cs="David"/>
          <w:sz w:val="24"/>
          <w:szCs w:val="24"/>
          <w:rtl/>
        </w:rPr>
        <w:t>הפקת תובנות מהמידע שקיים במאגר</w:t>
      </w:r>
      <w:r w:rsidR="00D77455">
        <w:rPr>
          <w:rFonts w:cs="David" w:hint="cs"/>
          <w:sz w:val="24"/>
          <w:szCs w:val="24"/>
          <w:rtl/>
        </w:rPr>
        <w:t>.</w:t>
      </w:r>
      <w:r w:rsidRPr="00DD735B">
        <w:rPr>
          <w:rFonts w:cs="David"/>
          <w:sz w:val="24"/>
          <w:szCs w:val="24"/>
          <w:rtl/>
        </w:rPr>
        <w:t xml:space="preserve"> </w:t>
      </w:r>
    </w:p>
    <w:p w:rsidR="00DD735B" w:rsidRPr="00343301" w:rsidRDefault="00DD735B" w:rsidP="00343301">
      <w:pPr>
        <w:pStyle w:val="a3"/>
        <w:numPr>
          <w:ilvl w:val="0"/>
          <w:numId w:val="13"/>
        </w:numPr>
        <w:spacing w:line="360" w:lineRule="auto"/>
        <w:jc w:val="both"/>
        <w:rPr>
          <w:rFonts w:cs="David"/>
          <w:sz w:val="24"/>
          <w:szCs w:val="24"/>
        </w:rPr>
      </w:pPr>
      <w:r w:rsidRPr="00343301">
        <w:rPr>
          <w:rFonts w:cs="David" w:hint="cs"/>
          <w:b/>
          <w:bCs/>
          <w:sz w:val="24"/>
          <w:szCs w:val="24"/>
          <w:rtl/>
        </w:rPr>
        <w:t>חיזוי שינויים במדד מחירי הפירות והירקות בעזרת נתוני מאגר המחירים הקמעונאים</w:t>
      </w:r>
    </w:p>
    <w:p w:rsidR="00DD735B" w:rsidRPr="00DD735B" w:rsidRDefault="00DD735B" w:rsidP="000016BB">
      <w:pPr>
        <w:spacing w:line="360" w:lineRule="auto"/>
        <w:jc w:val="both"/>
        <w:rPr>
          <w:rFonts w:cs="David"/>
          <w:sz w:val="24"/>
          <w:szCs w:val="24"/>
          <w:rtl/>
        </w:rPr>
      </w:pPr>
      <w:r w:rsidRPr="00DD735B">
        <w:rPr>
          <w:rFonts w:cs="David"/>
          <w:sz w:val="24"/>
          <w:szCs w:val="24"/>
          <w:rtl/>
        </w:rPr>
        <w:t>מדד המחירים לצרכן מתפרסם אחת לחודש על ידי הלשכה המרכזית לסטטיסטיקה ובפיגור של 15 יום מתום החודש הנמדד</w:t>
      </w:r>
      <w:r w:rsidR="00D77455">
        <w:rPr>
          <w:rFonts w:cs="David"/>
          <w:sz w:val="24"/>
          <w:szCs w:val="24"/>
          <w:rtl/>
        </w:rPr>
        <w:t>. בתום כל חודש מופקת בבנק ישראל</w:t>
      </w:r>
      <w:r w:rsidR="00D77455">
        <w:rPr>
          <w:rFonts w:cs="David" w:hint="cs"/>
          <w:sz w:val="24"/>
          <w:szCs w:val="24"/>
          <w:rtl/>
        </w:rPr>
        <w:t xml:space="preserve">, סמוך לתום החודש, </w:t>
      </w:r>
      <w:r w:rsidRPr="00DD735B">
        <w:rPr>
          <w:rFonts w:cs="David"/>
          <w:sz w:val="24"/>
          <w:szCs w:val="24"/>
          <w:rtl/>
        </w:rPr>
        <w:t xml:space="preserve">תחזית למדד המחירים לצרכן שמטרתה לאפשר ניתוח </w:t>
      </w:r>
      <w:r w:rsidR="00D77455">
        <w:rPr>
          <w:rFonts w:cs="David" w:hint="cs"/>
          <w:sz w:val="24"/>
          <w:szCs w:val="24"/>
          <w:rtl/>
        </w:rPr>
        <w:t xml:space="preserve">מהיר יותר </w:t>
      </w:r>
      <w:r w:rsidRPr="00DD735B">
        <w:rPr>
          <w:rFonts w:cs="David"/>
          <w:sz w:val="24"/>
          <w:szCs w:val="24"/>
          <w:rtl/>
        </w:rPr>
        <w:t xml:space="preserve">של המידע. בשנים האחרונות החל בנק ישראל באיסוף נתונים של מחירי המוצרים שנמכרים בסניפים של קמעונאי המזון הגדולים </w:t>
      </w:r>
      <w:r w:rsidR="007A60E0">
        <w:rPr>
          <w:rFonts w:cs="David"/>
          <w:sz w:val="24"/>
          <w:szCs w:val="24"/>
          <w:rtl/>
        </w:rPr>
        <w:t>בארץ</w:t>
      </w:r>
      <w:r w:rsidR="000016BB">
        <w:rPr>
          <w:rFonts w:cs="David" w:hint="cs"/>
          <w:sz w:val="24"/>
          <w:szCs w:val="24"/>
          <w:rtl/>
        </w:rPr>
        <w:t xml:space="preserve"> לצורך אמידת תרומתם לשינוי במדד המחירים</w:t>
      </w:r>
      <w:r w:rsidR="007A60E0">
        <w:rPr>
          <w:rFonts w:cs="David"/>
          <w:sz w:val="24"/>
          <w:szCs w:val="24"/>
          <w:rtl/>
        </w:rPr>
        <w:t xml:space="preserve">. </w:t>
      </w:r>
      <w:r w:rsidRPr="00DD735B">
        <w:rPr>
          <w:rFonts w:cs="David"/>
          <w:sz w:val="24"/>
          <w:szCs w:val="24"/>
          <w:rtl/>
        </w:rPr>
        <w:t xml:space="preserve">בעבודה זו מוצגת תחזית לסעיף הפירות והירקות במדד המחירים לצרכן, שמבוססת על המחירים שנקלטים ב"מאגר הנתונים הקמעונים". פרויקט זה, שעושה שימוש בנתוני עתק (ביג דאטה) לשיפור </w:t>
      </w:r>
      <w:r w:rsidR="000016BB">
        <w:rPr>
          <w:rFonts w:cs="David" w:hint="cs"/>
          <w:sz w:val="24"/>
          <w:szCs w:val="24"/>
          <w:rtl/>
        </w:rPr>
        <w:t>תחזיות הבנק</w:t>
      </w:r>
      <w:r w:rsidRPr="00DD735B">
        <w:rPr>
          <w:rFonts w:cs="David"/>
          <w:sz w:val="24"/>
          <w:szCs w:val="24"/>
          <w:rtl/>
        </w:rPr>
        <w:t xml:space="preserve">, הוא הראשון מסוגו בבנק ומהווה </w:t>
      </w:r>
      <w:r w:rsidR="000016BB">
        <w:rPr>
          <w:rFonts w:cs="David" w:hint="cs"/>
          <w:sz w:val="24"/>
          <w:szCs w:val="24"/>
          <w:rtl/>
        </w:rPr>
        <w:t>פיילוט</w:t>
      </w:r>
      <w:r w:rsidRPr="00DD735B">
        <w:rPr>
          <w:rFonts w:cs="David"/>
          <w:sz w:val="24"/>
          <w:szCs w:val="24"/>
          <w:rtl/>
        </w:rPr>
        <w:t xml:space="preserve"> לשימוש נרחב יותר בנתוני עתק לצרכי מדיניות.</w:t>
      </w:r>
    </w:p>
    <w:p w:rsidR="00DD735B" w:rsidRDefault="00DD735B" w:rsidP="00DD735B">
      <w:pPr>
        <w:spacing w:line="360" w:lineRule="auto"/>
        <w:jc w:val="both"/>
        <w:rPr>
          <w:rFonts w:cs="David"/>
          <w:sz w:val="24"/>
          <w:szCs w:val="24"/>
          <w:rtl/>
        </w:rPr>
      </w:pPr>
    </w:p>
    <w:p w:rsidR="00DD735B" w:rsidRDefault="00DD735B" w:rsidP="00DD735B">
      <w:pPr>
        <w:spacing w:line="360" w:lineRule="auto"/>
        <w:jc w:val="both"/>
        <w:rPr>
          <w:rFonts w:cs="David"/>
          <w:sz w:val="24"/>
          <w:szCs w:val="24"/>
          <w:rtl/>
        </w:rPr>
      </w:pPr>
    </w:p>
    <w:p w:rsidR="00DD735B" w:rsidRDefault="00DD735B" w:rsidP="00DD735B">
      <w:pPr>
        <w:spacing w:line="360" w:lineRule="auto"/>
        <w:jc w:val="both"/>
        <w:rPr>
          <w:rFonts w:cs="David"/>
          <w:sz w:val="24"/>
          <w:szCs w:val="24"/>
          <w:rtl/>
        </w:rPr>
      </w:pPr>
    </w:p>
    <w:p w:rsidR="00E864DF" w:rsidRPr="00306545" w:rsidRDefault="00CC3C00" w:rsidP="00DD735B">
      <w:pPr>
        <w:spacing w:line="360" w:lineRule="auto"/>
        <w:jc w:val="both"/>
        <w:rPr>
          <w:rFonts w:cs="David"/>
          <w:sz w:val="24"/>
          <w:szCs w:val="24"/>
          <w:rtl/>
        </w:rPr>
      </w:pPr>
      <w:r w:rsidRPr="006E4A40">
        <w:rPr>
          <w:rFonts w:cs="David" w:hint="cs"/>
          <w:sz w:val="24"/>
          <w:szCs w:val="24"/>
          <w:rtl/>
        </w:rPr>
        <w:t xml:space="preserve">ניתן לגשת לפרסום המלא באמצעות </w:t>
      </w:r>
      <w:hyperlink r:id="rId14" w:history="1">
        <w:r w:rsidRPr="008775A5">
          <w:rPr>
            <w:rStyle w:val="Hyperlink"/>
            <w:rFonts w:cs="David" w:hint="cs"/>
            <w:sz w:val="24"/>
            <w:szCs w:val="24"/>
            <w:rtl/>
          </w:rPr>
          <w:t>אתר האינטרנט של בנק ישראל</w:t>
        </w:r>
      </w:hyperlink>
      <w:r w:rsidRPr="006E4A40">
        <w:rPr>
          <w:rFonts w:cs="David" w:hint="cs"/>
          <w:sz w:val="24"/>
          <w:szCs w:val="24"/>
          <w:rtl/>
        </w:rPr>
        <w:t xml:space="preserve">, שם צורפו </w:t>
      </w:r>
      <w:r w:rsidRPr="006E4A40">
        <w:rPr>
          <w:rFonts w:cs="David"/>
          <w:sz w:val="24"/>
          <w:szCs w:val="24"/>
          <w:rtl/>
        </w:rPr>
        <w:t>–</w:t>
      </w:r>
      <w:r w:rsidRPr="006E4A40">
        <w:rPr>
          <w:rFonts w:cs="David" w:hint="cs"/>
          <w:sz w:val="24"/>
          <w:szCs w:val="24"/>
          <w:rtl/>
        </w:rPr>
        <w:t xml:space="preserve"> לנוחות המשתמשים </w:t>
      </w:r>
      <w:r w:rsidRPr="006E4A40">
        <w:rPr>
          <w:rFonts w:cs="David"/>
          <w:sz w:val="24"/>
          <w:szCs w:val="24"/>
          <w:rtl/>
        </w:rPr>
        <w:t>–</w:t>
      </w:r>
      <w:r w:rsidRPr="006E4A40">
        <w:rPr>
          <w:rFonts w:cs="David" w:hint="cs"/>
          <w:sz w:val="24"/>
          <w:szCs w:val="24"/>
          <w:rtl/>
        </w:rPr>
        <w:t xml:space="preserve"> הנתונים העיקריים בכל נושא, בקבצים נפרדים, וכן שולבו הפניות לנתונים באתר הבנק, המתעדכנים באופן שוטף.</w:t>
      </w:r>
      <w:r w:rsidR="000E132E">
        <w:rPr>
          <w:rFonts w:cs="David" w:hint="cs"/>
          <w:sz w:val="24"/>
          <w:szCs w:val="24"/>
          <w:rtl/>
        </w:rPr>
        <w:t xml:space="preserve"> </w:t>
      </w:r>
    </w:p>
    <w:sectPr w:rsidR="00E864DF" w:rsidRPr="00306545" w:rsidSect="00F9496C">
      <w:footerReference w:type="default" r:id="rId15"/>
      <w:pgSz w:w="11906" w:h="16838"/>
      <w:pgMar w:top="1134" w:right="1797" w:bottom="1134" w:left="1797"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963" w:rsidRDefault="00B01963" w:rsidP="006E4A40">
      <w:pPr>
        <w:spacing w:after="0" w:line="240" w:lineRule="auto"/>
      </w:pPr>
      <w:r>
        <w:separator/>
      </w:r>
    </w:p>
  </w:endnote>
  <w:endnote w:type="continuationSeparator" w:id="0">
    <w:p w:rsidR="00B01963" w:rsidRDefault="00B01963" w:rsidP="006E4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15501717"/>
      <w:docPartObj>
        <w:docPartGallery w:val="Page Numbers (Bottom of Page)"/>
        <w:docPartUnique/>
      </w:docPartObj>
    </w:sdtPr>
    <w:sdtEndPr/>
    <w:sdtContent>
      <w:sdt>
        <w:sdtPr>
          <w:rPr>
            <w:rFonts w:cs="David"/>
            <w:sz w:val="18"/>
            <w:szCs w:val="18"/>
            <w:rtl/>
          </w:rPr>
          <w:id w:val="-1817257504"/>
          <w:docPartObj>
            <w:docPartGallery w:val="Page Numbers (Bottom of Page)"/>
            <w:docPartUnique/>
          </w:docPartObj>
        </w:sdtPr>
        <w:sdtEndPr>
          <w:rPr>
            <w:cs/>
          </w:rPr>
        </w:sdtEndPr>
        <w:sdtContent>
          <w:sdt>
            <w:sdtPr>
              <w:rPr>
                <w:rFonts w:cs="David"/>
                <w:sz w:val="18"/>
                <w:szCs w:val="18"/>
                <w:rtl/>
              </w:rPr>
              <w:id w:val="860082579"/>
              <w:docPartObj>
                <w:docPartGallery w:val="Page Numbers (Top of Page)"/>
                <w:docPartUnique/>
              </w:docPartObj>
            </w:sdtPr>
            <w:sdtEndPr/>
            <w:sdtContent>
              <w:p w:rsidR="006E4A40" w:rsidRPr="006E4A40" w:rsidRDefault="006E4A40" w:rsidP="007A60E0">
                <w:pPr>
                  <w:ind w:right="-1276"/>
                  <w:rPr>
                    <w:rFonts w:cs="David"/>
                    <w:sz w:val="18"/>
                    <w:szCs w:val="18"/>
                  </w:rPr>
                </w:pPr>
                <w:r>
                  <w:rPr>
                    <w:rFonts w:cs="David" w:hint="cs"/>
                    <w:sz w:val="18"/>
                    <w:szCs w:val="18"/>
                    <w:rtl/>
                    <w:lang w:val="he-IL"/>
                  </w:rPr>
                  <w:t>בנק ישראל</w:t>
                </w:r>
                <w:r>
                  <w:rPr>
                    <w:rFonts w:cs="David" w:hint="cs"/>
                    <w:sz w:val="18"/>
                    <w:szCs w:val="18"/>
                    <w:rtl/>
                    <w:lang w:val="he-IL"/>
                  </w:rPr>
                  <w:tab/>
                  <w:t xml:space="preserve"> -  'מבט סטטיסטי</w:t>
                </w:r>
                <w:r w:rsidRPr="006E4A40">
                  <w:rPr>
                    <w:rFonts w:cs="David" w:hint="cs"/>
                    <w:sz w:val="18"/>
                    <w:szCs w:val="18"/>
                    <w:rtl/>
                    <w:lang w:val="he-IL"/>
                  </w:rPr>
                  <w:t>'</w:t>
                </w:r>
                <w:r>
                  <w:rPr>
                    <w:rFonts w:cs="David" w:hint="cs"/>
                    <w:sz w:val="18"/>
                    <w:szCs w:val="18"/>
                    <w:rtl/>
                    <w:lang w:val="he-IL"/>
                  </w:rPr>
                  <w:t xml:space="preserve"> - </w:t>
                </w:r>
                <w:r w:rsidRPr="006E4A40">
                  <w:rPr>
                    <w:rFonts w:cs="David" w:hint="cs"/>
                    <w:sz w:val="18"/>
                    <w:szCs w:val="18"/>
                    <w:rtl/>
                    <w:lang w:val="he-IL"/>
                  </w:rPr>
                  <w:t xml:space="preserve">הנתונים והמצרפים הפיננסיים המרכזיים במשק לשנת </w:t>
                </w:r>
                <w:r w:rsidR="007A60E0">
                  <w:rPr>
                    <w:rFonts w:cs="David" w:hint="cs"/>
                    <w:sz w:val="18"/>
                    <w:szCs w:val="18"/>
                    <w:rtl/>
                    <w:lang w:val="he-IL"/>
                  </w:rPr>
                  <w:t>2020</w:t>
                </w:r>
                <w:r>
                  <w:rPr>
                    <w:rFonts w:cs="David" w:hint="cs"/>
                    <w:sz w:val="18"/>
                    <w:szCs w:val="18"/>
                    <w:rtl/>
                    <w:lang w:val="he-IL"/>
                  </w:rPr>
                  <w:tab/>
                  <w:t xml:space="preserve">                    </w:t>
                </w:r>
                <w:r w:rsidRPr="00301815">
                  <w:rPr>
                    <w:rFonts w:cs="David"/>
                    <w:sz w:val="18"/>
                    <w:szCs w:val="18"/>
                    <w:rtl/>
                    <w:cs/>
                    <w:lang w:val="he-IL"/>
                  </w:rPr>
                  <w:t xml:space="preserve">עמוד </w:t>
                </w:r>
                <w:r w:rsidRPr="00301815">
                  <w:rPr>
                    <w:rFonts w:cs="David"/>
                    <w:b/>
                    <w:bCs/>
                    <w:sz w:val="18"/>
                    <w:szCs w:val="18"/>
                  </w:rPr>
                  <w:fldChar w:fldCharType="begin"/>
                </w:r>
                <w:r w:rsidRPr="00301815">
                  <w:rPr>
                    <w:rFonts w:cs="David"/>
                    <w:b/>
                    <w:bCs/>
                    <w:sz w:val="18"/>
                    <w:szCs w:val="18"/>
                    <w:rtl/>
                    <w:cs/>
                  </w:rPr>
                  <w:instrText>PAGE</w:instrText>
                </w:r>
                <w:r w:rsidRPr="00301815">
                  <w:rPr>
                    <w:rFonts w:cs="David"/>
                    <w:b/>
                    <w:bCs/>
                    <w:sz w:val="18"/>
                    <w:szCs w:val="18"/>
                  </w:rPr>
                  <w:fldChar w:fldCharType="separate"/>
                </w:r>
                <w:r w:rsidR="00AA42F2">
                  <w:rPr>
                    <w:rFonts w:cs="David"/>
                    <w:b/>
                    <w:bCs/>
                    <w:noProof/>
                    <w:sz w:val="18"/>
                    <w:szCs w:val="18"/>
                    <w:rtl/>
                  </w:rPr>
                  <w:t>4</w:t>
                </w:r>
                <w:r w:rsidRPr="00301815">
                  <w:rPr>
                    <w:rFonts w:cs="David"/>
                    <w:b/>
                    <w:bCs/>
                    <w:sz w:val="18"/>
                    <w:szCs w:val="18"/>
                  </w:rPr>
                  <w:fldChar w:fldCharType="end"/>
                </w:r>
                <w:r w:rsidRPr="00301815">
                  <w:rPr>
                    <w:rFonts w:cs="David"/>
                    <w:sz w:val="18"/>
                    <w:szCs w:val="18"/>
                    <w:rtl/>
                    <w:cs/>
                    <w:lang w:val="he-IL"/>
                  </w:rPr>
                  <w:t xml:space="preserve"> מתוך </w:t>
                </w:r>
                <w:r w:rsidRPr="00301815">
                  <w:rPr>
                    <w:rFonts w:cs="David"/>
                    <w:b/>
                    <w:bCs/>
                    <w:sz w:val="18"/>
                    <w:szCs w:val="18"/>
                  </w:rPr>
                  <w:fldChar w:fldCharType="begin"/>
                </w:r>
                <w:r w:rsidRPr="00301815">
                  <w:rPr>
                    <w:rFonts w:cs="David"/>
                    <w:b/>
                    <w:bCs/>
                    <w:sz w:val="18"/>
                    <w:szCs w:val="18"/>
                    <w:rtl/>
                    <w:cs/>
                  </w:rPr>
                  <w:instrText>NUMPAGES</w:instrText>
                </w:r>
                <w:r w:rsidRPr="00301815">
                  <w:rPr>
                    <w:rFonts w:cs="David"/>
                    <w:b/>
                    <w:bCs/>
                    <w:sz w:val="18"/>
                    <w:szCs w:val="18"/>
                  </w:rPr>
                  <w:fldChar w:fldCharType="separate"/>
                </w:r>
                <w:r w:rsidR="00AA42F2">
                  <w:rPr>
                    <w:rFonts w:cs="David"/>
                    <w:b/>
                    <w:bCs/>
                    <w:noProof/>
                    <w:sz w:val="18"/>
                    <w:szCs w:val="18"/>
                    <w:rtl/>
                  </w:rPr>
                  <w:t>4</w:t>
                </w:r>
                <w:r w:rsidRPr="00301815">
                  <w:rPr>
                    <w:rFonts w:cs="David"/>
                    <w:b/>
                    <w:bCs/>
                    <w:sz w:val="18"/>
                    <w:szCs w:val="18"/>
                  </w:rPr>
                  <w:fldChar w:fldCharType="end"/>
                </w:r>
              </w:p>
            </w:sdtContent>
          </w:sdt>
        </w:sdtContent>
      </w:sdt>
    </w:sdtContent>
  </w:sdt>
  <w:p w:rsidR="006E4A40" w:rsidRDefault="006E4A40" w:rsidP="006E4A40">
    <w:pPr>
      <w:pStyle w:val="a8"/>
      <w:rPr>
        <w:rtl/>
        <w:cs/>
      </w:rPr>
    </w:pPr>
  </w:p>
  <w:p w:rsidR="006E4A40" w:rsidRDefault="006E4A4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963" w:rsidRDefault="00B01963" w:rsidP="006E4A40">
      <w:pPr>
        <w:spacing w:after="0" w:line="240" w:lineRule="auto"/>
      </w:pPr>
      <w:r>
        <w:separator/>
      </w:r>
    </w:p>
  </w:footnote>
  <w:footnote w:type="continuationSeparator" w:id="0">
    <w:p w:rsidR="00B01963" w:rsidRDefault="00B01963" w:rsidP="006E4A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578A"/>
    <w:multiLevelType w:val="hybridMultilevel"/>
    <w:tmpl w:val="40626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07246"/>
    <w:multiLevelType w:val="hybridMultilevel"/>
    <w:tmpl w:val="58F28D90"/>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2" w15:restartNumberingAfterBreak="0">
    <w:nsid w:val="114829D4"/>
    <w:multiLevelType w:val="hybridMultilevel"/>
    <w:tmpl w:val="BA08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C4D9C"/>
    <w:multiLevelType w:val="hybridMultilevel"/>
    <w:tmpl w:val="0E5C4EFA"/>
    <w:lvl w:ilvl="0" w:tplc="90A808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47F09"/>
    <w:multiLevelType w:val="hybridMultilevel"/>
    <w:tmpl w:val="A48C42DA"/>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5" w15:restartNumberingAfterBreak="0">
    <w:nsid w:val="19381D0A"/>
    <w:multiLevelType w:val="hybridMultilevel"/>
    <w:tmpl w:val="72301658"/>
    <w:lvl w:ilvl="0" w:tplc="4E0EF99C">
      <w:start w:val="1"/>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AE30F2"/>
    <w:multiLevelType w:val="hybridMultilevel"/>
    <w:tmpl w:val="23CC8B7E"/>
    <w:lvl w:ilvl="0" w:tplc="F8C09228">
      <w:start w:val="1"/>
      <w:numFmt w:val="hebrew1"/>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B23F6C"/>
    <w:multiLevelType w:val="hybridMultilevel"/>
    <w:tmpl w:val="25FED19C"/>
    <w:lvl w:ilvl="0" w:tplc="DFBE00E2">
      <w:start w:val="1"/>
      <w:numFmt w:val="hebrew1"/>
      <w:lvlText w:val="%1."/>
      <w:lvlJc w:val="left"/>
      <w:pPr>
        <w:ind w:left="360" w:hanging="360"/>
      </w:pPr>
      <w:rPr>
        <w:rFonts w:asciiTheme="minorHAnsi" w:eastAsiaTheme="minorHAnsi" w:hAnsiTheme="minorHAnsi" w:cs="Davi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74199C"/>
    <w:multiLevelType w:val="hybridMultilevel"/>
    <w:tmpl w:val="5C884684"/>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9" w15:restartNumberingAfterBreak="0">
    <w:nsid w:val="2E86009E"/>
    <w:multiLevelType w:val="hybridMultilevel"/>
    <w:tmpl w:val="CA70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A1485"/>
    <w:multiLevelType w:val="hybridMultilevel"/>
    <w:tmpl w:val="2E08474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3959EB"/>
    <w:multiLevelType w:val="hybridMultilevel"/>
    <w:tmpl w:val="CECA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808D5"/>
    <w:multiLevelType w:val="hybridMultilevel"/>
    <w:tmpl w:val="1A00F7DE"/>
    <w:lvl w:ilvl="0" w:tplc="4E0EF99C">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2D4082"/>
    <w:multiLevelType w:val="hybridMultilevel"/>
    <w:tmpl w:val="448C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A57B8E"/>
    <w:multiLevelType w:val="hybridMultilevel"/>
    <w:tmpl w:val="23CC8B7E"/>
    <w:lvl w:ilvl="0" w:tplc="F8C09228">
      <w:start w:val="1"/>
      <w:numFmt w:val="hebrew1"/>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955409"/>
    <w:multiLevelType w:val="hybridMultilevel"/>
    <w:tmpl w:val="3916566E"/>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16" w15:restartNumberingAfterBreak="0">
    <w:nsid w:val="77874419"/>
    <w:multiLevelType w:val="hybridMultilevel"/>
    <w:tmpl w:val="094E49DA"/>
    <w:lvl w:ilvl="0" w:tplc="4E0EF99C">
      <w:start w:val="1"/>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6"/>
  </w:num>
  <w:num w:numId="4">
    <w:abstractNumId w:val="13"/>
  </w:num>
  <w:num w:numId="5">
    <w:abstractNumId w:val="12"/>
  </w:num>
  <w:num w:numId="6">
    <w:abstractNumId w:val="5"/>
  </w:num>
  <w:num w:numId="7">
    <w:abstractNumId w:val="1"/>
  </w:num>
  <w:num w:numId="8">
    <w:abstractNumId w:val="9"/>
  </w:num>
  <w:num w:numId="9">
    <w:abstractNumId w:val="8"/>
  </w:num>
  <w:num w:numId="10">
    <w:abstractNumId w:val="4"/>
  </w:num>
  <w:num w:numId="11">
    <w:abstractNumId w:val="3"/>
  </w:num>
  <w:num w:numId="12">
    <w:abstractNumId w:val="15"/>
  </w:num>
  <w:num w:numId="13">
    <w:abstractNumId w:val="14"/>
  </w:num>
  <w:num w:numId="14">
    <w:abstractNumId w:val="0"/>
  </w:num>
  <w:num w:numId="15">
    <w:abstractNumId w:val="11"/>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F43"/>
    <w:rsid w:val="000016BB"/>
    <w:rsid w:val="00011EC8"/>
    <w:rsid w:val="00033B59"/>
    <w:rsid w:val="0003662F"/>
    <w:rsid w:val="000657A8"/>
    <w:rsid w:val="00071097"/>
    <w:rsid w:val="00077DA2"/>
    <w:rsid w:val="00094114"/>
    <w:rsid w:val="0009720D"/>
    <w:rsid w:val="000973EF"/>
    <w:rsid w:val="000A3948"/>
    <w:rsid w:val="000B2E2C"/>
    <w:rsid w:val="000B3125"/>
    <w:rsid w:val="000E132E"/>
    <w:rsid w:val="000E5356"/>
    <w:rsid w:val="000F159A"/>
    <w:rsid w:val="0010369E"/>
    <w:rsid w:val="00114562"/>
    <w:rsid w:val="00142177"/>
    <w:rsid w:val="0015142D"/>
    <w:rsid w:val="00192B5B"/>
    <w:rsid w:val="001A1017"/>
    <w:rsid w:val="001A392B"/>
    <w:rsid w:val="001B0709"/>
    <w:rsid w:val="001B64B5"/>
    <w:rsid w:val="001C14F1"/>
    <w:rsid w:val="001D70FE"/>
    <w:rsid w:val="001E12EC"/>
    <w:rsid w:val="001F384B"/>
    <w:rsid w:val="001F396A"/>
    <w:rsid w:val="00215BBE"/>
    <w:rsid w:val="00264F77"/>
    <w:rsid w:val="00265734"/>
    <w:rsid w:val="00272D51"/>
    <w:rsid w:val="002802BC"/>
    <w:rsid w:val="002A1BC9"/>
    <w:rsid w:val="002B1D5A"/>
    <w:rsid w:val="002B6A84"/>
    <w:rsid w:val="002C6B31"/>
    <w:rsid w:val="002D2EE7"/>
    <w:rsid w:val="00306545"/>
    <w:rsid w:val="00316DB3"/>
    <w:rsid w:val="00320549"/>
    <w:rsid w:val="00341EC2"/>
    <w:rsid w:val="00343301"/>
    <w:rsid w:val="003451B1"/>
    <w:rsid w:val="003A1466"/>
    <w:rsid w:val="003E45CC"/>
    <w:rsid w:val="00435E46"/>
    <w:rsid w:val="00450898"/>
    <w:rsid w:val="00477FBB"/>
    <w:rsid w:val="00480E5F"/>
    <w:rsid w:val="004B0D0C"/>
    <w:rsid w:val="004D694C"/>
    <w:rsid w:val="004E30FA"/>
    <w:rsid w:val="005175CE"/>
    <w:rsid w:val="00517D1F"/>
    <w:rsid w:val="0053375E"/>
    <w:rsid w:val="00547BEE"/>
    <w:rsid w:val="00551E33"/>
    <w:rsid w:val="005801F4"/>
    <w:rsid w:val="005A317B"/>
    <w:rsid w:val="005A31C6"/>
    <w:rsid w:val="005C3BD4"/>
    <w:rsid w:val="005D6EE3"/>
    <w:rsid w:val="005E416D"/>
    <w:rsid w:val="006005D8"/>
    <w:rsid w:val="00603043"/>
    <w:rsid w:val="00614AF5"/>
    <w:rsid w:val="00630DB3"/>
    <w:rsid w:val="00653851"/>
    <w:rsid w:val="00653BAE"/>
    <w:rsid w:val="00682A6E"/>
    <w:rsid w:val="00685430"/>
    <w:rsid w:val="00695FF6"/>
    <w:rsid w:val="006972AC"/>
    <w:rsid w:val="006A0382"/>
    <w:rsid w:val="006A293A"/>
    <w:rsid w:val="006B32C4"/>
    <w:rsid w:val="006B36AB"/>
    <w:rsid w:val="006D1620"/>
    <w:rsid w:val="006E0481"/>
    <w:rsid w:val="006E4A40"/>
    <w:rsid w:val="00716312"/>
    <w:rsid w:val="007208C0"/>
    <w:rsid w:val="007819A4"/>
    <w:rsid w:val="007A11FA"/>
    <w:rsid w:val="007A60E0"/>
    <w:rsid w:val="007B1AD6"/>
    <w:rsid w:val="007B36D2"/>
    <w:rsid w:val="007B373F"/>
    <w:rsid w:val="007D5DF9"/>
    <w:rsid w:val="00815292"/>
    <w:rsid w:val="00835150"/>
    <w:rsid w:val="008448AD"/>
    <w:rsid w:val="008775A5"/>
    <w:rsid w:val="0088602E"/>
    <w:rsid w:val="008C27BD"/>
    <w:rsid w:val="008D7EF6"/>
    <w:rsid w:val="008E0F81"/>
    <w:rsid w:val="008E2AAA"/>
    <w:rsid w:val="008E7241"/>
    <w:rsid w:val="008F4267"/>
    <w:rsid w:val="009316EE"/>
    <w:rsid w:val="0093532C"/>
    <w:rsid w:val="00952B15"/>
    <w:rsid w:val="00962019"/>
    <w:rsid w:val="00964D0D"/>
    <w:rsid w:val="00985093"/>
    <w:rsid w:val="0098781E"/>
    <w:rsid w:val="009879AC"/>
    <w:rsid w:val="009B1E43"/>
    <w:rsid w:val="009E03A9"/>
    <w:rsid w:val="009F1B56"/>
    <w:rsid w:val="009F63EB"/>
    <w:rsid w:val="00A12B0A"/>
    <w:rsid w:val="00A15F73"/>
    <w:rsid w:val="00A23475"/>
    <w:rsid w:val="00A242D6"/>
    <w:rsid w:val="00A248F6"/>
    <w:rsid w:val="00A62DEB"/>
    <w:rsid w:val="00AA42F2"/>
    <w:rsid w:val="00AA72FA"/>
    <w:rsid w:val="00AB575A"/>
    <w:rsid w:val="00AB75BA"/>
    <w:rsid w:val="00AC2448"/>
    <w:rsid w:val="00B01963"/>
    <w:rsid w:val="00B10151"/>
    <w:rsid w:val="00B15636"/>
    <w:rsid w:val="00B15D4C"/>
    <w:rsid w:val="00B172B4"/>
    <w:rsid w:val="00B3157C"/>
    <w:rsid w:val="00B43ACC"/>
    <w:rsid w:val="00B67F14"/>
    <w:rsid w:val="00B75EE7"/>
    <w:rsid w:val="00B93C3E"/>
    <w:rsid w:val="00BA3848"/>
    <w:rsid w:val="00BB3636"/>
    <w:rsid w:val="00BB7CA3"/>
    <w:rsid w:val="00BB7F6C"/>
    <w:rsid w:val="00BE22E1"/>
    <w:rsid w:val="00C00E94"/>
    <w:rsid w:val="00C07CFC"/>
    <w:rsid w:val="00C129D0"/>
    <w:rsid w:val="00C20025"/>
    <w:rsid w:val="00C3025C"/>
    <w:rsid w:val="00C51A6A"/>
    <w:rsid w:val="00C673FA"/>
    <w:rsid w:val="00C74F6D"/>
    <w:rsid w:val="00C848D3"/>
    <w:rsid w:val="00C871E2"/>
    <w:rsid w:val="00CA2BC0"/>
    <w:rsid w:val="00CC3C00"/>
    <w:rsid w:val="00CC6614"/>
    <w:rsid w:val="00CE0FF0"/>
    <w:rsid w:val="00CF68A8"/>
    <w:rsid w:val="00D16DB2"/>
    <w:rsid w:val="00D34C9D"/>
    <w:rsid w:val="00D72C1D"/>
    <w:rsid w:val="00D77455"/>
    <w:rsid w:val="00DB4882"/>
    <w:rsid w:val="00DB5734"/>
    <w:rsid w:val="00DC5066"/>
    <w:rsid w:val="00DD735B"/>
    <w:rsid w:val="00DF50B7"/>
    <w:rsid w:val="00E134F1"/>
    <w:rsid w:val="00E144C3"/>
    <w:rsid w:val="00E24DBC"/>
    <w:rsid w:val="00E4510C"/>
    <w:rsid w:val="00E823B2"/>
    <w:rsid w:val="00E92AF6"/>
    <w:rsid w:val="00EA51C4"/>
    <w:rsid w:val="00EA791D"/>
    <w:rsid w:val="00EB3718"/>
    <w:rsid w:val="00EC5B3C"/>
    <w:rsid w:val="00F01701"/>
    <w:rsid w:val="00F11718"/>
    <w:rsid w:val="00F1492F"/>
    <w:rsid w:val="00F2062E"/>
    <w:rsid w:val="00F34384"/>
    <w:rsid w:val="00F35C66"/>
    <w:rsid w:val="00F424B6"/>
    <w:rsid w:val="00F62F43"/>
    <w:rsid w:val="00F9496C"/>
    <w:rsid w:val="00F95291"/>
    <w:rsid w:val="00FA3F80"/>
    <w:rsid w:val="00FB1D63"/>
    <w:rsid w:val="00FB305E"/>
    <w:rsid w:val="00FC325B"/>
    <w:rsid w:val="00FF0950"/>
    <w:rsid w:val="00FF36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80532B"/>
  <w15:docId w15:val="{8EE5D64B-5536-46C6-BA84-C46A65A3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F4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6EE"/>
    <w:pPr>
      <w:ind w:left="720"/>
      <w:contextualSpacing/>
    </w:pPr>
  </w:style>
  <w:style w:type="paragraph" w:styleId="a4">
    <w:name w:val="Balloon Text"/>
    <w:basedOn w:val="a"/>
    <w:link w:val="a5"/>
    <w:uiPriority w:val="99"/>
    <w:semiHidden/>
    <w:unhideWhenUsed/>
    <w:rsid w:val="006E4A40"/>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6E4A40"/>
    <w:rPr>
      <w:rFonts w:ascii="Tahoma" w:hAnsi="Tahoma" w:cs="Tahoma"/>
      <w:sz w:val="16"/>
      <w:szCs w:val="16"/>
    </w:rPr>
  </w:style>
  <w:style w:type="paragraph" w:styleId="a6">
    <w:name w:val="header"/>
    <w:basedOn w:val="a"/>
    <w:link w:val="a7"/>
    <w:uiPriority w:val="99"/>
    <w:unhideWhenUsed/>
    <w:rsid w:val="006E4A40"/>
    <w:pPr>
      <w:tabs>
        <w:tab w:val="center" w:pos="4153"/>
        <w:tab w:val="right" w:pos="8306"/>
      </w:tabs>
      <w:spacing w:after="0" w:line="240" w:lineRule="auto"/>
    </w:pPr>
  </w:style>
  <w:style w:type="character" w:customStyle="1" w:styleId="a7">
    <w:name w:val="כותרת עליונה תו"/>
    <w:basedOn w:val="a0"/>
    <w:link w:val="a6"/>
    <w:uiPriority w:val="99"/>
    <w:rsid w:val="006E4A40"/>
  </w:style>
  <w:style w:type="paragraph" w:styleId="a8">
    <w:name w:val="footer"/>
    <w:basedOn w:val="a"/>
    <w:link w:val="a9"/>
    <w:uiPriority w:val="99"/>
    <w:unhideWhenUsed/>
    <w:rsid w:val="006E4A40"/>
    <w:pPr>
      <w:tabs>
        <w:tab w:val="center" w:pos="4153"/>
        <w:tab w:val="right" w:pos="8306"/>
      </w:tabs>
      <w:spacing w:after="0" w:line="240" w:lineRule="auto"/>
    </w:pPr>
  </w:style>
  <w:style w:type="character" w:customStyle="1" w:styleId="a9">
    <w:name w:val="כותרת תחתונה תו"/>
    <w:basedOn w:val="a0"/>
    <w:link w:val="a8"/>
    <w:uiPriority w:val="99"/>
    <w:rsid w:val="006E4A40"/>
  </w:style>
  <w:style w:type="character" w:styleId="Hyperlink">
    <w:name w:val="Hyperlink"/>
    <w:basedOn w:val="a0"/>
    <w:uiPriority w:val="99"/>
    <w:unhideWhenUsed/>
    <w:rsid w:val="008775A5"/>
    <w:rPr>
      <w:color w:val="0000FF" w:themeColor="hyperlink"/>
      <w:u w:val="single"/>
    </w:rPr>
  </w:style>
  <w:style w:type="character" w:styleId="FollowedHyperlink">
    <w:name w:val="FollowedHyperlink"/>
    <w:basedOn w:val="a0"/>
    <w:uiPriority w:val="99"/>
    <w:semiHidden/>
    <w:unhideWhenUsed/>
    <w:rsid w:val="00A248F6"/>
    <w:rPr>
      <w:color w:val="800080" w:themeColor="followedHyperlink"/>
      <w:u w:val="single"/>
    </w:rPr>
  </w:style>
  <w:style w:type="table" w:styleId="aa">
    <w:name w:val="Table Grid"/>
    <w:basedOn w:val="a1"/>
    <w:uiPriority w:val="59"/>
    <w:rsid w:val="00781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E134F1"/>
    <w:rPr>
      <w:sz w:val="16"/>
      <w:szCs w:val="16"/>
    </w:rPr>
  </w:style>
  <w:style w:type="paragraph" w:styleId="ac">
    <w:name w:val="annotation text"/>
    <w:basedOn w:val="a"/>
    <w:link w:val="ad"/>
    <w:uiPriority w:val="99"/>
    <w:semiHidden/>
    <w:unhideWhenUsed/>
    <w:rsid w:val="00E134F1"/>
    <w:pPr>
      <w:spacing w:line="240" w:lineRule="auto"/>
    </w:pPr>
    <w:rPr>
      <w:sz w:val="20"/>
      <w:szCs w:val="20"/>
    </w:rPr>
  </w:style>
  <w:style w:type="character" w:customStyle="1" w:styleId="ad">
    <w:name w:val="טקסט הערה תו"/>
    <w:basedOn w:val="a0"/>
    <w:link w:val="ac"/>
    <w:uiPriority w:val="99"/>
    <w:semiHidden/>
    <w:rsid w:val="00E134F1"/>
    <w:rPr>
      <w:sz w:val="20"/>
      <w:szCs w:val="20"/>
    </w:rPr>
  </w:style>
  <w:style w:type="paragraph" w:styleId="ae">
    <w:name w:val="annotation subject"/>
    <w:basedOn w:val="ac"/>
    <w:next w:val="ac"/>
    <w:link w:val="af"/>
    <w:uiPriority w:val="99"/>
    <w:semiHidden/>
    <w:unhideWhenUsed/>
    <w:rsid w:val="00E134F1"/>
    <w:rPr>
      <w:b/>
      <w:bCs/>
    </w:rPr>
  </w:style>
  <w:style w:type="character" w:customStyle="1" w:styleId="af">
    <w:name w:val="נושא הערה תו"/>
    <w:basedOn w:val="ad"/>
    <w:link w:val="ae"/>
    <w:uiPriority w:val="99"/>
    <w:semiHidden/>
    <w:rsid w:val="00E134F1"/>
    <w:rPr>
      <w:b/>
      <w:bCs/>
      <w:sz w:val="20"/>
      <w:szCs w:val="20"/>
    </w:rPr>
  </w:style>
  <w:style w:type="paragraph" w:styleId="af0">
    <w:name w:val="footnote text"/>
    <w:basedOn w:val="a"/>
    <w:link w:val="af1"/>
    <w:semiHidden/>
    <w:unhideWhenUsed/>
    <w:rsid w:val="006A293A"/>
    <w:pPr>
      <w:spacing w:after="0" w:line="240" w:lineRule="auto"/>
    </w:pPr>
    <w:rPr>
      <w:sz w:val="20"/>
      <w:szCs w:val="20"/>
    </w:rPr>
  </w:style>
  <w:style w:type="character" w:customStyle="1" w:styleId="af1">
    <w:name w:val="טקסט הערת שוליים תו"/>
    <w:basedOn w:val="a0"/>
    <w:link w:val="af0"/>
    <w:semiHidden/>
    <w:rsid w:val="006A293A"/>
    <w:rPr>
      <w:sz w:val="20"/>
      <w:szCs w:val="20"/>
    </w:rPr>
  </w:style>
  <w:style w:type="character" w:styleId="af2">
    <w:name w:val="footnote reference"/>
    <w:basedOn w:val="a0"/>
    <w:semiHidden/>
    <w:unhideWhenUsed/>
    <w:rsid w:val="006A29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boi.org.il/he/NewsAndPublications/RegularPublications/Pages/MabatStat2020.asp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C4033851-6FE5-4280-ABDB-12AB8FB4D337}"/>
</file>

<file path=customXml/itemProps2.xml><?xml version="1.0" encoding="utf-8"?>
<ds:datastoreItem xmlns:ds="http://schemas.openxmlformats.org/officeDocument/2006/customXml" ds:itemID="{2D6A1CE9-B3E5-4F9E-8E1F-6F8F82DEE9AD}"/>
</file>

<file path=customXml/itemProps3.xml><?xml version="1.0" encoding="utf-8"?>
<ds:datastoreItem xmlns:ds="http://schemas.openxmlformats.org/officeDocument/2006/customXml" ds:itemID="{9DAFF8C1-24CF-4437-9CDE-EC396215D66B}"/>
</file>

<file path=customXml/itemProps4.xml><?xml version="1.0" encoding="utf-8"?>
<ds:datastoreItem xmlns:ds="http://schemas.openxmlformats.org/officeDocument/2006/customXml" ds:itemID="{F773DD7C-03DE-4FAF-B606-F97524724376}"/>
</file>

<file path=docProps/app.xml><?xml version="1.0" encoding="utf-8"?>
<Properties xmlns="http://schemas.openxmlformats.org/officeDocument/2006/extended-properties" xmlns:vt="http://schemas.openxmlformats.org/officeDocument/2006/docPropsVTypes">
  <Template>Normal.dotm</Template>
  <TotalTime>3</TotalTime>
  <Pages>4</Pages>
  <Words>885</Words>
  <Characters>4425</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יאיר חיים</dc:creator>
  <cp:lastModifiedBy>אבשלום ברנוביץ'</cp:lastModifiedBy>
  <cp:revision>3</cp:revision>
  <cp:lastPrinted>2019-03-11T11:18:00Z</cp:lastPrinted>
  <dcterms:created xsi:type="dcterms:W3CDTF">2021-03-17T06:45:00Z</dcterms:created>
  <dcterms:modified xsi:type="dcterms:W3CDTF">2021-03-17T07:07:00Z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