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2EC59" w14:textId="77777777" w:rsidR="00CB5D78" w:rsidRPr="003B4DD7" w:rsidRDefault="002235F5" w:rsidP="00A3549C">
      <w:pPr>
        <w:bidi w:val="0"/>
        <w:jc w:val="center"/>
        <w:rPr>
          <w:rFonts w:asciiTheme="majorBidi" w:hAnsiTheme="majorBidi" w:cstheme="majorBidi"/>
          <w:rtl/>
        </w:rPr>
      </w:pPr>
      <w:r w:rsidRPr="003B4DD7">
        <w:rPr>
          <w:rFonts w:asciiTheme="majorBidi" w:hAnsiTheme="majorBidi" w:cstheme="majorBidi"/>
          <w:noProof/>
        </w:rPr>
        <w:drawing>
          <wp:inline distT="0" distB="0" distL="0" distR="0" wp14:anchorId="65789784" wp14:editId="5E599AE9">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1402008E" w14:textId="77777777" w:rsidR="00892A46" w:rsidRPr="00B60978" w:rsidRDefault="00892A46" w:rsidP="00A3549C">
      <w:pPr>
        <w:pStyle w:val="regpar"/>
        <w:spacing w:line="300" w:lineRule="atLeast"/>
        <w:ind w:firstLine="0"/>
        <w:jc w:val="center"/>
        <w:rPr>
          <w:rFonts w:asciiTheme="majorBidi" w:hAnsiTheme="majorBidi" w:cstheme="majorBidi"/>
          <w:b/>
          <w:bCs/>
        </w:rPr>
      </w:pPr>
      <w:r w:rsidRPr="00B60978">
        <w:rPr>
          <w:rFonts w:asciiTheme="majorBidi" w:hAnsiTheme="majorBidi" w:cstheme="majorBidi"/>
          <w:b/>
          <w:bCs/>
        </w:rPr>
        <w:t>BANK OF ISRAEL</w:t>
      </w:r>
    </w:p>
    <w:p w14:paraId="2BDC028E" w14:textId="77777777" w:rsidR="00892A46" w:rsidRPr="00B60978" w:rsidRDefault="00892A46" w:rsidP="00A3549C">
      <w:pPr>
        <w:pStyle w:val="regpar"/>
        <w:spacing w:line="300" w:lineRule="atLeast"/>
        <w:ind w:firstLine="0"/>
        <w:jc w:val="center"/>
        <w:rPr>
          <w:rFonts w:asciiTheme="majorBidi" w:hAnsiTheme="majorBidi" w:cstheme="majorBidi"/>
        </w:rPr>
      </w:pPr>
      <w:r w:rsidRPr="00B60978">
        <w:rPr>
          <w:rFonts w:asciiTheme="majorBidi" w:hAnsiTheme="majorBidi" w:cstheme="majorBidi"/>
        </w:rPr>
        <w:t>Office of the Spokesperson and Economic Information</w:t>
      </w:r>
    </w:p>
    <w:p w14:paraId="325AD98E" w14:textId="77777777" w:rsidR="00B533D5" w:rsidRPr="00B60978" w:rsidRDefault="007926C7" w:rsidP="00A3549C">
      <w:pPr>
        <w:bidi w:val="0"/>
        <w:jc w:val="both"/>
        <w:rPr>
          <w:rFonts w:asciiTheme="majorBidi" w:hAnsiTheme="majorBidi" w:cstheme="majorBidi"/>
          <w:rtl/>
        </w:rPr>
      </w:pPr>
      <w:r w:rsidRPr="00B60978">
        <w:rPr>
          <w:rFonts w:asciiTheme="majorBidi" w:hAnsiTheme="majorBidi" w:cstheme="majorBidi"/>
        </w:rPr>
        <w:br/>
      </w:r>
    </w:p>
    <w:p w14:paraId="6258D980" w14:textId="7604E691" w:rsidR="007926C7" w:rsidRPr="00B60978" w:rsidRDefault="00B60978" w:rsidP="00A962CF">
      <w:pPr>
        <w:bidi w:val="0"/>
        <w:jc w:val="both"/>
        <w:rPr>
          <w:rFonts w:asciiTheme="majorBidi" w:hAnsiTheme="majorBidi" w:cstheme="majorBidi"/>
        </w:rPr>
      </w:pPr>
      <w:r w:rsidRPr="00B60978">
        <w:rPr>
          <w:rFonts w:asciiTheme="majorBidi" w:hAnsiTheme="majorBidi" w:cstheme="majorBidi"/>
        </w:rPr>
        <w:t xml:space="preserve">APRIL 17.2024 </w:t>
      </w:r>
    </w:p>
    <w:p w14:paraId="059CF731" w14:textId="77777777" w:rsidR="007926C7" w:rsidRPr="00B60978" w:rsidRDefault="007926C7" w:rsidP="00A3549C">
      <w:pPr>
        <w:bidi w:val="0"/>
        <w:jc w:val="both"/>
        <w:rPr>
          <w:rFonts w:asciiTheme="majorBidi" w:hAnsiTheme="majorBidi" w:cstheme="majorBidi"/>
        </w:rPr>
      </w:pPr>
    </w:p>
    <w:p w14:paraId="71C3D7A8" w14:textId="77777777" w:rsidR="00892A46" w:rsidRPr="003B4DD7" w:rsidRDefault="00892A46" w:rsidP="00A3549C">
      <w:pPr>
        <w:bidi w:val="0"/>
        <w:jc w:val="both"/>
        <w:rPr>
          <w:rFonts w:asciiTheme="majorBidi" w:hAnsiTheme="majorBidi" w:cstheme="majorBidi"/>
        </w:rPr>
      </w:pPr>
      <w:r w:rsidRPr="00B60978">
        <w:rPr>
          <w:rFonts w:asciiTheme="majorBidi" w:hAnsiTheme="majorBidi" w:cstheme="majorBidi"/>
        </w:rPr>
        <w:t>Press Release:</w:t>
      </w:r>
    </w:p>
    <w:p w14:paraId="01354577" w14:textId="77777777" w:rsidR="00892A46" w:rsidRPr="003B4DD7" w:rsidRDefault="00892A46" w:rsidP="00A3549C">
      <w:pPr>
        <w:tabs>
          <w:tab w:val="center" w:pos="4156"/>
          <w:tab w:val="right" w:pos="8312"/>
        </w:tabs>
        <w:bidi w:val="0"/>
        <w:jc w:val="both"/>
        <w:rPr>
          <w:rFonts w:asciiTheme="majorBidi" w:hAnsiTheme="majorBidi" w:cstheme="majorBidi"/>
        </w:rPr>
      </w:pPr>
    </w:p>
    <w:p w14:paraId="73B69C67" w14:textId="599DCA38" w:rsidR="000D4E65" w:rsidRDefault="00E66CE4" w:rsidP="00A962CF">
      <w:pPr>
        <w:bidi w:val="0"/>
        <w:jc w:val="center"/>
        <w:rPr>
          <w:b/>
          <w:bCs/>
          <w:sz w:val="32"/>
          <w:szCs w:val="32"/>
          <w:rtl/>
        </w:rPr>
      </w:pPr>
      <w:bookmarkStart w:id="0" w:name="_GoBack"/>
      <w:bookmarkEnd w:id="0"/>
      <w:r>
        <w:rPr>
          <w:b/>
          <w:bCs/>
          <w:sz w:val="32"/>
          <w:szCs w:val="32"/>
        </w:rPr>
        <w:t>Exchanges for Government Bonds? Evidence during COVID-19</w:t>
      </w:r>
    </w:p>
    <w:p w14:paraId="3F9B01C6" w14:textId="77777777" w:rsidR="00C06B06" w:rsidRDefault="00C06B06" w:rsidP="00C06B06">
      <w:pPr>
        <w:bidi w:val="0"/>
        <w:jc w:val="center"/>
        <w:rPr>
          <w:b/>
          <w:bCs/>
          <w:sz w:val="32"/>
          <w:szCs w:val="32"/>
        </w:rPr>
      </w:pPr>
    </w:p>
    <w:p w14:paraId="79B7F2DC" w14:textId="009C7147" w:rsidR="004A159D" w:rsidRDefault="000C36EA" w:rsidP="003D6642">
      <w:pPr>
        <w:pStyle w:val="ListParagraph"/>
        <w:jc w:val="both"/>
        <w:rPr>
          <w:rFonts w:asciiTheme="majorBidi" w:hAnsiTheme="majorBidi" w:cstheme="majorBidi"/>
          <w:color w:val="0D0D0D"/>
          <w:shd w:val="clear" w:color="auto" w:fill="FFFFFF"/>
        </w:rPr>
      </w:pPr>
      <w:r w:rsidRPr="000A3E0D">
        <w:rPr>
          <w:rFonts w:asciiTheme="majorBidi" w:hAnsiTheme="majorBidi" w:cstheme="majorBidi"/>
          <w:color w:val="0D0D0D"/>
          <w:shd w:val="clear" w:color="auto" w:fill="FFFFFF"/>
        </w:rPr>
        <w:t>The study employs a difference-in-differences approach to examine bid-ask spreads across various markets.</w:t>
      </w:r>
      <w:r w:rsidR="003D6642">
        <w:rPr>
          <w:rFonts w:asciiTheme="majorBidi" w:hAnsiTheme="majorBidi" w:cstheme="majorBidi"/>
          <w:color w:val="0D0D0D"/>
          <w:shd w:val="clear" w:color="auto" w:fill="FFFFFF"/>
        </w:rPr>
        <w:t xml:space="preserve"> </w:t>
      </w:r>
      <w:r>
        <w:rPr>
          <w:rFonts w:asciiTheme="majorBidi" w:hAnsiTheme="majorBidi" w:cstheme="majorBidi"/>
          <w:color w:val="0D0D0D"/>
          <w:shd w:val="clear" w:color="auto" w:fill="FFFFFF"/>
        </w:rPr>
        <w:t>It</w:t>
      </w:r>
      <w:r w:rsidR="00AB3663">
        <w:rPr>
          <w:rFonts w:asciiTheme="majorBidi" w:hAnsiTheme="majorBidi" w:cstheme="majorBidi"/>
          <w:color w:val="0D0D0D"/>
          <w:shd w:val="clear" w:color="auto" w:fill="FFFFFF"/>
        </w:rPr>
        <w:t xml:space="preserve"> leverages a unique characteristic of the Israeli government bond market, which trades in an exchange, to analyze whether having an exchange affects market liquidity during a crisis.</w:t>
      </w:r>
    </w:p>
    <w:p w14:paraId="12B3A3FF" w14:textId="77777777" w:rsidR="00FD2A53" w:rsidRDefault="00FD2A53" w:rsidP="000C36EA">
      <w:pPr>
        <w:pStyle w:val="ListParagraph"/>
        <w:jc w:val="both"/>
        <w:rPr>
          <w:rFonts w:asciiTheme="majorBidi" w:hAnsiTheme="majorBidi" w:cstheme="majorBidi"/>
          <w:color w:val="0D0D0D"/>
          <w:shd w:val="clear" w:color="auto" w:fill="FFFFFF"/>
        </w:rPr>
      </w:pPr>
    </w:p>
    <w:p w14:paraId="4D0EDFAB" w14:textId="6407D03B" w:rsidR="002E71BE" w:rsidRDefault="002E71BE" w:rsidP="000C0DD6">
      <w:pPr>
        <w:pStyle w:val="ListParagraph"/>
        <w:jc w:val="both"/>
        <w:rPr>
          <w:rFonts w:asciiTheme="majorBidi" w:hAnsiTheme="majorBidi" w:cstheme="majorBidi"/>
          <w:color w:val="0D0D0D"/>
          <w:shd w:val="clear" w:color="auto" w:fill="FFFFFF"/>
        </w:rPr>
      </w:pPr>
      <w:r w:rsidRPr="000A3E0D">
        <w:rPr>
          <w:rFonts w:asciiTheme="majorBidi" w:hAnsiTheme="majorBidi" w:cstheme="majorBidi"/>
          <w:color w:val="0D0D0D"/>
          <w:shd w:val="clear" w:color="auto" w:fill="FFFFFF"/>
        </w:rPr>
        <w:t>The research suggests that</w:t>
      </w:r>
      <w:r>
        <w:rPr>
          <w:rFonts w:asciiTheme="majorBidi" w:hAnsiTheme="majorBidi" w:cstheme="majorBidi"/>
          <w:color w:val="0D0D0D"/>
          <w:shd w:val="clear" w:color="auto" w:fill="FFFFFF"/>
        </w:rPr>
        <w:t>:</w:t>
      </w:r>
    </w:p>
    <w:p w14:paraId="332A5ABA" w14:textId="77777777" w:rsidR="000C36EA" w:rsidRDefault="000C36EA" w:rsidP="000C36EA">
      <w:pPr>
        <w:pStyle w:val="ListParagraph"/>
        <w:jc w:val="both"/>
        <w:rPr>
          <w:rFonts w:asciiTheme="majorBidi" w:hAnsiTheme="majorBidi" w:cstheme="majorBidi"/>
          <w:color w:val="0D0D0D"/>
          <w:shd w:val="clear" w:color="auto" w:fill="FFFFFF"/>
        </w:rPr>
      </w:pPr>
    </w:p>
    <w:p w14:paraId="0D64F7E8" w14:textId="3735543A" w:rsidR="00AB3663" w:rsidRDefault="002E71BE" w:rsidP="00AB3663">
      <w:pPr>
        <w:pStyle w:val="ListParagraph"/>
        <w:numPr>
          <w:ilvl w:val="0"/>
          <w:numId w:val="7"/>
        </w:numPr>
        <w:jc w:val="both"/>
        <w:rPr>
          <w:rFonts w:asciiTheme="majorBidi" w:hAnsiTheme="majorBidi" w:cstheme="majorBidi"/>
          <w:color w:val="0D0D0D"/>
          <w:shd w:val="clear" w:color="auto" w:fill="FFFFFF"/>
        </w:rPr>
      </w:pPr>
      <w:r>
        <w:rPr>
          <w:rFonts w:asciiTheme="majorBidi" w:hAnsiTheme="majorBidi" w:cstheme="majorBidi"/>
          <w:color w:val="0D0D0D"/>
          <w:shd w:val="clear" w:color="auto" w:fill="FFFFFF"/>
        </w:rPr>
        <w:t>T</w:t>
      </w:r>
      <w:r w:rsidR="00AB3663" w:rsidRPr="000A3E0D">
        <w:rPr>
          <w:rFonts w:asciiTheme="majorBidi" w:hAnsiTheme="majorBidi" w:cstheme="majorBidi"/>
          <w:color w:val="0D0D0D"/>
          <w:shd w:val="clear" w:color="auto" w:fill="FFFFFF"/>
        </w:rPr>
        <w:t>rading on an exchange significantly enhances liquidity during times of crisis.</w:t>
      </w:r>
    </w:p>
    <w:p w14:paraId="2927FF3F" w14:textId="07FC7E58" w:rsidR="004A159D" w:rsidRPr="00E833F2" w:rsidRDefault="00E833F2" w:rsidP="00FB71B0">
      <w:pPr>
        <w:pStyle w:val="ListParagraph"/>
        <w:numPr>
          <w:ilvl w:val="0"/>
          <w:numId w:val="7"/>
        </w:numPr>
        <w:jc w:val="both"/>
        <w:rPr>
          <w:rFonts w:asciiTheme="majorBidi" w:hAnsiTheme="majorBidi" w:cstheme="majorBidi"/>
          <w:color w:val="0D0D0D"/>
          <w:shd w:val="clear" w:color="auto" w:fill="FFFFFF"/>
        </w:rPr>
      </w:pPr>
      <w:r w:rsidRPr="00E833F2">
        <w:rPr>
          <w:rFonts w:asciiTheme="majorBidi" w:hAnsiTheme="majorBidi" w:cstheme="majorBidi"/>
          <w:color w:val="0D0D0D"/>
          <w:shd w:val="clear" w:color="auto" w:fill="FFFFFF"/>
        </w:rPr>
        <w:t xml:space="preserve">The results suggest that efficient </w:t>
      </w:r>
      <w:r>
        <w:rPr>
          <w:rFonts w:asciiTheme="majorBidi" w:hAnsiTheme="majorBidi" w:cstheme="majorBidi"/>
          <w:color w:val="0D0D0D"/>
          <w:shd w:val="clear" w:color="auto" w:fill="FFFFFF"/>
        </w:rPr>
        <w:t>netting and all-to-all trading</w:t>
      </w:r>
      <w:r w:rsidR="008A0339">
        <w:rPr>
          <w:rFonts w:asciiTheme="majorBidi" w:hAnsiTheme="majorBidi" w:cstheme="majorBidi"/>
          <w:color w:val="0D0D0D"/>
          <w:shd w:val="clear" w:color="auto" w:fill="FFFFFF"/>
        </w:rPr>
        <w:t xml:space="preserve"> in an exchange</w:t>
      </w:r>
      <w:r>
        <w:rPr>
          <w:rFonts w:asciiTheme="majorBidi" w:hAnsiTheme="majorBidi" w:cstheme="majorBidi"/>
          <w:color w:val="0D0D0D"/>
          <w:shd w:val="clear" w:color="auto" w:fill="FFFFFF"/>
        </w:rPr>
        <w:t xml:space="preserve"> can reconcile the</w:t>
      </w:r>
      <w:r w:rsidR="008A0339">
        <w:rPr>
          <w:rFonts w:asciiTheme="majorBidi" w:hAnsiTheme="majorBidi" w:cstheme="majorBidi"/>
          <w:color w:val="0D0D0D"/>
          <w:shd w:val="clear" w:color="auto" w:fill="FFFFFF"/>
        </w:rPr>
        <w:t>se</w:t>
      </w:r>
      <w:r>
        <w:rPr>
          <w:rFonts w:asciiTheme="majorBidi" w:hAnsiTheme="majorBidi" w:cstheme="majorBidi"/>
          <w:color w:val="0D0D0D"/>
          <w:shd w:val="clear" w:color="auto" w:fill="FFFFFF"/>
        </w:rPr>
        <w:t xml:space="preserve"> findings. </w:t>
      </w:r>
    </w:p>
    <w:p w14:paraId="6D99485D" w14:textId="77777777" w:rsidR="004A159D" w:rsidRDefault="004A159D" w:rsidP="004A159D">
      <w:pPr>
        <w:bidi w:val="0"/>
        <w:jc w:val="both"/>
        <w:rPr>
          <w:rFonts w:asciiTheme="majorBidi" w:hAnsiTheme="majorBidi" w:cstheme="majorBidi"/>
          <w:color w:val="0D0D0D"/>
          <w:shd w:val="clear" w:color="auto" w:fill="FFFFFF"/>
        </w:rPr>
      </w:pPr>
    </w:p>
    <w:p w14:paraId="7F5FBFDF" w14:textId="381736AC" w:rsidR="00E56334" w:rsidRDefault="00E56334" w:rsidP="004A159D">
      <w:pPr>
        <w:bidi w:val="0"/>
        <w:jc w:val="both"/>
        <w:rPr>
          <w:rFonts w:asciiTheme="majorBidi" w:hAnsiTheme="majorBidi" w:cstheme="majorBidi"/>
          <w:color w:val="0D0D0D"/>
          <w:shd w:val="clear" w:color="auto" w:fill="FFFFFF"/>
        </w:rPr>
      </w:pPr>
      <w:r w:rsidRPr="00E56334">
        <w:rPr>
          <w:rFonts w:asciiTheme="majorBidi" w:hAnsiTheme="majorBidi" w:cstheme="majorBidi"/>
          <w:color w:val="0D0D0D"/>
          <w:shd w:val="clear" w:color="auto" w:fill="FFFFFF"/>
        </w:rPr>
        <w:t>The government bond markets in most developed countries, particularly the US, are typically viewed as liquid and secure safe havens for investment. However, this perception shifted temporarily in March 2020, when these markets experienced severe illiquidity (</w:t>
      </w:r>
      <w:r w:rsidRPr="00E56334">
        <w:rPr>
          <w:rFonts w:asciiTheme="majorBidi" w:hAnsiTheme="majorBidi" w:cstheme="majorBidi"/>
          <w:b/>
          <w:bCs/>
          <w:color w:val="0D0D0D"/>
          <w:shd w:val="clear" w:color="auto" w:fill="FFFFFF"/>
        </w:rPr>
        <w:t>Figure 1</w:t>
      </w:r>
      <w:r w:rsidRPr="00E56334">
        <w:rPr>
          <w:rFonts w:asciiTheme="majorBidi" w:hAnsiTheme="majorBidi" w:cstheme="majorBidi"/>
          <w:color w:val="0D0D0D"/>
          <w:shd w:val="clear" w:color="auto" w:fill="FFFFFF"/>
        </w:rPr>
        <w:t>). In response, central banks globally enacted measures to enhance liquidity and ensure the markets' efficient operation. This liquidity crisis sparked an active debate among researchers, regulators, and policymakers worldwide about reforming the government bond trading system.</w:t>
      </w:r>
    </w:p>
    <w:p w14:paraId="3F77BE5C" w14:textId="77777777" w:rsidR="00E56334" w:rsidRPr="00E56334" w:rsidRDefault="00E56334" w:rsidP="00E56334">
      <w:pPr>
        <w:bidi w:val="0"/>
        <w:jc w:val="both"/>
        <w:rPr>
          <w:rFonts w:asciiTheme="majorBidi" w:hAnsiTheme="majorBidi" w:cstheme="majorBidi"/>
          <w:color w:val="0D0D0D"/>
          <w:shd w:val="clear" w:color="auto" w:fill="FFFFFF"/>
        </w:rPr>
      </w:pPr>
    </w:p>
    <w:p w14:paraId="1750D15D" w14:textId="77777777" w:rsidR="00E56334" w:rsidRPr="00E56334" w:rsidRDefault="00E56334" w:rsidP="00E56334">
      <w:pPr>
        <w:jc w:val="center"/>
        <w:rPr>
          <w:rFonts w:asciiTheme="majorBidi" w:hAnsiTheme="majorBidi" w:cstheme="majorBidi"/>
          <w:b/>
          <w:bCs/>
          <w:color w:val="0D0D0D"/>
          <w:shd w:val="clear" w:color="auto" w:fill="FFFFFF"/>
          <w:rtl/>
        </w:rPr>
      </w:pPr>
      <w:r w:rsidRPr="00E56334">
        <w:rPr>
          <w:rFonts w:asciiTheme="majorBidi" w:hAnsiTheme="majorBidi" w:cstheme="majorBidi"/>
          <w:b/>
          <w:bCs/>
          <w:color w:val="0D0D0D"/>
          <w:shd w:val="clear" w:color="auto" w:fill="FFFFFF"/>
        </w:rPr>
        <w:t>Figure 1:  Time series of Israeli and US spreads of government bonds and stock indices</w:t>
      </w:r>
    </w:p>
    <w:p w14:paraId="127CA04C" w14:textId="77777777" w:rsidR="00E56334" w:rsidRDefault="00E56334" w:rsidP="00E56334">
      <w:pPr>
        <w:jc w:val="both"/>
        <w:rPr>
          <w:rFonts w:ascii="Segoe UI" w:hAnsi="Segoe UI" w:cs="Segoe UI"/>
          <w:color w:val="0D0D0D"/>
          <w:shd w:val="clear" w:color="auto" w:fill="FFFFFF"/>
        </w:rPr>
      </w:pPr>
      <w:r>
        <w:rPr>
          <w:rFonts w:ascii="Segoe UI" w:hAnsi="Segoe UI" w:cs="Segoe UI"/>
          <w:noProof/>
          <w:color w:val="0D0D0D"/>
          <w:shd w:val="clear" w:color="auto" w:fill="FFFFFF"/>
        </w:rPr>
        <w:drawing>
          <wp:inline distT="0" distB="0" distL="0" distR="0" wp14:anchorId="574ECE09" wp14:editId="056B0E48">
            <wp:extent cx="5242560" cy="2797175"/>
            <wp:effectExtent l="0" t="0" r="0" b="3175"/>
            <wp:docPr id="16889984" name="Picture 1" descr="A graph showing the value of a stock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9984" name="Picture 1" descr="A graph showing the value of a stock marke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42560" cy="2797175"/>
                    </a:xfrm>
                    <a:prstGeom prst="rect">
                      <a:avLst/>
                    </a:prstGeom>
                  </pic:spPr>
                </pic:pic>
              </a:graphicData>
            </a:graphic>
          </wp:inline>
        </w:drawing>
      </w:r>
    </w:p>
    <w:p w14:paraId="32B95B97" w14:textId="4B20C9F0" w:rsidR="00AC72A0" w:rsidRPr="00D15550" w:rsidRDefault="00511D18" w:rsidP="00C24275">
      <w:pPr>
        <w:bidi w:val="0"/>
        <w:jc w:val="both"/>
        <w:rPr>
          <w:rFonts w:asciiTheme="majorBidi" w:hAnsiTheme="majorBidi" w:cstheme="majorBidi"/>
          <w:color w:val="0D0D0D"/>
          <w:shd w:val="clear" w:color="auto" w:fill="FFFFFF"/>
        </w:rPr>
      </w:pPr>
      <w:r w:rsidRPr="00511D18">
        <w:rPr>
          <w:rFonts w:asciiTheme="majorBidi" w:hAnsiTheme="majorBidi" w:cstheme="majorBidi"/>
          <w:b/>
          <w:bCs/>
          <w:color w:val="0D0D0D"/>
          <w:shd w:val="clear" w:color="auto" w:fill="FFFFFF"/>
        </w:rPr>
        <w:t>Notes:</w:t>
      </w:r>
      <w:r w:rsidR="00D15550">
        <w:rPr>
          <w:rFonts w:asciiTheme="majorBidi" w:hAnsiTheme="majorBidi" w:cstheme="majorBidi"/>
          <w:b/>
          <w:bCs/>
          <w:color w:val="0D0D0D"/>
          <w:shd w:val="clear" w:color="auto" w:fill="FFFFFF"/>
        </w:rPr>
        <w:t xml:space="preserve"> </w:t>
      </w:r>
      <w:r w:rsidR="00D15550" w:rsidRPr="00D15550">
        <w:rPr>
          <w:rFonts w:asciiTheme="majorBidi" w:hAnsiTheme="majorBidi" w:cstheme="majorBidi"/>
          <w:color w:val="0D0D0D"/>
          <w:shd w:val="clear" w:color="auto" w:fill="FFFFFF"/>
        </w:rPr>
        <w:t>Authors' own calculations and Bloomberg.</w:t>
      </w:r>
    </w:p>
    <w:p w14:paraId="24F9B4F9" w14:textId="77777777" w:rsidR="00511D18" w:rsidRDefault="00511D18" w:rsidP="00AC72A0">
      <w:pPr>
        <w:bidi w:val="0"/>
        <w:jc w:val="both"/>
        <w:rPr>
          <w:rFonts w:asciiTheme="majorBidi" w:hAnsiTheme="majorBidi" w:cstheme="majorBidi"/>
          <w:color w:val="0D0D0D"/>
          <w:shd w:val="clear" w:color="auto" w:fill="FFFFFF"/>
        </w:rPr>
      </w:pPr>
    </w:p>
    <w:p w14:paraId="521E5056" w14:textId="64081425" w:rsidR="00E56334" w:rsidRPr="00C24275" w:rsidRDefault="00E56334" w:rsidP="00511D18">
      <w:pPr>
        <w:bidi w:val="0"/>
        <w:jc w:val="both"/>
        <w:rPr>
          <w:rFonts w:asciiTheme="majorBidi" w:hAnsiTheme="majorBidi" w:cstheme="majorBidi"/>
          <w:color w:val="0D0D0D"/>
          <w:shd w:val="clear" w:color="auto" w:fill="FFFFFF"/>
        </w:rPr>
      </w:pPr>
      <w:r w:rsidRPr="00C24275">
        <w:rPr>
          <w:rFonts w:asciiTheme="majorBidi" w:hAnsiTheme="majorBidi" w:cstheme="majorBidi"/>
          <w:color w:val="0D0D0D"/>
          <w:shd w:val="clear" w:color="auto" w:fill="FFFFFF"/>
        </w:rPr>
        <w:t xml:space="preserve">One proposal suggests that transactions be conducted through a central clearinghouse on an exchange, enabling various investors to trade directly with one another, akin to the global stock trading model (refer to </w:t>
      </w:r>
      <w:r w:rsidRPr="00C24275">
        <w:rPr>
          <w:rFonts w:asciiTheme="majorBidi" w:hAnsiTheme="majorBidi" w:cstheme="majorBidi"/>
          <w:b/>
          <w:bCs/>
          <w:color w:val="0D0D0D"/>
          <w:shd w:val="clear" w:color="auto" w:fill="FFFFFF"/>
        </w:rPr>
        <w:t>Figure 2</w:t>
      </w:r>
      <w:r w:rsidRPr="00C24275">
        <w:rPr>
          <w:rFonts w:asciiTheme="majorBidi" w:hAnsiTheme="majorBidi" w:cstheme="majorBidi"/>
          <w:color w:val="0D0D0D"/>
          <w:shd w:val="clear" w:color="auto" w:fill="FFFFFF"/>
        </w:rPr>
        <w:t>). However, it's challenging to gather evidence supporting or opposing this suggested reform due to the nature of government bond trading. Unlike stocks, government bonds are traded over the counter (OTC) rather than on an exchange. This distinction makes it difficult to speculate on the outcomes had these markets operated through an exchange.</w:t>
      </w:r>
    </w:p>
    <w:p w14:paraId="6FFCCD14" w14:textId="77777777" w:rsidR="00E56334" w:rsidRPr="00AB3663" w:rsidRDefault="00E56334" w:rsidP="00E56334">
      <w:pPr>
        <w:jc w:val="center"/>
        <w:rPr>
          <w:b/>
          <w:bCs/>
          <w:rtl/>
        </w:rPr>
      </w:pPr>
      <w:r w:rsidRPr="007D6A32">
        <w:rPr>
          <w:rFonts w:ascii="David" w:hAnsi="David" w:cs="David" w:hint="cs"/>
          <w:b/>
          <w:bCs/>
          <w:noProof/>
          <w:rtl/>
        </w:rPr>
        <w:drawing>
          <wp:anchor distT="0" distB="0" distL="114300" distR="114300" simplePos="0" relativeHeight="251659264" behindDoc="0" locked="0" layoutInCell="1" allowOverlap="1" wp14:anchorId="768AD6CF" wp14:editId="475FB3AB">
            <wp:simplePos x="0" y="0"/>
            <wp:positionH relativeFrom="column">
              <wp:posOffset>502920</wp:posOffset>
            </wp:positionH>
            <wp:positionV relativeFrom="paragraph">
              <wp:posOffset>292735</wp:posOffset>
            </wp:positionV>
            <wp:extent cx="5086985" cy="1238250"/>
            <wp:effectExtent l="0" t="0" r="0" b="0"/>
            <wp:wrapTopAndBottom/>
            <wp:docPr id="1797318754" name="תמונה 1" descr="A network with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A network with dots and line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086985" cy="1238250"/>
                    </a:xfrm>
                    <a:prstGeom prst="rect">
                      <a:avLst/>
                    </a:prstGeom>
                  </pic:spPr>
                </pic:pic>
              </a:graphicData>
            </a:graphic>
          </wp:anchor>
        </w:drawing>
      </w:r>
      <w:r w:rsidRPr="00354A11">
        <w:rPr>
          <w:b/>
          <w:bCs/>
          <w:lang w:val="en"/>
        </w:rPr>
        <w:t>Figure 2</w:t>
      </w:r>
      <w:r>
        <w:rPr>
          <w:b/>
          <w:bCs/>
          <w:lang w:val="en"/>
        </w:rPr>
        <w:t>:</w:t>
      </w:r>
      <w:r w:rsidRPr="00354A11">
        <w:rPr>
          <w:b/>
          <w:bCs/>
          <w:lang w:val="en"/>
        </w:rPr>
        <w:t xml:space="preserve"> Proposed change in the market structure</w:t>
      </w:r>
    </w:p>
    <w:p w14:paraId="5054704D" w14:textId="50383F50" w:rsidR="00E56334" w:rsidRDefault="00AB3663" w:rsidP="00E56334">
      <w:pPr>
        <w:rPr>
          <w:rtl/>
          <w:lang w:val="en"/>
        </w:rPr>
      </w:pPr>
      <w:r>
        <w:rPr>
          <w:rtl/>
          <w:lang w:val="en"/>
        </w:rPr>
        <w:tab/>
      </w:r>
    </w:p>
    <w:p w14:paraId="52651383" w14:textId="77DB5AD3" w:rsidR="00E56334" w:rsidRDefault="00E56334" w:rsidP="000A3E0D">
      <w:pPr>
        <w:bidi w:val="0"/>
        <w:jc w:val="both"/>
        <w:rPr>
          <w:rFonts w:asciiTheme="majorBidi" w:hAnsiTheme="majorBidi" w:cstheme="majorBidi"/>
          <w:color w:val="0D0D0D"/>
          <w:shd w:val="clear" w:color="auto" w:fill="FFFFFF"/>
        </w:rPr>
      </w:pPr>
      <w:r w:rsidRPr="000A3E0D">
        <w:rPr>
          <w:rFonts w:asciiTheme="majorBidi" w:hAnsiTheme="majorBidi" w:cstheme="majorBidi"/>
          <w:color w:val="0D0D0D"/>
          <w:shd w:val="clear" w:color="auto" w:fill="FFFFFF"/>
        </w:rPr>
        <w:t>In a study by Daniel Nat</w:t>
      </w:r>
      <w:r w:rsidR="00AC37CB">
        <w:rPr>
          <w:rFonts w:asciiTheme="majorBidi" w:hAnsiTheme="majorBidi" w:cstheme="majorBidi"/>
          <w:color w:val="0D0D0D"/>
          <w:shd w:val="clear" w:color="auto" w:fill="FFFFFF"/>
        </w:rPr>
        <w:t>h</w:t>
      </w:r>
      <w:r w:rsidRPr="000A3E0D">
        <w:rPr>
          <w:rFonts w:asciiTheme="majorBidi" w:hAnsiTheme="majorBidi" w:cstheme="majorBidi"/>
          <w:color w:val="0D0D0D"/>
          <w:shd w:val="clear" w:color="auto" w:fill="FFFFFF"/>
        </w:rPr>
        <w:t xml:space="preserve">an and Ari Kutai from the Bank of Israel's Research Division, along with Milena Wittwer from Boston College, the researchers leverage the unique characteristic of the Israeli government bond market, where trading occurs on an exchange, to explore whether and why trading on an exchange influences market liquidity during times of crisis. The study employs a difference-in-differences approach to examine bid-ask spreads across various markets. These include markets traded on exchanges—such as global stock markets, the bond market in Israel, and the Treasury futures market in the US—and markets traded </w:t>
      </w:r>
      <w:r w:rsidR="000E7EA7">
        <w:rPr>
          <w:rFonts w:asciiTheme="majorBidi" w:hAnsiTheme="majorBidi" w:cstheme="majorBidi"/>
          <w:color w:val="0D0D0D"/>
          <w:shd w:val="clear" w:color="auto" w:fill="FFFFFF"/>
        </w:rPr>
        <w:t>OTC</w:t>
      </w:r>
      <w:r w:rsidRPr="000A3E0D">
        <w:rPr>
          <w:rFonts w:asciiTheme="majorBidi" w:hAnsiTheme="majorBidi" w:cstheme="majorBidi"/>
          <w:color w:val="0D0D0D"/>
          <w:shd w:val="clear" w:color="auto" w:fill="FFFFFF"/>
        </w:rPr>
        <w:t>, like the government bond markets in the US, Germany, Japan, and England. This comparison sheds light on the impact of the trading platform on market liquidity, especially in a crisis.</w:t>
      </w:r>
    </w:p>
    <w:p w14:paraId="0CB810FA" w14:textId="77777777" w:rsidR="000A3E0D" w:rsidRPr="000A3E0D" w:rsidRDefault="000A3E0D" w:rsidP="000A3E0D">
      <w:pPr>
        <w:bidi w:val="0"/>
        <w:jc w:val="both"/>
        <w:rPr>
          <w:rFonts w:asciiTheme="majorBidi" w:hAnsiTheme="majorBidi" w:cstheme="majorBidi"/>
          <w:color w:val="0D0D0D"/>
          <w:shd w:val="clear" w:color="auto" w:fill="FFFFFF"/>
        </w:rPr>
      </w:pPr>
    </w:p>
    <w:p w14:paraId="0AAA64C1" w14:textId="77777777" w:rsidR="00E56334" w:rsidRPr="000A3E0D" w:rsidRDefault="00E56334" w:rsidP="000A3E0D">
      <w:pPr>
        <w:bidi w:val="0"/>
        <w:jc w:val="both"/>
        <w:rPr>
          <w:rFonts w:asciiTheme="majorBidi" w:hAnsiTheme="majorBidi" w:cstheme="majorBidi"/>
          <w:color w:val="0D0D0D"/>
          <w:shd w:val="clear" w:color="auto" w:fill="FFFFFF"/>
        </w:rPr>
      </w:pPr>
      <w:r w:rsidRPr="000A3E0D">
        <w:rPr>
          <w:rFonts w:asciiTheme="majorBidi" w:hAnsiTheme="majorBidi" w:cstheme="majorBidi"/>
          <w:color w:val="0D0D0D"/>
          <w:shd w:val="clear" w:color="auto" w:fill="FFFFFF"/>
        </w:rPr>
        <w:t>Their research suggests that trading on an exchange significantly enhances liquidity during times of crisis. Initially, the researchers analyzed the differences in the bid-ask spreads between bonds and stocks across Israel and other countries (the US, Germany, Japan, and England) while accounting for country and trading-day fixed effects. They find that the spreads on Israeli bonds were 20%-50% lower than those in the mentioned countries. Additionally, when comparing the spreads in the US Treasury futures market, which trade on an exchange, with those in the US Treasury bond market (traded over the counter), they observe that the spreads in the futures market were 63%-66% lower.</w:t>
      </w:r>
    </w:p>
    <w:p w14:paraId="458DEC9C" w14:textId="77777777" w:rsidR="00DE2222" w:rsidRDefault="00DE2222" w:rsidP="000A3E0D">
      <w:pPr>
        <w:bidi w:val="0"/>
        <w:jc w:val="both"/>
        <w:rPr>
          <w:rFonts w:asciiTheme="majorBidi" w:hAnsiTheme="majorBidi" w:cstheme="majorBidi"/>
          <w:color w:val="0D0D0D"/>
          <w:shd w:val="clear" w:color="auto" w:fill="FFFFFF"/>
        </w:rPr>
      </w:pPr>
    </w:p>
    <w:p w14:paraId="45E803A0" w14:textId="17E19E98" w:rsidR="00E56334" w:rsidRDefault="00E56334" w:rsidP="00DE2222">
      <w:pPr>
        <w:bidi w:val="0"/>
        <w:jc w:val="both"/>
        <w:rPr>
          <w:rFonts w:asciiTheme="majorBidi" w:hAnsiTheme="majorBidi" w:cstheme="majorBidi"/>
          <w:color w:val="0D0D0D"/>
          <w:shd w:val="clear" w:color="auto" w:fill="FFFFFF"/>
        </w:rPr>
      </w:pPr>
      <w:r w:rsidRPr="000A3E0D">
        <w:rPr>
          <w:rFonts w:asciiTheme="majorBidi" w:hAnsiTheme="majorBidi" w:cstheme="majorBidi"/>
          <w:color w:val="0D0D0D"/>
          <w:shd w:val="clear" w:color="auto" w:fill="FFFFFF"/>
        </w:rPr>
        <w:t>In Israel, the study also takes advantage of large transactions being executed over the counter to minimize price impact. They find that the spreads in the Israeli bond market, when traded on the exchange, increased by 53%-63% less than those traded off the exchange. This analysis underscores the potential benefits of exchange trading in maintaining or enhancing market liquidity, especially during financial crises. Although there may be alternative explanations for each of the results obtained separately, the consistency in the results across a series of different analyses strengthens the assessment that differences in the trading mechanism indeed explain the differences.</w:t>
      </w:r>
    </w:p>
    <w:p w14:paraId="0CB40F51" w14:textId="77777777" w:rsidR="001327ED" w:rsidRPr="000A3E0D" w:rsidRDefault="001327ED" w:rsidP="001327ED">
      <w:pPr>
        <w:bidi w:val="0"/>
        <w:rPr>
          <w:rFonts w:asciiTheme="majorBidi" w:hAnsiTheme="majorBidi" w:cstheme="majorBidi"/>
          <w:color w:val="0D0D0D"/>
          <w:shd w:val="clear" w:color="auto" w:fill="FFFFFF"/>
        </w:rPr>
      </w:pPr>
    </w:p>
    <w:p w14:paraId="6A920892" w14:textId="70DFDDD9" w:rsidR="00E56334" w:rsidRPr="000A3E0D" w:rsidRDefault="00E56334" w:rsidP="00B10BFF">
      <w:pPr>
        <w:bidi w:val="0"/>
        <w:jc w:val="both"/>
        <w:rPr>
          <w:rFonts w:asciiTheme="majorBidi" w:hAnsiTheme="majorBidi" w:cstheme="majorBidi"/>
          <w:b/>
          <w:bCs/>
          <w:sz w:val="32"/>
          <w:szCs w:val="32"/>
        </w:rPr>
      </w:pPr>
      <w:r w:rsidRPr="000A3E0D">
        <w:rPr>
          <w:rFonts w:asciiTheme="majorBidi" w:hAnsiTheme="majorBidi" w:cstheme="majorBidi"/>
          <w:color w:val="0D0D0D"/>
          <w:shd w:val="clear" w:color="auto" w:fill="FFFFFF"/>
        </w:rPr>
        <w:t xml:space="preserve">In the final part of the study, the researchers look at two critical characteristics of an exchange that may promote liquidity. First, on an exchange, everyone can trade with everyone (an all-to-all trading mechanism). Therefore, investors can provide liquidity to each other if dealers cannot or do not wish to provide liquidity. Second, trading is done on a central clearing platform. Therefore, immediate netting of liabilities is possible, leading to more efficient trading with a lower clearing risk, which frees resources from the dealers' financial balance. These two aspects played a central role in Israel. Without these characteristics, the authors calculate that Israeli banks (which act as dealers) would have been forced to absorb liabilities of 2.8 billion shekels instead of </w:t>
      </w:r>
      <w:r w:rsidRPr="000A3E0D">
        <w:rPr>
          <w:rFonts w:asciiTheme="majorBidi" w:hAnsiTheme="majorBidi" w:cstheme="majorBidi"/>
          <w:color w:val="0D0D0D"/>
          <w:shd w:val="clear" w:color="auto" w:fill="FFFFFF"/>
        </w:rPr>
        <w:lastRenderedPageBreak/>
        <w:t>0.6 billion, as occurred. The result indicates that in the alternative situation (i.e., no exchange), Israeli banks would have encountered a difficulty like that experienced by the US banks, who could not absorb the entire massive flow of sales that occurred.</w:t>
      </w:r>
    </w:p>
    <w:p w14:paraId="7BB8277F" w14:textId="77777777" w:rsidR="00E66CE4" w:rsidRPr="000A3E0D" w:rsidRDefault="00E66CE4" w:rsidP="000A3E0D">
      <w:pPr>
        <w:bidi w:val="0"/>
        <w:jc w:val="center"/>
        <w:rPr>
          <w:rFonts w:asciiTheme="majorBidi" w:hAnsiTheme="majorBidi" w:cstheme="majorBidi"/>
          <w:b/>
          <w:bCs/>
        </w:rPr>
      </w:pPr>
    </w:p>
    <w:sectPr w:rsidR="00E66CE4" w:rsidRPr="000A3E0D" w:rsidSect="00D114C9">
      <w:headerReference w:type="even" r:id="rId11"/>
      <w:headerReference w:type="default" r:id="rId12"/>
      <w:footerReference w:type="even" r:id="rId13"/>
      <w:footerReference w:type="default" r:id="rId14"/>
      <w:headerReference w:type="first" r:id="rId15"/>
      <w:footerReference w:type="first" r:id="rId16"/>
      <w:pgSz w:w="11906" w:h="16838"/>
      <w:pgMar w:top="510" w:right="1797" w:bottom="624" w:left="1797" w:header="39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8AEE8" w14:textId="77777777" w:rsidR="00853FBB" w:rsidRDefault="00853FBB" w:rsidP="00E64B36">
      <w:r>
        <w:separator/>
      </w:r>
    </w:p>
  </w:endnote>
  <w:endnote w:type="continuationSeparator" w:id="0">
    <w:p w14:paraId="16AD6D6E" w14:textId="77777777" w:rsidR="00853FBB" w:rsidRDefault="00853FBB"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E2D6C" w14:textId="77777777" w:rsidR="0046455D" w:rsidRDefault="00464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EC4EC" w14:textId="11E1E165" w:rsidR="00B96022" w:rsidRPr="00986270" w:rsidRDefault="00986270" w:rsidP="00EB0782">
    <w:pPr>
      <w:bidi w:val="0"/>
      <w:ind w:right="-52"/>
      <w:rPr>
        <w:b/>
        <w:bCs/>
        <w:sz w:val="26"/>
        <w:szCs w:val="26"/>
        <w:u w:val="single"/>
        <w:rtl/>
        <w:cs/>
      </w:rPr>
    </w:pPr>
    <w:r w:rsidRPr="00986270">
      <w:rPr>
        <w:sz w:val="18"/>
        <w:szCs w:val="18"/>
      </w:rPr>
      <w:t>Bank of Israel</w:t>
    </w:r>
    <w:r>
      <w:rPr>
        <w:sz w:val="18"/>
        <w:szCs w:val="18"/>
      </w:rPr>
      <w:tab/>
    </w:r>
    <w:r w:rsidR="00596FB4" w:rsidRPr="00CD0A35">
      <w:rPr>
        <w:sz w:val="18"/>
        <w:szCs w:val="18"/>
      </w:rPr>
      <w:tab/>
    </w:r>
    <w:r w:rsidR="00B96022" w:rsidRPr="00CD0A35">
      <w:rPr>
        <w:sz w:val="18"/>
        <w:szCs w:val="18"/>
      </w:rPr>
      <w:t>Page</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PAGE</w:instrText>
    </w:r>
    <w:r w:rsidR="00B96022" w:rsidRPr="00CD0A35">
      <w:rPr>
        <w:b/>
        <w:bCs/>
        <w:sz w:val="18"/>
        <w:szCs w:val="18"/>
      </w:rPr>
      <w:fldChar w:fldCharType="separate"/>
    </w:r>
    <w:r w:rsidR="007B5983">
      <w:rPr>
        <w:b/>
        <w:bCs/>
        <w:noProof/>
        <w:sz w:val="18"/>
        <w:szCs w:val="18"/>
      </w:rPr>
      <w:t>1</w:t>
    </w:r>
    <w:r w:rsidR="00B96022" w:rsidRPr="00CD0A35">
      <w:rPr>
        <w:b/>
        <w:bCs/>
        <w:sz w:val="18"/>
        <w:szCs w:val="18"/>
      </w:rPr>
      <w:fldChar w:fldCharType="end"/>
    </w:r>
    <w:r w:rsidR="00B96022" w:rsidRPr="00CD0A35">
      <w:rPr>
        <w:sz w:val="18"/>
        <w:szCs w:val="18"/>
      </w:rPr>
      <w:t xml:space="preserve"> Of</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NUMPAGES</w:instrText>
    </w:r>
    <w:r w:rsidR="00B96022" w:rsidRPr="00CD0A35">
      <w:rPr>
        <w:b/>
        <w:bCs/>
        <w:sz w:val="18"/>
        <w:szCs w:val="18"/>
      </w:rPr>
      <w:fldChar w:fldCharType="separate"/>
    </w:r>
    <w:r w:rsidR="007B5983">
      <w:rPr>
        <w:b/>
        <w:bCs/>
        <w:noProof/>
        <w:sz w:val="18"/>
        <w:szCs w:val="18"/>
      </w:rPr>
      <w:t>3</w:t>
    </w:r>
    <w:r w:rsidR="00B96022" w:rsidRPr="00CD0A35">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AFF4C" w14:textId="77777777" w:rsidR="0046455D" w:rsidRDefault="00464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B74CE" w14:textId="77777777" w:rsidR="00853FBB" w:rsidRDefault="00853FBB" w:rsidP="00E64B36">
      <w:r>
        <w:separator/>
      </w:r>
    </w:p>
  </w:footnote>
  <w:footnote w:type="continuationSeparator" w:id="0">
    <w:p w14:paraId="36AE1753" w14:textId="77777777" w:rsidR="00853FBB" w:rsidRDefault="00853FBB" w:rsidP="00E6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B899B" w14:textId="77777777" w:rsidR="0046455D" w:rsidRDefault="00464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5EBAC" w14:textId="77777777" w:rsidR="0046455D" w:rsidRDefault="004645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696EA" w14:textId="77777777" w:rsidR="0046455D" w:rsidRDefault="00464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26"/>
    <w:multiLevelType w:val="hybridMultilevel"/>
    <w:tmpl w:val="A40E2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C2510"/>
    <w:multiLevelType w:val="hybridMultilevel"/>
    <w:tmpl w:val="39388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D6ED9"/>
    <w:multiLevelType w:val="hybridMultilevel"/>
    <w:tmpl w:val="9B741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EE03CF"/>
    <w:multiLevelType w:val="hybridMultilevel"/>
    <w:tmpl w:val="710C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FCF55FD"/>
    <w:multiLevelType w:val="hybridMultilevel"/>
    <w:tmpl w:val="1CF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99796A"/>
    <w:multiLevelType w:val="hybridMultilevel"/>
    <w:tmpl w:val="E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Theme"/>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I0Mjc1NDc0BkIzYyUdpeDU4uLM/DyQAsNaAGCt/4QsAAAA"/>
  </w:docVars>
  <w:rsids>
    <w:rsidRoot w:val="005462D0"/>
    <w:rsid w:val="00000A06"/>
    <w:rsid w:val="00007FFE"/>
    <w:rsid w:val="0001385E"/>
    <w:rsid w:val="0001413F"/>
    <w:rsid w:val="00022DA8"/>
    <w:rsid w:val="00033569"/>
    <w:rsid w:val="00051247"/>
    <w:rsid w:val="000526A0"/>
    <w:rsid w:val="0005726E"/>
    <w:rsid w:val="00065D9C"/>
    <w:rsid w:val="000A3E0D"/>
    <w:rsid w:val="000A520E"/>
    <w:rsid w:val="000C0DD6"/>
    <w:rsid w:val="000C36EA"/>
    <w:rsid w:val="000C710C"/>
    <w:rsid w:val="000D4E65"/>
    <w:rsid w:val="000E7EA7"/>
    <w:rsid w:val="000F48F6"/>
    <w:rsid w:val="000F4BF2"/>
    <w:rsid w:val="001001A2"/>
    <w:rsid w:val="00101B55"/>
    <w:rsid w:val="00130245"/>
    <w:rsid w:val="001327ED"/>
    <w:rsid w:val="001428C4"/>
    <w:rsid w:val="00143F3A"/>
    <w:rsid w:val="00151D84"/>
    <w:rsid w:val="00160B25"/>
    <w:rsid w:val="00162F5E"/>
    <w:rsid w:val="00165CB6"/>
    <w:rsid w:val="00175CDA"/>
    <w:rsid w:val="001815E1"/>
    <w:rsid w:val="00182CF0"/>
    <w:rsid w:val="001963C6"/>
    <w:rsid w:val="001A4816"/>
    <w:rsid w:val="001B4E73"/>
    <w:rsid w:val="001C1BC1"/>
    <w:rsid w:val="001C388F"/>
    <w:rsid w:val="001C71E8"/>
    <w:rsid w:val="001D381C"/>
    <w:rsid w:val="001F57DE"/>
    <w:rsid w:val="00202E77"/>
    <w:rsid w:val="002117DC"/>
    <w:rsid w:val="0021327F"/>
    <w:rsid w:val="002235F5"/>
    <w:rsid w:val="002271A2"/>
    <w:rsid w:val="00237CE5"/>
    <w:rsid w:val="00247387"/>
    <w:rsid w:val="00252C62"/>
    <w:rsid w:val="00273AE1"/>
    <w:rsid w:val="00281C70"/>
    <w:rsid w:val="00283FB7"/>
    <w:rsid w:val="0029640A"/>
    <w:rsid w:val="00297100"/>
    <w:rsid w:val="002A0D2A"/>
    <w:rsid w:val="002B48CC"/>
    <w:rsid w:val="002C6A25"/>
    <w:rsid w:val="002E71BE"/>
    <w:rsid w:val="002F4149"/>
    <w:rsid w:val="002F7EEF"/>
    <w:rsid w:val="0030279B"/>
    <w:rsid w:val="003129D6"/>
    <w:rsid w:val="003136EE"/>
    <w:rsid w:val="00321832"/>
    <w:rsid w:val="00322C28"/>
    <w:rsid w:val="003276ED"/>
    <w:rsid w:val="003365E0"/>
    <w:rsid w:val="00344E60"/>
    <w:rsid w:val="00360B5C"/>
    <w:rsid w:val="00364AF8"/>
    <w:rsid w:val="00364C08"/>
    <w:rsid w:val="00371527"/>
    <w:rsid w:val="003727EE"/>
    <w:rsid w:val="003772AF"/>
    <w:rsid w:val="00385CB3"/>
    <w:rsid w:val="00387840"/>
    <w:rsid w:val="0039059D"/>
    <w:rsid w:val="00390CA5"/>
    <w:rsid w:val="003A1AC9"/>
    <w:rsid w:val="003A335C"/>
    <w:rsid w:val="003A3813"/>
    <w:rsid w:val="003B4DD7"/>
    <w:rsid w:val="003B715F"/>
    <w:rsid w:val="003B7DC3"/>
    <w:rsid w:val="003C7815"/>
    <w:rsid w:val="003D6642"/>
    <w:rsid w:val="003D6F31"/>
    <w:rsid w:val="003D7860"/>
    <w:rsid w:val="003D7BF1"/>
    <w:rsid w:val="003E3F4C"/>
    <w:rsid w:val="003F745D"/>
    <w:rsid w:val="00401395"/>
    <w:rsid w:val="004033B8"/>
    <w:rsid w:val="00403D99"/>
    <w:rsid w:val="00411BA4"/>
    <w:rsid w:val="00412846"/>
    <w:rsid w:val="00413339"/>
    <w:rsid w:val="004147FC"/>
    <w:rsid w:val="0042309E"/>
    <w:rsid w:val="00430365"/>
    <w:rsid w:val="004309C6"/>
    <w:rsid w:val="00443044"/>
    <w:rsid w:val="00445B15"/>
    <w:rsid w:val="00447E5A"/>
    <w:rsid w:val="0046455D"/>
    <w:rsid w:val="0046672E"/>
    <w:rsid w:val="00474107"/>
    <w:rsid w:val="00482E08"/>
    <w:rsid w:val="00492391"/>
    <w:rsid w:val="004A159D"/>
    <w:rsid w:val="004A20A5"/>
    <w:rsid w:val="004D02F4"/>
    <w:rsid w:val="004D32A7"/>
    <w:rsid w:val="004D5D6F"/>
    <w:rsid w:val="004E25DD"/>
    <w:rsid w:val="004E4AEC"/>
    <w:rsid w:val="004F4341"/>
    <w:rsid w:val="0050183E"/>
    <w:rsid w:val="00511D18"/>
    <w:rsid w:val="00513B3C"/>
    <w:rsid w:val="005165DB"/>
    <w:rsid w:val="005221FC"/>
    <w:rsid w:val="005406F8"/>
    <w:rsid w:val="00540B03"/>
    <w:rsid w:val="005462D0"/>
    <w:rsid w:val="0055455A"/>
    <w:rsid w:val="00555C8A"/>
    <w:rsid w:val="005576E1"/>
    <w:rsid w:val="00566FAC"/>
    <w:rsid w:val="00567733"/>
    <w:rsid w:val="005713A8"/>
    <w:rsid w:val="00583DAD"/>
    <w:rsid w:val="0059277F"/>
    <w:rsid w:val="00592A99"/>
    <w:rsid w:val="00596FB4"/>
    <w:rsid w:val="00597EED"/>
    <w:rsid w:val="005A2991"/>
    <w:rsid w:val="005D0AF8"/>
    <w:rsid w:val="005F3A83"/>
    <w:rsid w:val="005F3E47"/>
    <w:rsid w:val="0060215A"/>
    <w:rsid w:val="0061692C"/>
    <w:rsid w:val="006216F9"/>
    <w:rsid w:val="00621BB5"/>
    <w:rsid w:val="0062658F"/>
    <w:rsid w:val="00640EEA"/>
    <w:rsid w:val="0064482B"/>
    <w:rsid w:val="00652D53"/>
    <w:rsid w:val="00662FB1"/>
    <w:rsid w:val="0067516F"/>
    <w:rsid w:val="006832D0"/>
    <w:rsid w:val="006A36CC"/>
    <w:rsid w:val="006A66C5"/>
    <w:rsid w:val="006B029C"/>
    <w:rsid w:val="006B4683"/>
    <w:rsid w:val="006B5BA9"/>
    <w:rsid w:val="006B679C"/>
    <w:rsid w:val="006C714C"/>
    <w:rsid w:val="006D3582"/>
    <w:rsid w:val="006D7651"/>
    <w:rsid w:val="006E1B6A"/>
    <w:rsid w:val="0070010B"/>
    <w:rsid w:val="0070029F"/>
    <w:rsid w:val="00701734"/>
    <w:rsid w:val="00721560"/>
    <w:rsid w:val="00726036"/>
    <w:rsid w:val="0074341E"/>
    <w:rsid w:val="00751F08"/>
    <w:rsid w:val="00760371"/>
    <w:rsid w:val="007666A8"/>
    <w:rsid w:val="00776535"/>
    <w:rsid w:val="007806C5"/>
    <w:rsid w:val="00786563"/>
    <w:rsid w:val="00787142"/>
    <w:rsid w:val="007926C7"/>
    <w:rsid w:val="00793399"/>
    <w:rsid w:val="007A2030"/>
    <w:rsid w:val="007A589B"/>
    <w:rsid w:val="007A64CC"/>
    <w:rsid w:val="007B2769"/>
    <w:rsid w:val="007B5983"/>
    <w:rsid w:val="007C6400"/>
    <w:rsid w:val="007D57EE"/>
    <w:rsid w:val="007E0C1F"/>
    <w:rsid w:val="007E1CB3"/>
    <w:rsid w:val="007F7993"/>
    <w:rsid w:val="0081026B"/>
    <w:rsid w:val="00830099"/>
    <w:rsid w:val="008403F1"/>
    <w:rsid w:val="00842057"/>
    <w:rsid w:val="00842BAF"/>
    <w:rsid w:val="00853FBB"/>
    <w:rsid w:val="0086005B"/>
    <w:rsid w:val="00864C55"/>
    <w:rsid w:val="0086637C"/>
    <w:rsid w:val="00884167"/>
    <w:rsid w:val="008914B1"/>
    <w:rsid w:val="00892A46"/>
    <w:rsid w:val="008A0339"/>
    <w:rsid w:val="008A7212"/>
    <w:rsid w:val="008B2431"/>
    <w:rsid w:val="008B257A"/>
    <w:rsid w:val="008C082F"/>
    <w:rsid w:val="008C366C"/>
    <w:rsid w:val="008D390B"/>
    <w:rsid w:val="008D6FB6"/>
    <w:rsid w:val="008E38F1"/>
    <w:rsid w:val="008E4D8E"/>
    <w:rsid w:val="008F17A3"/>
    <w:rsid w:val="008F1FCF"/>
    <w:rsid w:val="00900453"/>
    <w:rsid w:val="00904100"/>
    <w:rsid w:val="0090462E"/>
    <w:rsid w:val="00905463"/>
    <w:rsid w:val="0091307F"/>
    <w:rsid w:val="00933EF4"/>
    <w:rsid w:val="0093574D"/>
    <w:rsid w:val="00961BD6"/>
    <w:rsid w:val="0097278E"/>
    <w:rsid w:val="009744A0"/>
    <w:rsid w:val="00976781"/>
    <w:rsid w:val="00986270"/>
    <w:rsid w:val="009B166B"/>
    <w:rsid w:val="009B66C8"/>
    <w:rsid w:val="009C21B3"/>
    <w:rsid w:val="009C2C42"/>
    <w:rsid w:val="009E3D4E"/>
    <w:rsid w:val="009E6A28"/>
    <w:rsid w:val="009F010F"/>
    <w:rsid w:val="009F3FB7"/>
    <w:rsid w:val="00A117D2"/>
    <w:rsid w:val="00A17420"/>
    <w:rsid w:val="00A239A7"/>
    <w:rsid w:val="00A3549C"/>
    <w:rsid w:val="00A374AC"/>
    <w:rsid w:val="00A37869"/>
    <w:rsid w:val="00A44A88"/>
    <w:rsid w:val="00A72122"/>
    <w:rsid w:val="00A74752"/>
    <w:rsid w:val="00A749E1"/>
    <w:rsid w:val="00A81B6C"/>
    <w:rsid w:val="00A94775"/>
    <w:rsid w:val="00A962CF"/>
    <w:rsid w:val="00AB3663"/>
    <w:rsid w:val="00AB75B4"/>
    <w:rsid w:val="00AC37CB"/>
    <w:rsid w:val="00AC72A0"/>
    <w:rsid w:val="00AC74EC"/>
    <w:rsid w:val="00AD7CC8"/>
    <w:rsid w:val="00AE6E25"/>
    <w:rsid w:val="00AF6B3A"/>
    <w:rsid w:val="00B054AD"/>
    <w:rsid w:val="00B108AE"/>
    <w:rsid w:val="00B10BFF"/>
    <w:rsid w:val="00B13C9D"/>
    <w:rsid w:val="00B2426C"/>
    <w:rsid w:val="00B40E49"/>
    <w:rsid w:val="00B533D5"/>
    <w:rsid w:val="00B54F09"/>
    <w:rsid w:val="00B60978"/>
    <w:rsid w:val="00B71972"/>
    <w:rsid w:val="00B84789"/>
    <w:rsid w:val="00B85769"/>
    <w:rsid w:val="00B87F00"/>
    <w:rsid w:val="00B9176B"/>
    <w:rsid w:val="00B96022"/>
    <w:rsid w:val="00BC113A"/>
    <w:rsid w:val="00BC71FF"/>
    <w:rsid w:val="00BD0FFD"/>
    <w:rsid w:val="00BE27B4"/>
    <w:rsid w:val="00BE4CAF"/>
    <w:rsid w:val="00BE52BF"/>
    <w:rsid w:val="00C00BB8"/>
    <w:rsid w:val="00C02233"/>
    <w:rsid w:val="00C05BED"/>
    <w:rsid w:val="00C06B06"/>
    <w:rsid w:val="00C106C2"/>
    <w:rsid w:val="00C15121"/>
    <w:rsid w:val="00C171FF"/>
    <w:rsid w:val="00C21009"/>
    <w:rsid w:val="00C21363"/>
    <w:rsid w:val="00C2294B"/>
    <w:rsid w:val="00C24275"/>
    <w:rsid w:val="00C37129"/>
    <w:rsid w:val="00C47A56"/>
    <w:rsid w:val="00C52224"/>
    <w:rsid w:val="00C52FC2"/>
    <w:rsid w:val="00C5755A"/>
    <w:rsid w:val="00C67CE0"/>
    <w:rsid w:val="00C74F11"/>
    <w:rsid w:val="00C7643D"/>
    <w:rsid w:val="00C76E10"/>
    <w:rsid w:val="00CB5D78"/>
    <w:rsid w:val="00CC58F8"/>
    <w:rsid w:val="00CD0A35"/>
    <w:rsid w:val="00CD5F91"/>
    <w:rsid w:val="00CD6927"/>
    <w:rsid w:val="00CE0B40"/>
    <w:rsid w:val="00D040A2"/>
    <w:rsid w:val="00D114C9"/>
    <w:rsid w:val="00D13C47"/>
    <w:rsid w:val="00D15550"/>
    <w:rsid w:val="00D21685"/>
    <w:rsid w:val="00D318A3"/>
    <w:rsid w:val="00D326DC"/>
    <w:rsid w:val="00D353EC"/>
    <w:rsid w:val="00D354E8"/>
    <w:rsid w:val="00D44122"/>
    <w:rsid w:val="00D554DA"/>
    <w:rsid w:val="00D60BFC"/>
    <w:rsid w:val="00D60FF3"/>
    <w:rsid w:val="00D655F5"/>
    <w:rsid w:val="00D67C46"/>
    <w:rsid w:val="00D70591"/>
    <w:rsid w:val="00D75CFB"/>
    <w:rsid w:val="00D77847"/>
    <w:rsid w:val="00D907A2"/>
    <w:rsid w:val="00DA6116"/>
    <w:rsid w:val="00DD195D"/>
    <w:rsid w:val="00DD4976"/>
    <w:rsid w:val="00DE01A0"/>
    <w:rsid w:val="00DE0699"/>
    <w:rsid w:val="00DE2222"/>
    <w:rsid w:val="00DF4CC2"/>
    <w:rsid w:val="00DF6966"/>
    <w:rsid w:val="00E04222"/>
    <w:rsid w:val="00E0503C"/>
    <w:rsid w:val="00E1281F"/>
    <w:rsid w:val="00E16FFB"/>
    <w:rsid w:val="00E2493A"/>
    <w:rsid w:val="00E369B9"/>
    <w:rsid w:val="00E4365F"/>
    <w:rsid w:val="00E50F50"/>
    <w:rsid w:val="00E51E99"/>
    <w:rsid w:val="00E56334"/>
    <w:rsid w:val="00E64B36"/>
    <w:rsid w:val="00E660F1"/>
    <w:rsid w:val="00E66CE4"/>
    <w:rsid w:val="00E7204F"/>
    <w:rsid w:val="00E74DBF"/>
    <w:rsid w:val="00E8008F"/>
    <w:rsid w:val="00E833F2"/>
    <w:rsid w:val="00E8413B"/>
    <w:rsid w:val="00E85DB1"/>
    <w:rsid w:val="00EB0782"/>
    <w:rsid w:val="00EB0DEC"/>
    <w:rsid w:val="00EB44F5"/>
    <w:rsid w:val="00EB669A"/>
    <w:rsid w:val="00EC126C"/>
    <w:rsid w:val="00EC13FB"/>
    <w:rsid w:val="00EC48D4"/>
    <w:rsid w:val="00ED5226"/>
    <w:rsid w:val="00EE2AA0"/>
    <w:rsid w:val="00EE3596"/>
    <w:rsid w:val="00EF1554"/>
    <w:rsid w:val="00EF1AC2"/>
    <w:rsid w:val="00F033FC"/>
    <w:rsid w:val="00F10FDF"/>
    <w:rsid w:val="00F15E93"/>
    <w:rsid w:val="00F45181"/>
    <w:rsid w:val="00F45972"/>
    <w:rsid w:val="00F53236"/>
    <w:rsid w:val="00F56917"/>
    <w:rsid w:val="00F576F6"/>
    <w:rsid w:val="00F806F6"/>
    <w:rsid w:val="00FA13BA"/>
    <w:rsid w:val="00FA4548"/>
    <w:rsid w:val="00FC2A67"/>
    <w:rsid w:val="00FD2A53"/>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91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2AF"/>
    <w:pPr>
      <w:bidi/>
    </w:pPr>
    <w:rPr>
      <w:sz w:val="24"/>
      <w:szCs w:val="24"/>
    </w:rPr>
  </w:style>
  <w:style w:type="paragraph" w:styleId="Heading1">
    <w:name w:val="heading 1"/>
    <w:basedOn w:val="Normal"/>
    <w:next w:val="Normal"/>
    <w:qFormat/>
    <w:rsid w:val="0081026B"/>
    <w:pPr>
      <w:keepNext/>
      <w:spacing w:before="240" w:after="60"/>
      <w:outlineLvl w:val="0"/>
    </w:pPr>
    <w:rPr>
      <w:b/>
      <w:bCs/>
      <w:kern w:val="32"/>
      <w:sz w:val="32"/>
      <w:szCs w:val="32"/>
    </w:rPr>
  </w:style>
  <w:style w:type="paragraph" w:styleId="Heading2">
    <w:name w:val="heading 2"/>
    <w:basedOn w:val="Normal"/>
    <w:next w:val="Normal"/>
    <w:qFormat/>
    <w:rsid w:val="0081026B"/>
    <w:pPr>
      <w:keepNext/>
      <w:spacing w:before="240" w:after="60"/>
      <w:outlineLvl w:val="1"/>
    </w:pPr>
    <w:rPr>
      <w:b/>
      <w:bCs/>
      <w:i/>
      <w:iCs/>
      <w:sz w:val="28"/>
      <w:szCs w:val="28"/>
    </w:rPr>
  </w:style>
  <w:style w:type="paragraph" w:styleId="Heading3">
    <w:name w:val="heading 3"/>
    <w:basedOn w:val="Normal"/>
    <w:next w:val="Normal"/>
    <w:qFormat/>
    <w:rsid w:val="0081026B"/>
    <w:pPr>
      <w:keepNext/>
      <w:spacing w:before="240" w:after="60"/>
      <w:outlineLvl w:val="2"/>
    </w:pPr>
    <w:rPr>
      <w:b/>
      <w:bCs/>
      <w:sz w:val="26"/>
      <w:szCs w:val="26"/>
    </w:rPr>
  </w:style>
  <w:style w:type="paragraph" w:styleId="Heading4">
    <w:name w:val="heading 4"/>
    <w:basedOn w:val="Normal"/>
    <w:next w:val="Normal"/>
    <w:qFormat/>
    <w:rsid w:val="0081026B"/>
    <w:pPr>
      <w:keepNext/>
      <w:spacing w:before="240" w:after="60"/>
      <w:outlineLvl w:val="3"/>
    </w:pPr>
    <w:rPr>
      <w:b/>
      <w:bCs/>
      <w:sz w:val="28"/>
      <w:szCs w:val="28"/>
    </w:rPr>
  </w:style>
  <w:style w:type="paragraph" w:styleId="Heading5">
    <w:name w:val="heading 5"/>
    <w:basedOn w:val="Normal"/>
    <w:next w:val="Normal"/>
    <w:qFormat/>
    <w:rsid w:val="0081026B"/>
    <w:pPr>
      <w:spacing w:before="240" w:after="60"/>
      <w:outlineLvl w:val="4"/>
    </w:pPr>
    <w:rPr>
      <w:b/>
      <w:bCs/>
      <w:i/>
      <w:iCs/>
      <w:sz w:val="26"/>
      <w:szCs w:val="26"/>
    </w:rPr>
  </w:style>
  <w:style w:type="paragraph" w:styleId="Heading6">
    <w:name w:val="heading 6"/>
    <w:basedOn w:val="Normal"/>
    <w:next w:val="Normal"/>
    <w:qFormat/>
    <w:rsid w:val="0081026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62D0"/>
    <w:pPr>
      <w:tabs>
        <w:tab w:val="center" w:pos="4153"/>
        <w:tab w:val="right" w:pos="8306"/>
      </w:tabs>
    </w:pPr>
  </w:style>
  <w:style w:type="paragraph" w:customStyle="1" w:styleId="regpar">
    <w:name w:val="regpar"/>
    <w:basedOn w:val="Normal"/>
    <w:rsid w:val="005462D0"/>
    <w:pPr>
      <w:bidi w:val="0"/>
      <w:spacing w:line="300" w:lineRule="exact"/>
      <w:ind w:firstLine="240"/>
      <w:jc w:val="both"/>
    </w:pPr>
    <w:rPr>
      <w:rFonts w:ascii="Times" w:hAnsi="Times" w:cs="Times"/>
    </w:rPr>
  </w:style>
  <w:style w:type="table" w:styleId="TableTheme">
    <w:name w:val="Table Theme"/>
    <w:basedOn w:val="TableNormal"/>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Footer">
    <w:name w:val="footer"/>
    <w:basedOn w:val="Normal"/>
    <w:link w:val="FooterChar"/>
    <w:uiPriority w:val="99"/>
    <w:rsid w:val="00E64B36"/>
    <w:pPr>
      <w:tabs>
        <w:tab w:val="center" w:pos="4153"/>
        <w:tab w:val="right" w:pos="8306"/>
      </w:tabs>
    </w:pPr>
  </w:style>
  <w:style w:type="character" w:customStyle="1" w:styleId="FooterChar">
    <w:name w:val="Footer Char"/>
    <w:link w:val="Footer"/>
    <w:uiPriority w:val="99"/>
    <w:rsid w:val="00E64B36"/>
    <w:rPr>
      <w:sz w:val="24"/>
      <w:szCs w:val="24"/>
    </w:rPr>
  </w:style>
  <w:style w:type="character" w:customStyle="1" w:styleId="HeaderChar">
    <w:name w:val="Header Char"/>
    <w:link w:val="Header"/>
    <w:uiPriority w:val="99"/>
    <w:rsid w:val="00E64B36"/>
    <w:rPr>
      <w:sz w:val="24"/>
      <w:szCs w:val="24"/>
    </w:rPr>
  </w:style>
  <w:style w:type="paragraph" w:styleId="BalloonText">
    <w:name w:val="Balloon Text"/>
    <w:basedOn w:val="Normal"/>
    <w:link w:val="BalloonTextChar"/>
    <w:rsid w:val="00E64B36"/>
    <w:rPr>
      <w:rFonts w:ascii="Tahoma" w:hAnsi="Tahoma" w:cs="Tahoma"/>
      <w:sz w:val="16"/>
      <w:szCs w:val="16"/>
    </w:rPr>
  </w:style>
  <w:style w:type="character" w:customStyle="1" w:styleId="BalloonTextChar">
    <w:name w:val="Balloon Text Char"/>
    <w:link w:val="BalloonText"/>
    <w:rsid w:val="00E64B36"/>
    <w:rPr>
      <w:rFonts w:ascii="Tahoma" w:hAnsi="Tahoma" w:cs="Tahoma"/>
      <w:sz w:val="16"/>
      <w:szCs w:val="16"/>
    </w:rPr>
  </w:style>
  <w:style w:type="paragraph" w:styleId="ListParagraph">
    <w:name w:val="List Paragraph"/>
    <w:basedOn w:val="Normal"/>
    <w:uiPriority w:val="34"/>
    <w:qFormat/>
    <w:rsid w:val="00961BD6"/>
    <w:pPr>
      <w:bidi w:val="0"/>
      <w:ind w:left="720"/>
      <w:contextualSpacing/>
    </w:pPr>
    <w:rPr>
      <w:rFonts w:eastAsia="Calibri" w:cs="Arial"/>
      <w:szCs w:val="22"/>
    </w:rPr>
  </w:style>
  <w:style w:type="paragraph" w:styleId="FootnoteText">
    <w:name w:val="footnote text"/>
    <w:basedOn w:val="Normal"/>
    <w:link w:val="FootnoteTextChar"/>
    <w:unhideWhenUsed/>
    <w:rsid w:val="00596FB4"/>
    <w:pPr>
      <w:bidi w:val="0"/>
      <w:spacing w:line="300" w:lineRule="exact"/>
      <w:jc w:val="both"/>
    </w:pPr>
    <w:rPr>
      <w:rFonts w:ascii="Times" w:hAnsi="Times" w:cs="Times"/>
      <w:sz w:val="20"/>
      <w:szCs w:val="20"/>
    </w:rPr>
  </w:style>
  <w:style w:type="character" w:customStyle="1" w:styleId="FootnoteTextChar">
    <w:name w:val="Footnote Text Char"/>
    <w:link w:val="FootnoteText"/>
    <w:rsid w:val="00596FB4"/>
    <w:rPr>
      <w:rFonts w:ascii="Times" w:hAnsi="Times" w:cs="Times"/>
    </w:rPr>
  </w:style>
  <w:style w:type="character" w:styleId="FootnoteReference">
    <w:name w:val="footnote reference"/>
    <w:unhideWhenUsed/>
    <w:rsid w:val="00596FB4"/>
    <w:rPr>
      <w:vertAlign w:val="superscript"/>
    </w:rPr>
  </w:style>
  <w:style w:type="paragraph" w:customStyle="1" w:styleId="PS">
    <w:name w:val="PS"/>
    <w:basedOn w:val="Normal"/>
    <w:rsid w:val="00A3549C"/>
    <w:pPr>
      <w:bidi w:val="0"/>
      <w:ind w:firstLine="432"/>
    </w:pPr>
    <w:rPr>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50B02-F289-4DFB-8221-EA30B0DC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4444</Characters>
  <Application>Microsoft Office Word</Application>
  <DocSecurity>4</DocSecurity>
  <Lines>37</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5211</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2024-04-17T10:23:00Z</dcterms:created>
  <dcterms:modified xsi:type="dcterms:W3CDTF">2024-04-17T10:23:00Z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369b6825c303eda46839e380766a4fdc0a22e0e66dbb476fe0183b8985e04d45</vt:lpwstr>
  </property>
</Properties>
</file>