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F6" w:rsidRDefault="00E665F6" w:rsidP="00DD2AC9">
      <w:pPr>
        <w:ind w:left="6180"/>
        <w:jc w:val="left"/>
        <w:rPr>
          <w:rFonts w:cs="David" w:hint="cs"/>
          <w:rtl/>
        </w:rPr>
      </w:pPr>
    </w:p>
    <w:p w:rsidR="00E665F6" w:rsidRPr="007B46AB" w:rsidRDefault="005325B5" w:rsidP="005325B5">
      <w:pPr>
        <w:ind w:left="6180"/>
        <w:jc w:val="right"/>
        <w:rPr>
          <w:rFonts w:cs="David"/>
          <w:sz w:val="22"/>
          <w:szCs w:val="22"/>
          <w:rtl/>
        </w:rPr>
      </w:pPr>
      <w:r w:rsidRPr="007B46AB">
        <w:rPr>
          <w:rFonts w:cs="David"/>
          <w:sz w:val="22"/>
          <w:szCs w:val="22"/>
          <w:rtl/>
        </w:rPr>
        <w:t>כ</w:t>
      </w:r>
      <w:r w:rsidRPr="007B46AB">
        <w:rPr>
          <w:rFonts w:cs="David" w:hint="cs"/>
          <w:sz w:val="22"/>
          <w:szCs w:val="22"/>
          <w:rtl/>
        </w:rPr>
        <w:t>'</w:t>
      </w:r>
      <w:r w:rsidR="00E665F6" w:rsidRPr="007B46AB">
        <w:rPr>
          <w:rFonts w:cs="David"/>
          <w:sz w:val="22"/>
          <w:szCs w:val="22"/>
          <w:rtl/>
        </w:rPr>
        <w:t xml:space="preserve"> בסיון </w:t>
      </w:r>
      <w:proofErr w:type="spellStart"/>
      <w:r w:rsidR="00E665F6" w:rsidRPr="007B46AB">
        <w:rPr>
          <w:rFonts w:cs="David"/>
          <w:sz w:val="22"/>
          <w:szCs w:val="22"/>
          <w:rtl/>
        </w:rPr>
        <w:t>התשע"ג</w:t>
      </w:r>
      <w:proofErr w:type="spellEnd"/>
      <w:r w:rsidR="00E665F6" w:rsidRPr="007B46AB">
        <w:rPr>
          <w:rFonts w:cs="David"/>
          <w:sz w:val="22"/>
          <w:szCs w:val="22"/>
          <w:rtl/>
        </w:rPr>
        <w:br/>
        <w:t>29 במאי 2013</w:t>
      </w:r>
    </w:p>
    <w:p w:rsidR="00E665F6" w:rsidRPr="007B46AB" w:rsidRDefault="00E665F6" w:rsidP="005325B5">
      <w:pPr>
        <w:bidi w:val="0"/>
        <w:spacing w:line="360" w:lineRule="auto"/>
        <w:rPr>
          <w:rFonts w:cs="David"/>
          <w:sz w:val="22"/>
          <w:szCs w:val="22"/>
          <w:rtl/>
        </w:rPr>
      </w:pPr>
      <w:bookmarkStart w:id="0" w:name="DocNum"/>
      <w:bookmarkStart w:id="1" w:name="Start"/>
      <w:bookmarkEnd w:id="0"/>
      <w:bookmarkEnd w:id="1"/>
      <w:r w:rsidRPr="007B46AB">
        <w:rPr>
          <w:rFonts w:cs="David"/>
          <w:sz w:val="22"/>
          <w:szCs w:val="22"/>
          <w:rtl/>
        </w:rPr>
        <w:t>שה. 2013-25057</w:t>
      </w:r>
    </w:p>
    <w:p w:rsidR="00E665F6" w:rsidRPr="007B46AB" w:rsidRDefault="007B46AB" w:rsidP="007B46AB">
      <w:pPr>
        <w:spacing w:line="360" w:lineRule="auto"/>
        <w:jc w:val="center"/>
        <w:rPr>
          <w:rFonts w:cs="David" w:hint="cs"/>
          <w:b/>
          <w:bCs/>
          <w:sz w:val="26"/>
          <w:rtl/>
        </w:rPr>
      </w:pPr>
      <w:r w:rsidRPr="007B46AB">
        <w:rPr>
          <w:rFonts w:cs="David" w:hint="cs"/>
          <w:b/>
          <w:bCs/>
          <w:kern w:val="32"/>
          <w:sz w:val="26"/>
          <w:rtl/>
        </w:rPr>
        <w:t>-</w:t>
      </w:r>
      <w:r w:rsidR="00B832B8" w:rsidRPr="007B46AB">
        <w:rPr>
          <w:rFonts w:cs="David"/>
          <w:b/>
          <w:bCs/>
          <w:sz w:val="26"/>
          <w:rtl/>
        </w:rPr>
        <w:t xml:space="preserve"> </w:t>
      </w:r>
      <w:r w:rsidR="00E665F6" w:rsidRPr="007B46AB">
        <w:rPr>
          <w:rFonts w:cs="David"/>
          <w:sz w:val="26"/>
          <w:rtl/>
        </w:rPr>
        <w:t>הודעה משותפת</w:t>
      </w:r>
      <w:r w:rsidR="00B832B8" w:rsidRPr="007B46AB">
        <w:rPr>
          <w:rFonts w:cs="David" w:hint="cs"/>
          <w:b/>
          <w:bCs/>
          <w:sz w:val="26"/>
          <w:rtl/>
        </w:rPr>
        <w:t xml:space="preserve"> </w:t>
      </w:r>
      <w:r w:rsidRPr="007B46AB">
        <w:rPr>
          <w:rFonts w:cs="David" w:hint="cs"/>
          <w:b/>
          <w:bCs/>
          <w:kern w:val="32"/>
          <w:sz w:val="26"/>
          <w:rtl/>
        </w:rPr>
        <w:t>-</w:t>
      </w:r>
    </w:p>
    <w:p w:rsidR="00E665F6" w:rsidRPr="007B46AB" w:rsidRDefault="00E665F6" w:rsidP="007B46AB">
      <w:pPr>
        <w:spacing w:line="276" w:lineRule="auto"/>
        <w:jc w:val="center"/>
        <w:rPr>
          <w:rFonts w:cs="David"/>
          <w:b/>
          <w:bCs/>
          <w:sz w:val="32"/>
          <w:szCs w:val="32"/>
          <w:rtl/>
        </w:rPr>
      </w:pPr>
      <w:r w:rsidRPr="007B46AB">
        <w:rPr>
          <w:rFonts w:cs="David"/>
          <w:b/>
          <w:bCs/>
          <w:sz w:val="32"/>
          <w:szCs w:val="32"/>
          <w:rtl/>
        </w:rPr>
        <w:t xml:space="preserve">הממונה על שוק ההון, ביטוח וחיסכון והמפקח על הבנקים </w:t>
      </w:r>
    </w:p>
    <w:p w:rsidR="00E665F6" w:rsidRPr="007B46AB" w:rsidRDefault="00E665F6" w:rsidP="007B46AB">
      <w:pPr>
        <w:spacing w:line="276" w:lineRule="auto"/>
        <w:jc w:val="center"/>
        <w:rPr>
          <w:rFonts w:cs="David"/>
          <w:b/>
          <w:bCs/>
          <w:sz w:val="32"/>
          <w:szCs w:val="32"/>
          <w:rtl/>
        </w:rPr>
      </w:pPr>
      <w:r w:rsidRPr="007B46AB">
        <w:rPr>
          <w:rFonts w:cs="David"/>
          <w:b/>
          <w:bCs/>
          <w:sz w:val="32"/>
          <w:szCs w:val="32"/>
          <w:rtl/>
        </w:rPr>
        <w:t>מפרסמים להערות הציבור מתווה לשינוי בביקורת חיצונית של גופים פיננסים</w:t>
      </w:r>
    </w:p>
    <w:p w:rsidR="00E665F6" w:rsidRPr="007B46AB" w:rsidRDefault="00E665F6" w:rsidP="007B46AB">
      <w:pPr>
        <w:spacing w:line="360" w:lineRule="auto"/>
        <w:rPr>
          <w:rFonts w:cs="David"/>
          <w:kern w:val="28"/>
          <w:szCs w:val="24"/>
          <w:rtl/>
        </w:rPr>
      </w:pPr>
      <w:r w:rsidRPr="007B46AB">
        <w:rPr>
          <w:rFonts w:cs="David"/>
          <w:szCs w:val="24"/>
          <w:rtl/>
        </w:rPr>
        <w:t>הממונה על שוק ההון, ביטוח וחיסכון במשרד האוצר</w:t>
      </w:r>
      <w:r w:rsidRPr="007B46AB">
        <w:rPr>
          <w:rFonts w:cs="David"/>
          <w:b/>
          <w:bCs/>
          <w:szCs w:val="24"/>
          <w:rtl/>
        </w:rPr>
        <w:t>, פרופ' עודד שריג</w:t>
      </w:r>
      <w:r w:rsidRPr="007B46AB">
        <w:rPr>
          <w:rFonts w:cs="David"/>
          <w:szCs w:val="24"/>
          <w:rtl/>
        </w:rPr>
        <w:t xml:space="preserve">, והמפקח על הבנקים בבנק ישראל, </w:t>
      </w:r>
      <w:r w:rsidRPr="007B46AB">
        <w:rPr>
          <w:rFonts w:cs="David"/>
          <w:b/>
          <w:bCs/>
          <w:szCs w:val="24"/>
          <w:rtl/>
        </w:rPr>
        <w:t>דוד זקן</w:t>
      </w:r>
      <w:r w:rsidRPr="007B46AB">
        <w:rPr>
          <w:rFonts w:cs="David"/>
          <w:szCs w:val="24"/>
          <w:rtl/>
        </w:rPr>
        <w:t xml:space="preserve">, </w:t>
      </w:r>
      <w:r w:rsidRPr="007B46AB">
        <w:rPr>
          <w:rFonts w:cs="David"/>
          <w:kern w:val="28"/>
          <w:szCs w:val="24"/>
          <w:rtl/>
        </w:rPr>
        <w:t>בוחנים שינוי באופן הביקורת של רואי חשבון על דוחות כספיים בבנקים ובחברות ביטוח.</w:t>
      </w:r>
      <w:r w:rsidRPr="007B46AB">
        <w:rPr>
          <w:rFonts w:cs="David"/>
          <w:szCs w:val="24"/>
          <w:rtl/>
        </w:rPr>
        <w:t xml:space="preserve"> השינוי נועד </w:t>
      </w:r>
      <w:r w:rsidRPr="007B46AB">
        <w:rPr>
          <w:rFonts w:cs="David"/>
          <w:kern w:val="28"/>
          <w:szCs w:val="24"/>
          <w:rtl/>
        </w:rPr>
        <w:t>לחזק את עצמאות רואי החשבון ולעודד רואי חשבון נוספים לבקר גופים אלו, תוך שמירה על איכות הביקורת.</w:t>
      </w:r>
      <w:r w:rsidRPr="007B46AB">
        <w:rPr>
          <w:rFonts w:cs="David"/>
          <w:szCs w:val="24"/>
          <w:rtl/>
        </w:rPr>
        <w:t xml:space="preserve"> במסגרת זאת, מפרסמים שני הרגולטורים מסמך משותף להערות הציבור. </w:t>
      </w:r>
    </w:p>
    <w:p w:rsidR="00E665F6" w:rsidRPr="007B46AB" w:rsidRDefault="007B46AB" w:rsidP="007B46AB">
      <w:pPr>
        <w:spacing w:line="360" w:lineRule="auto"/>
        <w:rPr>
          <w:rFonts w:cs="David"/>
          <w:kern w:val="28"/>
          <w:szCs w:val="24"/>
          <w:rtl/>
        </w:rPr>
      </w:pPr>
      <w:r w:rsidRPr="007B46AB">
        <w:rPr>
          <w:rFonts w:cs="David" w:hint="cs"/>
          <w:kern w:val="28"/>
          <w:szCs w:val="24"/>
          <w:rtl/>
        </w:rPr>
        <w:br/>
      </w:r>
      <w:r w:rsidR="00E665F6" w:rsidRPr="007B46AB">
        <w:rPr>
          <w:rFonts w:cs="David"/>
          <w:kern w:val="28"/>
          <w:szCs w:val="24"/>
          <w:rtl/>
        </w:rPr>
        <w:t xml:space="preserve">שני שיקולים עיקריים עומדים לנגד עיני המפקחים: מחד גיסא, מיעוט המשרדים </w:t>
      </w:r>
      <w:r w:rsidR="00022365" w:rsidRPr="007B46AB">
        <w:rPr>
          <w:rFonts w:cs="David" w:hint="cs"/>
          <w:kern w:val="28"/>
          <w:szCs w:val="24"/>
          <w:rtl/>
        </w:rPr>
        <w:t>העוסקים בתחום</w:t>
      </w:r>
      <w:r w:rsidR="00022365" w:rsidRPr="007B46AB">
        <w:rPr>
          <w:rFonts w:cs="David"/>
          <w:kern w:val="28"/>
          <w:szCs w:val="24"/>
          <w:rtl/>
        </w:rPr>
        <w:t xml:space="preserve"> </w:t>
      </w:r>
      <w:r w:rsidR="00E665F6" w:rsidRPr="007B46AB">
        <w:rPr>
          <w:rFonts w:cs="David"/>
          <w:kern w:val="28"/>
          <w:szCs w:val="24"/>
          <w:rtl/>
        </w:rPr>
        <w:t xml:space="preserve">והעדר תחלופה ביניהם מעלים חשש </w:t>
      </w:r>
      <w:r w:rsidR="00022365" w:rsidRPr="007B46AB">
        <w:rPr>
          <w:rFonts w:cs="David" w:hint="cs"/>
          <w:kern w:val="28"/>
          <w:szCs w:val="24"/>
          <w:rtl/>
        </w:rPr>
        <w:t xml:space="preserve">כי </w:t>
      </w:r>
      <w:r w:rsidR="00E665F6" w:rsidRPr="007B46AB">
        <w:rPr>
          <w:rFonts w:cs="David"/>
          <w:kern w:val="28"/>
          <w:szCs w:val="24"/>
          <w:rtl/>
        </w:rPr>
        <w:t>יחסים ארוכי טווח בין מבקר לבין מבוקר עלולים לפגוע בעצמאות המבקרים, בביקורתיות ובספקנות המקצועית שלהם. מאידך גיסא, הידע והמקצועיות הנדרשים ממבקרים של בנקים ושל חברות ביטוח, שהם גופים מורכבים הנדרשים לדיווח וגילוי ייחודיים, מחייבים משרדי רואי חשבון לפתח ולשמר מומחיות גבוהה.</w:t>
      </w:r>
    </w:p>
    <w:p w:rsidR="007B46AB" w:rsidRPr="007B46AB" w:rsidRDefault="007B46AB" w:rsidP="007B46AB">
      <w:pPr>
        <w:spacing w:line="360" w:lineRule="auto"/>
        <w:rPr>
          <w:rFonts w:cs="David" w:hint="cs"/>
          <w:kern w:val="28"/>
          <w:szCs w:val="24"/>
          <w:rtl/>
        </w:rPr>
      </w:pPr>
      <w:r w:rsidRPr="007B46AB">
        <w:rPr>
          <w:rFonts w:cs="David" w:hint="cs"/>
          <w:szCs w:val="24"/>
          <w:rtl/>
        </w:rPr>
        <w:br/>
      </w:r>
      <w:r w:rsidR="00E665F6" w:rsidRPr="007B46AB">
        <w:rPr>
          <w:rFonts w:cs="David"/>
          <w:szCs w:val="24"/>
          <w:rtl/>
        </w:rPr>
        <w:t xml:space="preserve">המפקחים שוקלים להשתמש בחלופות הבאות, בנפרד או בשילוב, לטיפול בריכוזיות רואי החשבון המבקרים של </w:t>
      </w:r>
      <w:r w:rsidR="00022365" w:rsidRPr="007B46AB">
        <w:rPr>
          <w:rFonts w:cs="David" w:hint="cs"/>
          <w:szCs w:val="24"/>
          <w:rtl/>
        </w:rPr>
        <w:t>בנקים וחברות ביטוח</w:t>
      </w:r>
      <w:r w:rsidR="00E665F6" w:rsidRPr="007B46AB">
        <w:rPr>
          <w:rFonts w:cs="David"/>
          <w:szCs w:val="24"/>
          <w:rtl/>
        </w:rPr>
        <w:t>:</w:t>
      </w:r>
    </w:p>
    <w:p w:rsidR="007B46AB" w:rsidRPr="007B46AB" w:rsidRDefault="00E665F6" w:rsidP="007B46AB">
      <w:pPr>
        <w:pStyle w:val="aa"/>
        <w:numPr>
          <w:ilvl w:val="0"/>
          <w:numId w:val="5"/>
        </w:numPr>
        <w:tabs>
          <w:tab w:val="left" w:pos="515"/>
        </w:tabs>
        <w:overflowPunct w:val="0"/>
        <w:autoSpaceDE w:val="0"/>
        <w:autoSpaceDN w:val="0"/>
        <w:adjustRightInd w:val="0"/>
        <w:spacing w:line="360" w:lineRule="auto"/>
        <w:ind w:left="232" w:hanging="142"/>
        <w:textAlignment w:val="baseline"/>
        <w:rPr>
          <w:rFonts w:cs="David" w:hint="cs"/>
          <w:szCs w:val="24"/>
        </w:rPr>
      </w:pPr>
      <w:r w:rsidRPr="007B46AB">
        <w:rPr>
          <w:rFonts w:cs="David"/>
          <w:kern w:val="28"/>
          <w:szCs w:val="24"/>
          <w:rtl/>
        </w:rPr>
        <w:t>חיוב רוטציה תקופתית בין משרדי רואי חשבון מבקרים</w:t>
      </w:r>
      <w:r w:rsidRPr="007B46AB">
        <w:rPr>
          <w:rFonts w:cs="David"/>
          <w:szCs w:val="24"/>
          <w:rtl/>
        </w:rPr>
        <w:t>;</w:t>
      </w:r>
    </w:p>
    <w:p w:rsidR="007B46AB" w:rsidRPr="007B46AB" w:rsidRDefault="00E665F6" w:rsidP="007B46AB">
      <w:pPr>
        <w:pStyle w:val="aa"/>
        <w:numPr>
          <w:ilvl w:val="0"/>
          <w:numId w:val="5"/>
        </w:numPr>
        <w:tabs>
          <w:tab w:val="left" w:pos="515"/>
        </w:tabs>
        <w:overflowPunct w:val="0"/>
        <w:autoSpaceDE w:val="0"/>
        <w:autoSpaceDN w:val="0"/>
        <w:adjustRightInd w:val="0"/>
        <w:spacing w:line="360" w:lineRule="auto"/>
        <w:ind w:left="232" w:hanging="142"/>
        <w:textAlignment w:val="baseline"/>
        <w:rPr>
          <w:rFonts w:cs="David" w:hint="cs"/>
          <w:szCs w:val="24"/>
        </w:rPr>
      </w:pPr>
      <w:r w:rsidRPr="007B46AB">
        <w:rPr>
          <w:rFonts w:cs="David"/>
          <w:kern w:val="28"/>
          <w:szCs w:val="24"/>
          <w:rtl/>
        </w:rPr>
        <w:t>הגבלת נתח השוק המותר למשרד רואי חשבון יחיד במערכת הפיננסית</w:t>
      </w:r>
      <w:r w:rsidRPr="007B46AB">
        <w:rPr>
          <w:rFonts w:cs="David"/>
          <w:szCs w:val="24"/>
          <w:rtl/>
        </w:rPr>
        <w:t>;</w:t>
      </w:r>
    </w:p>
    <w:p w:rsidR="007B46AB" w:rsidRPr="007B46AB" w:rsidRDefault="00E665F6" w:rsidP="007B46AB">
      <w:pPr>
        <w:pStyle w:val="aa"/>
        <w:numPr>
          <w:ilvl w:val="0"/>
          <w:numId w:val="5"/>
        </w:numPr>
        <w:tabs>
          <w:tab w:val="left" w:pos="515"/>
        </w:tabs>
        <w:overflowPunct w:val="0"/>
        <w:autoSpaceDE w:val="0"/>
        <w:autoSpaceDN w:val="0"/>
        <w:adjustRightInd w:val="0"/>
        <w:spacing w:line="360" w:lineRule="auto"/>
        <w:ind w:left="232" w:hanging="142"/>
        <w:textAlignment w:val="baseline"/>
        <w:rPr>
          <w:rFonts w:cs="David" w:hint="cs"/>
          <w:szCs w:val="24"/>
        </w:rPr>
      </w:pPr>
      <w:r w:rsidRPr="007B46AB">
        <w:rPr>
          <w:rFonts w:cs="David"/>
          <w:kern w:val="28"/>
          <w:szCs w:val="24"/>
          <w:rtl/>
        </w:rPr>
        <w:t>הגבלת ביקורת על ידי שני רואי חשבון במשותף (</w:t>
      </w:r>
      <w:r w:rsidRPr="007B46AB">
        <w:rPr>
          <w:rFonts w:cs="David"/>
          <w:kern w:val="28"/>
          <w:szCs w:val="24"/>
        </w:rPr>
        <w:t>Joint Audit</w:t>
      </w:r>
      <w:r w:rsidRPr="007B46AB">
        <w:rPr>
          <w:rFonts w:cs="David"/>
          <w:kern w:val="28"/>
          <w:szCs w:val="24"/>
          <w:rtl/>
        </w:rPr>
        <w:t>)</w:t>
      </w:r>
      <w:r w:rsidRPr="007B46AB">
        <w:rPr>
          <w:rFonts w:cs="David"/>
          <w:szCs w:val="24"/>
          <w:rtl/>
        </w:rPr>
        <w:t>;</w:t>
      </w:r>
    </w:p>
    <w:p w:rsidR="00E665F6" w:rsidRPr="007B46AB" w:rsidRDefault="00E665F6" w:rsidP="007B46AB">
      <w:pPr>
        <w:pStyle w:val="aa"/>
        <w:numPr>
          <w:ilvl w:val="0"/>
          <w:numId w:val="5"/>
        </w:numPr>
        <w:tabs>
          <w:tab w:val="left" w:pos="515"/>
        </w:tabs>
        <w:overflowPunct w:val="0"/>
        <w:autoSpaceDE w:val="0"/>
        <w:autoSpaceDN w:val="0"/>
        <w:adjustRightInd w:val="0"/>
        <w:spacing w:line="360" w:lineRule="auto"/>
        <w:ind w:left="232" w:hanging="142"/>
        <w:textAlignment w:val="baseline"/>
        <w:rPr>
          <w:rFonts w:cs="David"/>
          <w:szCs w:val="24"/>
        </w:rPr>
      </w:pPr>
      <w:r w:rsidRPr="007B46AB">
        <w:rPr>
          <w:rFonts w:cs="David"/>
          <w:kern w:val="28"/>
          <w:szCs w:val="24"/>
          <w:rtl/>
        </w:rPr>
        <w:t>הטלת מגבלות  נוספ</w:t>
      </w:r>
      <w:r w:rsidR="00022365" w:rsidRPr="007B46AB">
        <w:rPr>
          <w:rFonts w:cs="David" w:hint="cs"/>
          <w:kern w:val="28"/>
          <w:szCs w:val="24"/>
          <w:rtl/>
        </w:rPr>
        <w:t>ו</w:t>
      </w:r>
      <w:r w:rsidRPr="007B46AB">
        <w:rPr>
          <w:rFonts w:cs="David"/>
          <w:kern w:val="28"/>
          <w:szCs w:val="24"/>
          <w:rtl/>
        </w:rPr>
        <w:t>ת  על מתן שירותים נלווים על ידי משרד רואה חשבון מבקר</w:t>
      </w:r>
      <w:r w:rsidRPr="007B46AB">
        <w:rPr>
          <w:rFonts w:cs="David"/>
          <w:szCs w:val="24"/>
          <w:rtl/>
        </w:rPr>
        <w:t>.</w:t>
      </w:r>
    </w:p>
    <w:p w:rsidR="00E665F6" w:rsidRPr="007B46AB" w:rsidRDefault="007B46AB" w:rsidP="007B46AB">
      <w:pPr>
        <w:spacing w:line="360" w:lineRule="auto"/>
        <w:rPr>
          <w:rFonts w:cs="David"/>
          <w:szCs w:val="24"/>
          <w:rtl/>
        </w:rPr>
      </w:pPr>
      <w:r w:rsidRPr="007B46AB">
        <w:rPr>
          <w:rFonts w:cs="David" w:hint="cs"/>
          <w:szCs w:val="24"/>
          <w:rtl/>
        </w:rPr>
        <w:br/>
      </w:r>
      <w:r w:rsidR="00E665F6" w:rsidRPr="007B46AB">
        <w:rPr>
          <w:rFonts w:cs="David"/>
          <w:szCs w:val="24"/>
          <w:rtl/>
        </w:rPr>
        <w:t xml:space="preserve">הממונה על שוק ההון, ביטוח וחיסכון, </w:t>
      </w:r>
      <w:r w:rsidR="00E665F6" w:rsidRPr="007B46AB">
        <w:rPr>
          <w:rFonts w:cs="David"/>
          <w:b/>
          <w:bCs/>
          <w:szCs w:val="24"/>
          <w:rtl/>
        </w:rPr>
        <w:t>פרופ' עודד שריג</w:t>
      </w:r>
      <w:r w:rsidR="00E665F6" w:rsidRPr="007B46AB">
        <w:rPr>
          <w:rFonts w:cs="David"/>
          <w:szCs w:val="24"/>
          <w:rtl/>
        </w:rPr>
        <w:t>: "לתפיסתנו,</w:t>
      </w:r>
      <w:r w:rsidR="00E665F6" w:rsidRPr="007B46AB" w:rsidDel="00AF5A84">
        <w:rPr>
          <w:rFonts w:cs="David"/>
          <w:szCs w:val="24"/>
          <w:rtl/>
        </w:rPr>
        <w:t xml:space="preserve"> </w:t>
      </w:r>
      <w:r w:rsidR="00E665F6" w:rsidRPr="007B46AB">
        <w:rPr>
          <w:rFonts w:cs="David"/>
          <w:szCs w:val="24"/>
          <w:rtl/>
        </w:rPr>
        <w:t>רואה חשבון מבקר פועל כשומר סף מטעמנו ומטעם הציבור. לפיכך, כל מתווה עבודה חייב לאזן בין מקצועיות לבין עצמאות המבקרים</w:t>
      </w:r>
      <w:r w:rsidR="00E665F6" w:rsidRPr="007B46AB" w:rsidDel="00AF5A84">
        <w:rPr>
          <w:rFonts w:cs="David"/>
          <w:szCs w:val="24"/>
          <w:rtl/>
        </w:rPr>
        <w:t xml:space="preserve"> </w:t>
      </w:r>
      <w:r w:rsidR="00E665F6" w:rsidRPr="007B46AB">
        <w:rPr>
          <w:rFonts w:cs="David"/>
          <w:szCs w:val="24"/>
          <w:rtl/>
        </w:rPr>
        <w:t>".</w:t>
      </w:r>
    </w:p>
    <w:p w:rsidR="00E665F6" w:rsidRPr="007B46AB" w:rsidRDefault="007B46AB" w:rsidP="007B46AB">
      <w:pPr>
        <w:spacing w:line="360" w:lineRule="auto"/>
        <w:rPr>
          <w:rFonts w:cs="David"/>
          <w:szCs w:val="24"/>
          <w:rtl/>
        </w:rPr>
      </w:pPr>
      <w:r w:rsidRPr="007B46AB">
        <w:rPr>
          <w:rFonts w:cs="David" w:hint="cs"/>
          <w:szCs w:val="24"/>
          <w:rtl/>
        </w:rPr>
        <w:br/>
      </w:r>
      <w:r w:rsidR="00E665F6" w:rsidRPr="007B46AB">
        <w:rPr>
          <w:rFonts w:cs="David"/>
          <w:szCs w:val="24"/>
          <w:rtl/>
        </w:rPr>
        <w:t xml:space="preserve">המפקח על הבנקים, </w:t>
      </w:r>
      <w:r w:rsidR="00E665F6" w:rsidRPr="007B46AB">
        <w:rPr>
          <w:rFonts w:cs="David"/>
          <w:b/>
          <w:bCs/>
          <w:szCs w:val="24"/>
          <w:rtl/>
        </w:rPr>
        <w:t>דוד זקן</w:t>
      </w:r>
      <w:r w:rsidR="00E665F6" w:rsidRPr="007B46AB">
        <w:rPr>
          <w:rFonts w:cs="David"/>
          <w:szCs w:val="24"/>
          <w:rtl/>
        </w:rPr>
        <w:t xml:space="preserve">: "נקיטת הצעדים המוצעים, בנפרד או בשילוב, יחד עם אימוץ העקרונות שפרסמה לאחרונה ועדת באזל בנושא, יביאו לשיפור איכות הביקורת בבנקים ולהגדלת האפקטיביות שלה". </w:t>
      </w:r>
    </w:p>
    <w:p w:rsidR="00E665F6" w:rsidRPr="007B46AB" w:rsidRDefault="007B46AB" w:rsidP="007B46AB">
      <w:pPr>
        <w:spacing w:line="276" w:lineRule="auto"/>
        <w:rPr>
          <w:rFonts w:cs="David"/>
          <w:szCs w:val="24"/>
          <w:rtl/>
        </w:rPr>
      </w:pPr>
      <w:r w:rsidRPr="007B46AB">
        <w:rPr>
          <w:rFonts w:cs="David" w:hint="cs"/>
          <w:szCs w:val="24"/>
          <w:rtl/>
        </w:rPr>
        <w:br/>
      </w:r>
      <w:r w:rsidR="00E665F6" w:rsidRPr="007B46AB">
        <w:rPr>
          <w:rFonts w:cs="David"/>
          <w:szCs w:val="24"/>
          <w:rtl/>
        </w:rPr>
        <w:t>הציבור מוזמן להעביר הערותיו עד ליום 25.7.2013 לאנשי הקשר המפורטים במסמכים  המצור</w:t>
      </w:r>
      <w:bookmarkStart w:id="2" w:name="_GoBack"/>
      <w:bookmarkEnd w:id="2"/>
      <w:r w:rsidR="00E665F6" w:rsidRPr="007B46AB">
        <w:rPr>
          <w:rFonts w:cs="David"/>
          <w:szCs w:val="24"/>
          <w:rtl/>
        </w:rPr>
        <w:t>פים. להלן קישורים לאתרי האינטרנט בהם מופיע המסמך:</w:t>
      </w:r>
    </w:p>
    <w:p w:rsidR="00E665F6" w:rsidRPr="007B46AB" w:rsidRDefault="007B46AB" w:rsidP="007B46AB">
      <w:pPr>
        <w:spacing w:line="276" w:lineRule="auto"/>
        <w:rPr>
          <w:rFonts w:cs="David"/>
          <w:szCs w:val="24"/>
          <w:rtl/>
        </w:rPr>
      </w:pPr>
      <w:r>
        <w:rPr>
          <w:rFonts w:cs="David"/>
          <w:szCs w:val="24"/>
          <w:rtl/>
        </w:rPr>
        <w:br/>
      </w:r>
      <w:r w:rsidR="00E665F6" w:rsidRPr="007B46AB">
        <w:rPr>
          <w:rFonts w:cs="David"/>
          <w:szCs w:val="24"/>
          <w:rtl/>
        </w:rPr>
        <w:t xml:space="preserve">באתר אגף שוק ההון </w:t>
      </w:r>
      <w:hyperlink r:id="rId8" w:history="1">
        <w:r w:rsidRPr="007B46AB">
          <w:rPr>
            <w:rStyle w:val="Hyperlink"/>
            <w:rFonts w:cs="David"/>
            <w:szCs w:val="24"/>
          </w:rPr>
          <w:t>http://ozar.mof.gov.il/hon/2001/general/gen_reports.asp</w:t>
        </w:r>
      </w:hyperlink>
      <w:r w:rsidRPr="007B46AB">
        <w:rPr>
          <w:rFonts w:cs="David" w:hint="cs"/>
          <w:szCs w:val="24"/>
          <w:rtl/>
        </w:rPr>
        <w:t xml:space="preserve"> ו</w:t>
      </w:r>
      <w:r w:rsidR="00E665F6" w:rsidRPr="007B46AB">
        <w:rPr>
          <w:rFonts w:cs="David"/>
          <w:szCs w:val="24"/>
          <w:rtl/>
        </w:rPr>
        <w:t xml:space="preserve">באתר </w:t>
      </w:r>
      <w:r w:rsidRPr="007B46AB">
        <w:rPr>
          <w:rFonts w:cs="David" w:hint="cs"/>
          <w:szCs w:val="24"/>
          <w:rtl/>
        </w:rPr>
        <w:t xml:space="preserve">בנק ישראל </w:t>
      </w:r>
      <w:hyperlink r:id="rId9" w:history="1">
        <w:r w:rsidRPr="007B46AB">
          <w:rPr>
            <w:rStyle w:val="Hyperlink"/>
            <w:rFonts w:cs="David"/>
            <w:szCs w:val="24"/>
          </w:rPr>
          <w:t>www.boi.org.il</w:t>
        </w:r>
      </w:hyperlink>
    </w:p>
    <w:sectPr w:rsidR="00E665F6" w:rsidRPr="007B46AB" w:rsidSect="007B46AB">
      <w:footerReference w:type="default" r:id="rId10"/>
      <w:headerReference w:type="first" r:id="rId11"/>
      <w:pgSz w:w="11906" w:h="16838"/>
      <w:pgMar w:top="238" w:right="1797" w:bottom="249" w:left="1797" w:header="720" w:footer="34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B35" w:rsidRDefault="00C55B35">
      <w:r>
        <w:separator/>
      </w:r>
    </w:p>
  </w:endnote>
  <w:endnote w:type="continuationSeparator" w:id="0">
    <w:p w:rsidR="00C55B35" w:rsidRDefault="00C55B35">
      <w:r>
        <w:continuationSeparator/>
      </w:r>
    </w:p>
  </w:endnote>
  <w:endnote w:type="continuationNotice" w:id="1">
    <w:p w:rsidR="00C55B35" w:rsidRDefault="00C55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0000000000000000000"/>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F6" w:rsidRPr="00243011" w:rsidRDefault="00E665F6" w:rsidP="00243011">
    <w:pPr>
      <w:pStyle w:val="a5"/>
      <w:pBdr>
        <w:top w:val="single" w:sz="6" w:space="1" w:color="auto"/>
      </w:pBdr>
      <w:rPr>
        <w:color w:val="0000FF"/>
        <w:sz w:val="22"/>
        <w:szCs w:val="22"/>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B35" w:rsidRDefault="00C55B35">
      <w:r>
        <w:separator/>
      </w:r>
    </w:p>
  </w:footnote>
  <w:footnote w:type="continuationSeparator" w:id="0">
    <w:p w:rsidR="00C55B35" w:rsidRDefault="00C55B35">
      <w:r>
        <w:continuationSeparator/>
      </w:r>
    </w:p>
  </w:footnote>
  <w:footnote w:type="continuationNotice" w:id="1">
    <w:p w:rsidR="00C55B35" w:rsidRDefault="00C55B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F6" w:rsidRPr="00356DCB" w:rsidRDefault="005325B5" w:rsidP="00733930">
    <w:pPr>
      <w:pStyle w:val="a3"/>
      <w:tabs>
        <w:tab w:val="clear" w:pos="8306"/>
        <w:tab w:val="right" w:pos="6894"/>
      </w:tabs>
      <w:ind w:firstLine="90"/>
      <w:jc w:val="center"/>
      <w:rPr>
        <w:szCs w:val="24"/>
        <w:rtl/>
      </w:rPr>
    </w:pPr>
    <w:r>
      <w:rPr>
        <w:noProof/>
        <w:szCs w:val="24"/>
        <w:lang w:eastAsia="en-US"/>
      </w:rPr>
      <w:drawing>
        <wp:inline distT="0" distB="0" distL="0" distR="0" wp14:anchorId="037ACDF0" wp14:editId="193B1282">
          <wp:extent cx="1137902" cy="1180214"/>
          <wp:effectExtent l="0" t="0" r="5715" b="127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920" cy="1180233"/>
                  </a:xfrm>
                  <a:prstGeom prst="rect">
                    <a:avLst/>
                  </a:prstGeom>
                  <a:noFill/>
                  <a:ln>
                    <a:noFill/>
                  </a:ln>
                </pic:spPr>
              </pic:pic>
            </a:graphicData>
          </a:graphic>
        </wp:inline>
      </w:drawing>
    </w:r>
    <w:r w:rsidR="00E665F6">
      <w:rPr>
        <w:szCs w:val="24"/>
      </w:rPr>
      <w:tab/>
    </w:r>
    <w:r w:rsidR="00E665F6">
      <w:rPr>
        <w:szCs w:val="24"/>
      </w:rPr>
      <w:tab/>
    </w:r>
    <w:r>
      <w:rPr>
        <w:noProof/>
        <w:szCs w:val="24"/>
        <w:lang w:eastAsia="en-US"/>
      </w:rPr>
      <w:drawing>
        <wp:inline distT="0" distB="0" distL="0" distR="0" wp14:anchorId="0A41C00D" wp14:editId="17715664">
          <wp:extent cx="1105554" cy="1052623"/>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10526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10E08"/>
    <w:multiLevelType w:val="hybridMultilevel"/>
    <w:tmpl w:val="B442CC34"/>
    <w:lvl w:ilvl="0" w:tplc="8B5A68E0">
      <w:start w:val="305"/>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20770"/>
    <w:multiLevelType w:val="hybridMultilevel"/>
    <w:tmpl w:val="F9E0C7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45C4F7F"/>
    <w:multiLevelType w:val="hybridMultilevel"/>
    <w:tmpl w:val="D9343BD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75F34111"/>
    <w:multiLevelType w:val="hybridMultilevel"/>
    <w:tmpl w:val="FAF4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B006C2"/>
    <w:multiLevelType w:val="hybridMultilevel"/>
    <w:tmpl w:val="F2B6F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0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94"/>
    <w:rsid w:val="00010BE3"/>
    <w:rsid w:val="0001314C"/>
    <w:rsid w:val="00014DC6"/>
    <w:rsid w:val="00022365"/>
    <w:rsid w:val="00035028"/>
    <w:rsid w:val="00044AF8"/>
    <w:rsid w:val="00062489"/>
    <w:rsid w:val="00074334"/>
    <w:rsid w:val="00083C17"/>
    <w:rsid w:val="00087CDA"/>
    <w:rsid w:val="00095B6A"/>
    <w:rsid w:val="000C597B"/>
    <w:rsid w:val="00137C97"/>
    <w:rsid w:val="00143947"/>
    <w:rsid w:val="001466B3"/>
    <w:rsid w:val="00153283"/>
    <w:rsid w:val="00153FB9"/>
    <w:rsid w:val="00161DB1"/>
    <w:rsid w:val="00183DF5"/>
    <w:rsid w:val="00185B47"/>
    <w:rsid w:val="001B2006"/>
    <w:rsid w:val="001B3155"/>
    <w:rsid w:val="001C4472"/>
    <w:rsid w:val="001D1CE9"/>
    <w:rsid w:val="001E383A"/>
    <w:rsid w:val="001E6EB3"/>
    <w:rsid w:val="0020068D"/>
    <w:rsid w:val="00200801"/>
    <w:rsid w:val="00207790"/>
    <w:rsid w:val="00213E7E"/>
    <w:rsid w:val="00222F95"/>
    <w:rsid w:val="00243011"/>
    <w:rsid w:val="0025379A"/>
    <w:rsid w:val="0027749F"/>
    <w:rsid w:val="002B3883"/>
    <w:rsid w:val="002D5772"/>
    <w:rsid w:val="002E77A9"/>
    <w:rsid w:val="002F7A71"/>
    <w:rsid w:val="00311B60"/>
    <w:rsid w:val="0031393B"/>
    <w:rsid w:val="003345E7"/>
    <w:rsid w:val="00355F96"/>
    <w:rsid w:val="00356DCB"/>
    <w:rsid w:val="0037743F"/>
    <w:rsid w:val="0039579A"/>
    <w:rsid w:val="00395FA1"/>
    <w:rsid w:val="00397713"/>
    <w:rsid w:val="003A00FF"/>
    <w:rsid w:val="003A60A5"/>
    <w:rsid w:val="003A7651"/>
    <w:rsid w:val="003B7AFF"/>
    <w:rsid w:val="003B7FA2"/>
    <w:rsid w:val="00413012"/>
    <w:rsid w:val="00426B5F"/>
    <w:rsid w:val="00432927"/>
    <w:rsid w:val="0044159A"/>
    <w:rsid w:val="0045561C"/>
    <w:rsid w:val="00462056"/>
    <w:rsid w:val="004654B0"/>
    <w:rsid w:val="004817DF"/>
    <w:rsid w:val="004872A1"/>
    <w:rsid w:val="00492B40"/>
    <w:rsid w:val="004B79EE"/>
    <w:rsid w:val="004E43C2"/>
    <w:rsid w:val="0050321B"/>
    <w:rsid w:val="00513722"/>
    <w:rsid w:val="00517B9D"/>
    <w:rsid w:val="005325B5"/>
    <w:rsid w:val="00552C32"/>
    <w:rsid w:val="00584564"/>
    <w:rsid w:val="00590872"/>
    <w:rsid w:val="005D2910"/>
    <w:rsid w:val="005E59FF"/>
    <w:rsid w:val="005F1C75"/>
    <w:rsid w:val="00624C42"/>
    <w:rsid w:val="00632B8D"/>
    <w:rsid w:val="00641C4F"/>
    <w:rsid w:val="00654066"/>
    <w:rsid w:val="00660F1F"/>
    <w:rsid w:val="006916FE"/>
    <w:rsid w:val="00694047"/>
    <w:rsid w:val="006B65FE"/>
    <w:rsid w:val="006C1114"/>
    <w:rsid w:val="006F5842"/>
    <w:rsid w:val="00701568"/>
    <w:rsid w:val="00707BBF"/>
    <w:rsid w:val="00712FB9"/>
    <w:rsid w:val="007173FA"/>
    <w:rsid w:val="00721C3E"/>
    <w:rsid w:val="0073187A"/>
    <w:rsid w:val="00733930"/>
    <w:rsid w:val="007B46AB"/>
    <w:rsid w:val="007C5EDC"/>
    <w:rsid w:val="007E52B5"/>
    <w:rsid w:val="0080396F"/>
    <w:rsid w:val="00804548"/>
    <w:rsid w:val="00814CE3"/>
    <w:rsid w:val="00832DEC"/>
    <w:rsid w:val="008376D8"/>
    <w:rsid w:val="008401BC"/>
    <w:rsid w:val="00841C65"/>
    <w:rsid w:val="00843A93"/>
    <w:rsid w:val="00895C5A"/>
    <w:rsid w:val="008A2835"/>
    <w:rsid w:val="008A4C69"/>
    <w:rsid w:val="008A6B54"/>
    <w:rsid w:val="008F1CC0"/>
    <w:rsid w:val="00900D2B"/>
    <w:rsid w:val="00906450"/>
    <w:rsid w:val="00907494"/>
    <w:rsid w:val="009151B3"/>
    <w:rsid w:val="00916FD7"/>
    <w:rsid w:val="00921088"/>
    <w:rsid w:val="00922904"/>
    <w:rsid w:val="00932395"/>
    <w:rsid w:val="009409A1"/>
    <w:rsid w:val="00966847"/>
    <w:rsid w:val="009717D5"/>
    <w:rsid w:val="009860A8"/>
    <w:rsid w:val="009E74EC"/>
    <w:rsid w:val="009F5AD3"/>
    <w:rsid w:val="00A13453"/>
    <w:rsid w:val="00A24C39"/>
    <w:rsid w:val="00A50C05"/>
    <w:rsid w:val="00A74195"/>
    <w:rsid w:val="00A7468E"/>
    <w:rsid w:val="00A94A61"/>
    <w:rsid w:val="00AC4094"/>
    <w:rsid w:val="00AC7B33"/>
    <w:rsid w:val="00AF5A84"/>
    <w:rsid w:val="00B24297"/>
    <w:rsid w:val="00B37A9F"/>
    <w:rsid w:val="00B638CD"/>
    <w:rsid w:val="00B832B8"/>
    <w:rsid w:val="00B8690D"/>
    <w:rsid w:val="00B97C12"/>
    <w:rsid w:val="00BB1C3B"/>
    <w:rsid w:val="00BF4639"/>
    <w:rsid w:val="00C03BB8"/>
    <w:rsid w:val="00C401E8"/>
    <w:rsid w:val="00C51FED"/>
    <w:rsid w:val="00C55B35"/>
    <w:rsid w:val="00C60A82"/>
    <w:rsid w:val="00C61642"/>
    <w:rsid w:val="00CA14BE"/>
    <w:rsid w:val="00CB39BB"/>
    <w:rsid w:val="00CD0AF1"/>
    <w:rsid w:val="00CD5341"/>
    <w:rsid w:val="00CE79BA"/>
    <w:rsid w:val="00D05188"/>
    <w:rsid w:val="00D262DF"/>
    <w:rsid w:val="00D3381E"/>
    <w:rsid w:val="00D417C2"/>
    <w:rsid w:val="00D47992"/>
    <w:rsid w:val="00D56545"/>
    <w:rsid w:val="00DC0AF0"/>
    <w:rsid w:val="00DD18E9"/>
    <w:rsid w:val="00DD2AC9"/>
    <w:rsid w:val="00DD372A"/>
    <w:rsid w:val="00DE3F9A"/>
    <w:rsid w:val="00DE62FB"/>
    <w:rsid w:val="00E109C9"/>
    <w:rsid w:val="00E156DE"/>
    <w:rsid w:val="00E333E3"/>
    <w:rsid w:val="00E37D25"/>
    <w:rsid w:val="00E44F2D"/>
    <w:rsid w:val="00E614F7"/>
    <w:rsid w:val="00E665F6"/>
    <w:rsid w:val="00EE7B7D"/>
    <w:rsid w:val="00EF1F04"/>
    <w:rsid w:val="00F10AD8"/>
    <w:rsid w:val="00F23F27"/>
    <w:rsid w:val="00F2671B"/>
    <w:rsid w:val="00F26CC7"/>
    <w:rsid w:val="00F41253"/>
    <w:rsid w:val="00F44DC9"/>
    <w:rsid w:val="00F47043"/>
    <w:rsid w:val="00F71D29"/>
    <w:rsid w:val="00F8633D"/>
    <w:rsid w:val="00FA166A"/>
    <w:rsid w:val="00FA648A"/>
    <w:rsid w:val="00FB14B9"/>
    <w:rsid w:val="00FB214A"/>
    <w:rsid w:val="00FB39F5"/>
    <w:rsid w:val="00FD5152"/>
    <w:rsid w:val="00FE5B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AC9"/>
    <w:pPr>
      <w:bidi/>
      <w:jc w:val="both"/>
    </w:pPr>
    <w:rPr>
      <w:rFonts w:cs="FrankRuehl"/>
      <w:sz w:val="24"/>
      <w:szCs w:val="26"/>
      <w:lang w:eastAsia="he-IL"/>
    </w:rPr>
  </w:style>
  <w:style w:type="paragraph" w:styleId="1">
    <w:name w:val="heading 1"/>
    <w:basedOn w:val="a"/>
    <w:next w:val="a"/>
    <w:link w:val="10"/>
    <w:uiPriority w:val="99"/>
    <w:qFormat/>
    <w:rsid w:val="00517B9D"/>
    <w:pPr>
      <w:spacing w:before="240" w:after="60"/>
      <w:outlineLvl w:val="0"/>
    </w:pPr>
    <w:rPr>
      <w:b/>
      <w:bCs/>
      <w:kern w:val="32"/>
      <w:sz w:val="36"/>
      <w:szCs w:val="36"/>
    </w:rPr>
  </w:style>
  <w:style w:type="paragraph" w:styleId="2">
    <w:name w:val="heading 2"/>
    <w:basedOn w:val="a"/>
    <w:next w:val="a"/>
    <w:link w:val="20"/>
    <w:uiPriority w:val="99"/>
    <w:qFormat/>
    <w:rsid w:val="00517B9D"/>
    <w:pPr>
      <w:spacing w:before="240" w:after="60"/>
      <w:outlineLvl w:val="1"/>
    </w:pPr>
    <w:rPr>
      <w:b/>
      <w:bCs/>
      <w:sz w:val="32"/>
      <w:szCs w:val="32"/>
    </w:rPr>
  </w:style>
  <w:style w:type="paragraph" w:styleId="3">
    <w:name w:val="heading 3"/>
    <w:basedOn w:val="a"/>
    <w:next w:val="a"/>
    <w:link w:val="30"/>
    <w:uiPriority w:val="99"/>
    <w:qFormat/>
    <w:rsid w:val="00517B9D"/>
    <w:pPr>
      <w:spacing w:before="240" w:after="6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B1246"/>
    <w:rPr>
      <w:rFonts w:ascii="Cambria" w:eastAsia="Times New Roman" w:hAnsi="Cambria" w:cs="Times New Roman"/>
      <w:b/>
      <w:bCs/>
      <w:kern w:val="32"/>
      <w:sz w:val="32"/>
      <w:szCs w:val="32"/>
      <w:lang w:eastAsia="he-IL"/>
    </w:rPr>
  </w:style>
  <w:style w:type="character" w:customStyle="1" w:styleId="20">
    <w:name w:val="כותרת 2 תו"/>
    <w:link w:val="2"/>
    <w:uiPriority w:val="9"/>
    <w:semiHidden/>
    <w:rsid w:val="007B1246"/>
    <w:rPr>
      <w:rFonts w:ascii="Cambria" w:eastAsia="Times New Roman" w:hAnsi="Cambria" w:cs="Times New Roman"/>
      <w:b/>
      <w:bCs/>
      <w:i/>
      <w:iCs/>
      <w:sz w:val="28"/>
      <w:szCs w:val="28"/>
      <w:lang w:eastAsia="he-IL"/>
    </w:rPr>
  </w:style>
  <w:style w:type="character" w:customStyle="1" w:styleId="30">
    <w:name w:val="כותרת 3 תו"/>
    <w:link w:val="3"/>
    <w:uiPriority w:val="9"/>
    <w:semiHidden/>
    <w:rsid w:val="007B1246"/>
    <w:rPr>
      <w:rFonts w:ascii="Cambria" w:eastAsia="Times New Roman" w:hAnsi="Cambria" w:cs="Times New Roman"/>
      <w:b/>
      <w:bCs/>
      <w:sz w:val="26"/>
      <w:szCs w:val="26"/>
      <w:lang w:eastAsia="he-IL"/>
    </w:rPr>
  </w:style>
  <w:style w:type="paragraph" w:styleId="a3">
    <w:name w:val="header"/>
    <w:basedOn w:val="a"/>
    <w:link w:val="a4"/>
    <w:uiPriority w:val="99"/>
    <w:rsid w:val="00517B9D"/>
    <w:pPr>
      <w:tabs>
        <w:tab w:val="center" w:pos="4153"/>
        <w:tab w:val="right" w:pos="8306"/>
      </w:tabs>
    </w:pPr>
  </w:style>
  <w:style w:type="character" w:customStyle="1" w:styleId="a4">
    <w:name w:val="כותרת עליונה תו"/>
    <w:link w:val="a3"/>
    <w:uiPriority w:val="99"/>
    <w:semiHidden/>
    <w:rsid w:val="007B1246"/>
    <w:rPr>
      <w:rFonts w:cs="FrankRuehl"/>
      <w:sz w:val="24"/>
      <w:szCs w:val="26"/>
      <w:lang w:eastAsia="he-IL"/>
    </w:rPr>
  </w:style>
  <w:style w:type="paragraph" w:styleId="a5">
    <w:name w:val="footer"/>
    <w:basedOn w:val="a"/>
    <w:link w:val="a6"/>
    <w:uiPriority w:val="99"/>
    <w:rsid w:val="00517B9D"/>
    <w:pPr>
      <w:widowControl w:val="0"/>
      <w:tabs>
        <w:tab w:val="center" w:pos="4153"/>
        <w:tab w:val="right" w:pos="8306"/>
      </w:tabs>
    </w:pPr>
    <w:rPr>
      <w:rFonts w:cs="David"/>
    </w:rPr>
  </w:style>
  <w:style w:type="character" w:customStyle="1" w:styleId="a6">
    <w:name w:val="כותרת תחתונה תו"/>
    <w:link w:val="a5"/>
    <w:uiPriority w:val="99"/>
    <w:semiHidden/>
    <w:rsid w:val="007B1246"/>
    <w:rPr>
      <w:rFonts w:cs="FrankRuehl"/>
      <w:sz w:val="24"/>
      <w:szCs w:val="26"/>
      <w:lang w:eastAsia="he-IL"/>
    </w:rPr>
  </w:style>
  <w:style w:type="character" w:styleId="Hyperlink">
    <w:name w:val="Hyperlink"/>
    <w:uiPriority w:val="99"/>
    <w:rsid w:val="00DD2AC9"/>
    <w:rPr>
      <w:rFonts w:cs="Times New Roman"/>
      <w:color w:val="0000FF"/>
      <w:u w:val="single"/>
    </w:rPr>
  </w:style>
  <w:style w:type="paragraph" w:customStyle="1" w:styleId="21">
    <w:name w:val="תו תו תו2 תו תו תו תו תו תו תו תו תו"/>
    <w:basedOn w:val="a"/>
    <w:uiPriority w:val="99"/>
    <w:rsid w:val="008F1CC0"/>
    <w:pPr>
      <w:bidi w:val="0"/>
      <w:spacing w:after="160" w:line="240" w:lineRule="exact"/>
      <w:jc w:val="left"/>
    </w:pPr>
    <w:rPr>
      <w:rFonts w:ascii="Tahoma" w:eastAsia="Batang" w:hAnsi="Tahoma" w:cs="Tahoma"/>
      <w:sz w:val="20"/>
      <w:szCs w:val="20"/>
      <w:lang w:eastAsia="en-US" w:bidi="ar-SA"/>
    </w:rPr>
  </w:style>
  <w:style w:type="paragraph" w:styleId="a7">
    <w:name w:val="Balloon Text"/>
    <w:basedOn w:val="a"/>
    <w:link w:val="a8"/>
    <w:uiPriority w:val="99"/>
    <w:semiHidden/>
    <w:rsid w:val="008F1CC0"/>
    <w:rPr>
      <w:rFonts w:ascii="Tahoma" w:hAnsi="Tahoma" w:cs="Tahoma"/>
      <w:sz w:val="16"/>
      <w:szCs w:val="16"/>
    </w:rPr>
  </w:style>
  <w:style w:type="character" w:customStyle="1" w:styleId="a8">
    <w:name w:val="טקסט בלונים תו"/>
    <w:link w:val="a7"/>
    <w:uiPriority w:val="99"/>
    <w:semiHidden/>
    <w:rsid w:val="007B1246"/>
    <w:rPr>
      <w:sz w:val="0"/>
      <w:szCs w:val="0"/>
      <w:lang w:eastAsia="he-IL"/>
    </w:rPr>
  </w:style>
  <w:style w:type="character" w:styleId="FollowedHyperlink">
    <w:name w:val="FollowedHyperlink"/>
    <w:uiPriority w:val="99"/>
    <w:semiHidden/>
    <w:rsid w:val="00CE79BA"/>
    <w:rPr>
      <w:rFonts w:cs="Times New Roman"/>
      <w:color w:val="800080"/>
      <w:u w:val="single"/>
    </w:rPr>
  </w:style>
  <w:style w:type="paragraph" w:customStyle="1" w:styleId="ListParagraph1">
    <w:name w:val="List Paragraph1"/>
    <w:basedOn w:val="a"/>
    <w:uiPriority w:val="99"/>
    <w:rsid w:val="00F41253"/>
    <w:pPr>
      <w:spacing w:before="120" w:after="120" w:line="360" w:lineRule="auto"/>
      <w:ind w:left="720"/>
      <w:contextualSpacing/>
    </w:pPr>
    <w:rPr>
      <w:rFonts w:cs="David"/>
      <w:szCs w:val="24"/>
      <w:lang w:eastAsia="en-US"/>
    </w:rPr>
  </w:style>
  <w:style w:type="paragraph" w:styleId="a9">
    <w:name w:val="Revision"/>
    <w:hidden/>
    <w:uiPriority w:val="99"/>
    <w:semiHidden/>
    <w:rsid w:val="00E109C9"/>
    <w:rPr>
      <w:rFonts w:cs="FrankRuehl"/>
      <w:sz w:val="24"/>
      <w:szCs w:val="26"/>
      <w:lang w:eastAsia="he-IL"/>
    </w:rPr>
  </w:style>
  <w:style w:type="paragraph" w:styleId="aa">
    <w:name w:val="List Paragraph"/>
    <w:basedOn w:val="a"/>
    <w:uiPriority w:val="34"/>
    <w:qFormat/>
    <w:rsid w:val="007B4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AC9"/>
    <w:pPr>
      <w:bidi/>
      <w:jc w:val="both"/>
    </w:pPr>
    <w:rPr>
      <w:rFonts w:cs="FrankRuehl"/>
      <w:sz w:val="24"/>
      <w:szCs w:val="26"/>
      <w:lang w:eastAsia="he-IL"/>
    </w:rPr>
  </w:style>
  <w:style w:type="paragraph" w:styleId="1">
    <w:name w:val="heading 1"/>
    <w:basedOn w:val="a"/>
    <w:next w:val="a"/>
    <w:link w:val="10"/>
    <w:uiPriority w:val="99"/>
    <w:qFormat/>
    <w:rsid w:val="00517B9D"/>
    <w:pPr>
      <w:spacing w:before="240" w:after="60"/>
      <w:outlineLvl w:val="0"/>
    </w:pPr>
    <w:rPr>
      <w:b/>
      <w:bCs/>
      <w:kern w:val="32"/>
      <w:sz w:val="36"/>
      <w:szCs w:val="36"/>
    </w:rPr>
  </w:style>
  <w:style w:type="paragraph" w:styleId="2">
    <w:name w:val="heading 2"/>
    <w:basedOn w:val="a"/>
    <w:next w:val="a"/>
    <w:link w:val="20"/>
    <w:uiPriority w:val="99"/>
    <w:qFormat/>
    <w:rsid w:val="00517B9D"/>
    <w:pPr>
      <w:spacing w:before="240" w:after="60"/>
      <w:outlineLvl w:val="1"/>
    </w:pPr>
    <w:rPr>
      <w:b/>
      <w:bCs/>
      <w:sz w:val="32"/>
      <w:szCs w:val="32"/>
    </w:rPr>
  </w:style>
  <w:style w:type="paragraph" w:styleId="3">
    <w:name w:val="heading 3"/>
    <w:basedOn w:val="a"/>
    <w:next w:val="a"/>
    <w:link w:val="30"/>
    <w:uiPriority w:val="99"/>
    <w:qFormat/>
    <w:rsid w:val="00517B9D"/>
    <w:pPr>
      <w:spacing w:before="240" w:after="6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B1246"/>
    <w:rPr>
      <w:rFonts w:ascii="Cambria" w:eastAsia="Times New Roman" w:hAnsi="Cambria" w:cs="Times New Roman"/>
      <w:b/>
      <w:bCs/>
      <w:kern w:val="32"/>
      <w:sz w:val="32"/>
      <w:szCs w:val="32"/>
      <w:lang w:eastAsia="he-IL"/>
    </w:rPr>
  </w:style>
  <w:style w:type="character" w:customStyle="1" w:styleId="20">
    <w:name w:val="כותרת 2 תו"/>
    <w:link w:val="2"/>
    <w:uiPriority w:val="9"/>
    <w:semiHidden/>
    <w:rsid w:val="007B1246"/>
    <w:rPr>
      <w:rFonts w:ascii="Cambria" w:eastAsia="Times New Roman" w:hAnsi="Cambria" w:cs="Times New Roman"/>
      <w:b/>
      <w:bCs/>
      <w:i/>
      <w:iCs/>
      <w:sz w:val="28"/>
      <w:szCs w:val="28"/>
      <w:lang w:eastAsia="he-IL"/>
    </w:rPr>
  </w:style>
  <w:style w:type="character" w:customStyle="1" w:styleId="30">
    <w:name w:val="כותרת 3 תו"/>
    <w:link w:val="3"/>
    <w:uiPriority w:val="9"/>
    <w:semiHidden/>
    <w:rsid w:val="007B1246"/>
    <w:rPr>
      <w:rFonts w:ascii="Cambria" w:eastAsia="Times New Roman" w:hAnsi="Cambria" w:cs="Times New Roman"/>
      <w:b/>
      <w:bCs/>
      <w:sz w:val="26"/>
      <w:szCs w:val="26"/>
      <w:lang w:eastAsia="he-IL"/>
    </w:rPr>
  </w:style>
  <w:style w:type="paragraph" w:styleId="a3">
    <w:name w:val="header"/>
    <w:basedOn w:val="a"/>
    <w:link w:val="a4"/>
    <w:uiPriority w:val="99"/>
    <w:rsid w:val="00517B9D"/>
    <w:pPr>
      <w:tabs>
        <w:tab w:val="center" w:pos="4153"/>
        <w:tab w:val="right" w:pos="8306"/>
      </w:tabs>
    </w:pPr>
  </w:style>
  <w:style w:type="character" w:customStyle="1" w:styleId="a4">
    <w:name w:val="כותרת עליונה תו"/>
    <w:link w:val="a3"/>
    <w:uiPriority w:val="99"/>
    <w:semiHidden/>
    <w:rsid w:val="007B1246"/>
    <w:rPr>
      <w:rFonts w:cs="FrankRuehl"/>
      <w:sz w:val="24"/>
      <w:szCs w:val="26"/>
      <w:lang w:eastAsia="he-IL"/>
    </w:rPr>
  </w:style>
  <w:style w:type="paragraph" w:styleId="a5">
    <w:name w:val="footer"/>
    <w:basedOn w:val="a"/>
    <w:link w:val="a6"/>
    <w:uiPriority w:val="99"/>
    <w:rsid w:val="00517B9D"/>
    <w:pPr>
      <w:widowControl w:val="0"/>
      <w:tabs>
        <w:tab w:val="center" w:pos="4153"/>
        <w:tab w:val="right" w:pos="8306"/>
      </w:tabs>
    </w:pPr>
    <w:rPr>
      <w:rFonts w:cs="David"/>
    </w:rPr>
  </w:style>
  <w:style w:type="character" w:customStyle="1" w:styleId="a6">
    <w:name w:val="כותרת תחתונה תו"/>
    <w:link w:val="a5"/>
    <w:uiPriority w:val="99"/>
    <w:semiHidden/>
    <w:rsid w:val="007B1246"/>
    <w:rPr>
      <w:rFonts w:cs="FrankRuehl"/>
      <w:sz w:val="24"/>
      <w:szCs w:val="26"/>
      <w:lang w:eastAsia="he-IL"/>
    </w:rPr>
  </w:style>
  <w:style w:type="character" w:styleId="Hyperlink">
    <w:name w:val="Hyperlink"/>
    <w:uiPriority w:val="99"/>
    <w:rsid w:val="00DD2AC9"/>
    <w:rPr>
      <w:rFonts w:cs="Times New Roman"/>
      <w:color w:val="0000FF"/>
      <w:u w:val="single"/>
    </w:rPr>
  </w:style>
  <w:style w:type="paragraph" w:customStyle="1" w:styleId="21">
    <w:name w:val="תו תו תו2 תו תו תו תו תו תו תו תו תו"/>
    <w:basedOn w:val="a"/>
    <w:uiPriority w:val="99"/>
    <w:rsid w:val="008F1CC0"/>
    <w:pPr>
      <w:bidi w:val="0"/>
      <w:spacing w:after="160" w:line="240" w:lineRule="exact"/>
      <w:jc w:val="left"/>
    </w:pPr>
    <w:rPr>
      <w:rFonts w:ascii="Tahoma" w:eastAsia="Batang" w:hAnsi="Tahoma" w:cs="Tahoma"/>
      <w:sz w:val="20"/>
      <w:szCs w:val="20"/>
      <w:lang w:eastAsia="en-US" w:bidi="ar-SA"/>
    </w:rPr>
  </w:style>
  <w:style w:type="paragraph" w:styleId="a7">
    <w:name w:val="Balloon Text"/>
    <w:basedOn w:val="a"/>
    <w:link w:val="a8"/>
    <w:uiPriority w:val="99"/>
    <w:semiHidden/>
    <w:rsid w:val="008F1CC0"/>
    <w:rPr>
      <w:rFonts w:ascii="Tahoma" w:hAnsi="Tahoma" w:cs="Tahoma"/>
      <w:sz w:val="16"/>
      <w:szCs w:val="16"/>
    </w:rPr>
  </w:style>
  <w:style w:type="character" w:customStyle="1" w:styleId="a8">
    <w:name w:val="טקסט בלונים תו"/>
    <w:link w:val="a7"/>
    <w:uiPriority w:val="99"/>
    <w:semiHidden/>
    <w:rsid w:val="007B1246"/>
    <w:rPr>
      <w:sz w:val="0"/>
      <w:szCs w:val="0"/>
      <w:lang w:eastAsia="he-IL"/>
    </w:rPr>
  </w:style>
  <w:style w:type="character" w:styleId="FollowedHyperlink">
    <w:name w:val="FollowedHyperlink"/>
    <w:uiPriority w:val="99"/>
    <w:semiHidden/>
    <w:rsid w:val="00CE79BA"/>
    <w:rPr>
      <w:rFonts w:cs="Times New Roman"/>
      <w:color w:val="800080"/>
      <w:u w:val="single"/>
    </w:rPr>
  </w:style>
  <w:style w:type="paragraph" w:customStyle="1" w:styleId="ListParagraph1">
    <w:name w:val="List Paragraph1"/>
    <w:basedOn w:val="a"/>
    <w:uiPriority w:val="99"/>
    <w:rsid w:val="00F41253"/>
    <w:pPr>
      <w:spacing w:before="120" w:after="120" w:line="360" w:lineRule="auto"/>
      <w:ind w:left="720"/>
      <w:contextualSpacing/>
    </w:pPr>
    <w:rPr>
      <w:rFonts w:cs="David"/>
      <w:szCs w:val="24"/>
      <w:lang w:eastAsia="en-US"/>
    </w:rPr>
  </w:style>
  <w:style w:type="paragraph" w:styleId="a9">
    <w:name w:val="Revision"/>
    <w:hidden/>
    <w:uiPriority w:val="99"/>
    <w:semiHidden/>
    <w:rsid w:val="00E109C9"/>
    <w:rPr>
      <w:rFonts w:cs="FrankRuehl"/>
      <w:sz w:val="24"/>
      <w:szCs w:val="26"/>
      <w:lang w:eastAsia="he-IL"/>
    </w:rPr>
  </w:style>
  <w:style w:type="paragraph" w:styleId="aa">
    <w:name w:val="List Paragraph"/>
    <w:basedOn w:val="a"/>
    <w:uiPriority w:val="34"/>
    <w:qFormat/>
    <w:rsid w:val="007B4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zar.mof.gov.il/hon/2001/general/gen_reports.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boi.org.il/"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FB34FED-F115-439C-8A26-426F373EDC37}"/>
</file>

<file path=customXml/itemProps2.xml><?xml version="1.0" encoding="utf-8"?>
<ds:datastoreItem xmlns:ds="http://schemas.openxmlformats.org/officeDocument/2006/customXml" ds:itemID="{CE7C1386-D105-450E-9A98-AE00FC45AF74}"/>
</file>

<file path=customXml/itemProps3.xml><?xml version="1.0" encoding="utf-8"?>
<ds:datastoreItem xmlns:ds="http://schemas.openxmlformats.org/officeDocument/2006/customXml" ds:itemID="{EB32367E-B8E6-4713-BA2C-144354BBBCB9}"/>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1689</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2013-05-29T07:36:00Z</dcterms:created>
  <dcterms:modified xsi:type="dcterms:W3CDTF">2013-05-29T07:44:00Z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