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35" w:rsidRPr="00D5151B" w:rsidRDefault="00306435" w:rsidP="00656FE6">
      <w:pPr>
        <w:rPr>
          <w:rtl/>
        </w:rPr>
      </w:pPr>
      <w:r w:rsidRPr="00D5151B">
        <w:rPr>
          <w:noProof/>
          <w:lang w:bidi="he-IL"/>
        </w:rPr>
        <w:drawing>
          <wp:anchor distT="0" distB="0" distL="114300" distR="114300" simplePos="0" relativeHeight="251658240" behindDoc="0" locked="0" layoutInCell="1" allowOverlap="1">
            <wp:simplePos x="0" y="0"/>
            <wp:positionH relativeFrom="margin">
              <wp:align>center</wp:align>
            </wp:positionH>
            <wp:positionV relativeFrom="paragraph">
              <wp:posOffset>-762000</wp:posOffset>
            </wp:positionV>
            <wp:extent cx="975360" cy="975360"/>
            <wp:effectExtent l="0" t="0" r="0" b="0"/>
            <wp:wrapNone/>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435" w:rsidRPr="00D5151B" w:rsidRDefault="00306435" w:rsidP="00306435">
      <w:pPr>
        <w:pStyle w:val="regpar"/>
        <w:spacing w:line="300" w:lineRule="atLeast"/>
        <w:ind w:firstLine="0"/>
        <w:jc w:val="center"/>
        <w:rPr>
          <w:rFonts w:ascii="Times New Roman" w:hAnsi="Times New Roman" w:cs="David"/>
          <w:b/>
        </w:rPr>
      </w:pPr>
    </w:p>
    <w:p w:rsidR="00306435" w:rsidRPr="00D5151B" w:rsidRDefault="00306435" w:rsidP="00306435">
      <w:pPr>
        <w:pStyle w:val="regpar"/>
        <w:spacing w:line="300" w:lineRule="atLeast"/>
        <w:ind w:firstLine="0"/>
        <w:jc w:val="center"/>
        <w:rPr>
          <w:rFonts w:ascii="Times New Roman" w:hAnsi="Times New Roman" w:cs="David"/>
          <w:b/>
          <w:sz w:val="28"/>
          <w:szCs w:val="28"/>
        </w:rPr>
      </w:pPr>
      <w:r w:rsidRPr="00D5151B">
        <w:rPr>
          <w:rFonts w:ascii="Times New Roman" w:hAnsi="Times New Roman" w:cs="David"/>
          <w:b/>
          <w:sz w:val="28"/>
          <w:szCs w:val="28"/>
        </w:rPr>
        <w:t>BANK OF ISRAEL</w:t>
      </w:r>
    </w:p>
    <w:p w:rsidR="00306435" w:rsidRPr="00D5151B" w:rsidRDefault="00306435" w:rsidP="00306435">
      <w:pPr>
        <w:pStyle w:val="regpar"/>
        <w:spacing w:line="300" w:lineRule="atLeast"/>
        <w:ind w:firstLine="0"/>
        <w:jc w:val="center"/>
        <w:rPr>
          <w:rFonts w:ascii="Times New Roman" w:hAnsi="Times New Roman" w:cs="Times New Roman"/>
          <w:b/>
        </w:rPr>
      </w:pPr>
      <w:r w:rsidRPr="00D5151B">
        <w:rPr>
          <w:rFonts w:ascii="Times New Roman" w:hAnsi="Times New Roman" w:cs="Times New Roman"/>
        </w:rPr>
        <w:t>Office of the Spokesperson and Economic Information</w:t>
      </w:r>
    </w:p>
    <w:p w:rsidR="00306435" w:rsidRPr="00D5151B" w:rsidRDefault="00306435" w:rsidP="00306435">
      <w:pPr>
        <w:jc w:val="center"/>
        <w:rPr>
          <w:rFonts w:cs="David"/>
          <w:b/>
          <w:bCs/>
        </w:rPr>
      </w:pPr>
    </w:p>
    <w:p w:rsidR="00306435" w:rsidRPr="00D5151B" w:rsidRDefault="00306435" w:rsidP="00306435">
      <w:pPr>
        <w:jc w:val="right"/>
      </w:pPr>
    </w:p>
    <w:p w:rsidR="00306435" w:rsidRPr="00D5151B" w:rsidRDefault="00D5151B" w:rsidP="004B0BD9">
      <w:pPr>
        <w:jc w:val="right"/>
        <w:rPr>
          <w:rFonts w:asciiTheme="majorBidi" w:hAnsiTheme="majorBidi" w:cstheme="majorBidi"/>
        </w:rPr>
      </w:pPr>
      <w:r>
        <w:rPr>
          <w:rFonts w:asciiTheme="majorBidi" w:hAnsiTheme="majorBidi" w:cstheme="majorBidi"/>
        </w:rPr>
        <w:t xml:space="preserve">25 </w:t>
      </w:r>
      <w:r w:rsidR="00B3125F" w:rsidRPr="00D5151B">
        <w:rPr>
          <w:rFonts w:asciiTheme="majorBidi" w:hAnsiTheme="majorBidi" w:cstheme="majorBidi"/>
        </w:rPr>
        <w:t>August</w:t>
      </w:r>
      <w:r w:rsidR="00B3125F">
        <w:rPr>
          <w:rFonts w:asciiTheme="majorBidi" w:hAnsiTheme="majorBidi" w:cstheme="majorBidi"/>
        </w:rPr>
        <w:t>,</w:t>
      </w:r>
      <w:r w:rsidR="00306435" w:rsidRPr="00D5151B">
        <w:rPr>
          <w:rFonts w:asciiTheme="majorBidi" w:hAnsiTheme="majorBidi" w:cstheme="majorBidi"/>
        </w:rPr>
        <w:t xml:space="preserve"> 2019</w:t>
      </w:r>
    </w:p>
    <w:p w:rsidR="00306435" w:rsidRPr="00D5151B" w:rsidRDefault="00306435" w:rsidP="00306435">
      <w:pPr>
        <w:tabs>
          <w:tab w:val="center" w:pos="4156"/>
          <w:tab w:val="right" w:pos="8312"/>
        </w:tabs>
        <w:jc w:val="center"/>
        <w:rPr>
          <w:rFonts w:cs="David"/>
        </w:rPr>
      </w:pPr>
    </w:p>
    <w:p w:rsidR="00306435" w:rsidRPr="00D5151B" w:rsidRDefault="00306435" w:rsidP="00EB7024">
      <w:pPr>
        <w:spacing w:line="360" w:lineRule="auto"/>
        <w:jc w:val="both"/>
        <w:rPr>
          <w:rFonts w:ascii="Times" w:hAnsi="Times" w:cs="Times"/>
          <w:b/>
          <w:bCs/>
          <w:sz w:val="28"/>
          <w:szCs w:val="28"/>
        </w:rPr>
      </w:pPr>
    </w:p>
    <w:p w:rsidR="00386B2D" w:rsidRPr="00D5151B" w:rsidRDefault="002C3019" w:rsidP="00306435">
      <w:pPr>
        <w:spacing w:line="360" w:lineRule="auto"/>
        <w:jc w:val="center"/>
        <w:rPr>
          <w:rFonts w:ascii="Times" w:hAnsi="Times" w:cs="Times"/>
          <w:b/>
          <w:bCs/>
          <w:sz w:val="28"/>
          <w:szCs w:val="28"/>
        </w:rPr>
      </w:pPr>
      <w:r w:rsidRPr="00D5151B">
        <w:rPr>
          <w:rFonts w:ascii="Times" w:hAnsi="Times" w:cs="Times"/>
          <w:b/>
          <w:bCs/>
          <w:sz w:val="28"/>
          <w:szCs w:val="28"/>
        </w:rPr>
        <w:t>Closing Panel</w:t>
      </w:r>
      <w:r w:rsidR="00040AAA" w:rsidRPr="00D5151B">
        <w:rPr>
          <w:rFonts w:ascii="Times" w:hAnsi="Times" w:cs="Times"/>
          <w:b/>
          <w:bCs/>
          <w:sz w:val="28"/>
          <w:szCs w:val="28"/>
        </w:rPr>
        <w:t xml:space="preserve"> Speech</w:t>
      </w:r>
      <w:r w:rsidR="00D23A14" w:rsidRPr="00D5151B">
        <w:rPr>
          <w:rFonts w:ascii="Times" w:hAnsi="Times" w:cs="Times"/>
          <w:b/>
          <w:bCs/>
          <w:sz w:val="28"/>
          <w:szCs w:val="28"/>
        </w:rPr>
        <w:t xml:space="preserve"> at</w:t>
      </w:r>
      <w:r w:rsidRPr="00D5151B">
        <w:rPr>
          <w:rFonts w:ascii="Times" w:hAnsi="Times" w:cs="Times"/>
          <w:b/>
          <w:bCs/>
          <w:sz w:val="28"/>
          <w:szCs w:val="28"/>
        </w:rPr>
        <w:t xml:space="preserve"> </w:t>
      </w:r>
      <w:r w:rsidR="00386B2D" w:rsidRPr="00D5151B">
        <w:rPr>
          <w:rFonts w:ascii="Times" w:hAnsi="Times" w:cs="Times"/>
          <w:b/>
          <w:bCs/>
          <w:sz w:val="28"/>
          <w:szCs w:val="28"/>
        </w:rPr>
        <w:t xml:space="preserve">2019 </w:t>
      </w:r>
      <w:r w:rsidRPr="00D5151B">
        <w:rPr>
          <w:rFonts w:ascii="Times" w:hAnsi="Times" w:cs="Times"/>
          <w:b/>
          <w:bCs/>
          <w:sz w:val="28"/>
          <w:szCs w:val="28"/>
        </w:rPr>
        <w:t>Jackson Hole Conference</w:t>
      </w:r>
    </w:p>
    <w:p w:rsidR="002C3019" w:rsidRPr="00D5151B" w:rsidRDefault="002C3019" w:rsidP="00306435">
      <w:pPr>
        <w:spacing w:line="360" w:lineRule="auto"/>
        <w:jc w:val="center"/>
        <w:rPr>
          <w:rFonts w:ascii="Times" w:hAnsi="Times" w:cs="Times"/>
          <w:b/>
          <w:bCs/>
          <w:sz w:val="28"/>
          <w:szCs w:val="28"/>
        </w:rPr>
      </w:pPr>
      <w:r w:rsidRPr="00D5151B">
        <w:rPr>
          <w:rFonts w:ascii="Times" w:hAnsi="Times" w:cs="Times"/>
          <w:b/>
          <w:bCs/>
          <w:sz w:val="28"/>
          <w:szCs w:val="28"/>
        </w:rPr>
        <w:t>Amir Yaron: Governor</w:t>
      </w:r>
      <w:r w:rsidR="00FA4863" w:rsidRPr="00D5151B">
        <w:rPr>
          <w:rFonts w:ascii="Times" w:hAnsi="Times" w:cs="Times"/>
          <w:b/>
          <w:bCs/>
          <w:sz w:val="28"/>
          <w:szCs w:val="28"/>
        </w:rPr>
        <w:t>,</w:t>
      </w:r>
      <w:r w:rsidRPr="00D5151B">
        <w:rPr>
          <w:rFonts w:ascii="Times" w:hAnsi="Times" w:cs="Times"/>
          <w:b/>
          <w:bCs/>
          <w:sz w:val="28"/>
          <w:szCs w:val="28"/>
        </w:rPr>
        <w:t xml:space="preserve"> Bank of Israel</w:t>
      </w:r>
    </w:p>
    <w:p w:rsidR="001B2405" w:rsidRPr="00D5151B" w:rsidRDefault="001B2405" w:rsidP="00306435">
      <w:pPr>
        <w:spacing w:line="360" w:lineRule="auto"/>
        <w:jc w:val="center"/>
        <w:rPr>
          <w:rFonts w:ascii="Times" w:hAnsi="Times" w:cs="Times"/>
          <w:b/>
          <w:bCs/>
          <w:sz w:val="28"/>
          <w:szCs w:val="28"/>
        </w:rPr>
      </w:pPr>
    </w:p>
    <w:p w:rsidR="00F81D24" w:rsidRPr="00D5151B" w:rsidRDefault="007A0487" w:rsidP="00306435">
      <w:pPr>
        <w:spacing w:line="360" w:lineRule="auto"/>
        <w:jc w:val="center"/>
        <w:rPr>
          <w:rFonts w:ascii="Times" w:hAnsi="Times" w:cs="Times"/>
          <w:b/>
          <w:bCs/>
          <w:sz w:val="28"/>
          <w:szCs w:val="28"/>
        </w:rPr>
      </w:pPr>
      <w:bookmarkStart w:id="0" w:name="_Hlk17264966"/>
      <w:r w:rsidRPr="00D5151B">
        <w:rPr>
          <w:rFonts w:ascii="Times" w:hAnsi="Times" w:cs="Times"/>
          <w:b/>
          <w:bCs/>
          <w:sz w:val="28"/>
          <w:szCs w:val="28"/>
        </w:rPr>
        <w:t>M</w:t>
      </w:r>
      <w:r w:rsidR="00F81D24" w:rsidRPr="00D5151B">
        <w:rPr>
          <w:rFonts w:ascii="Times" w:hAnsi="Times" w:cs="Times"/>
          <w:b/>
          <w:bCs/>
          <w:sz w:val="28"/>
          <w:szCs w:val="28"/>
        </w:rPr>
        <w:t>onetary policy challenges and the no free lunch in government debt.</w:t>
      </w:r>
    </w:p>
    <w:bookmarkEnd w:id="0"/>
    <w:p w:rsidR="002C3019" w:rsidRPr="00D5151B" w:rsidRDefault="002C3019" w:rsidP="00CE391A">
      <w:pPr>
        <w:spacing w:line="360" w:lineRule="auto"/>
        <w:jc w:val="both"/>
        <w:rPr>
          <w:rFonts w:ascii="Times" w:hAnsi="Times" w:cs="Times"/>
        </w:rPr>
      </w:pPr>
    </w:p>
    <w:p w:rsidR="00024D6A" w:rsidRPr="00D5151B" w:rsidRDefault="00024D6A" w:rsidP="00D3715A">
      <w:pPr>
        <w:pStyle w:val="ad"/>
        <w:numPr>
          <w:ilvl w:val="0"/>
          <w:numId w:val="5"/>
        </w:numPr>
        <w:spacing w:line="360" w:lineRule="auto"/>
        <w:jc w:val="both"/>
        <w:rPr>
          <w:rFonts w:ascii="Times" w:hAnsi="Times" w:cs="Times"/>
          <w:b/>
          <w:bCs/>
        </w:rPr>
      </w:pPr>
      <w:r w:rsidRPr="00D5151B">
        <w:rPr>
          <w:rFonts w:ascii="Times" w:hAnsi="Times" w:cs="Times"/>
          <w:b/>
          <w:bCs/>
        </w:rPr>
        <w:t>Monetary divergence challenges independent monetary policy for SOEs</w:t>
      </w:r>
      <w:r w:rsidR="00FA4863" w:rsidRPr="00D5151B">
        <w:rPr>
          <w:rFonts w:ascii="Times" w:hAnsi="Times" w:cs="Times"/>
          <w:b/>
          <w:bCs/>
        </w:rPr>
        <w:t>.</w:t>
      </w:r>
      <w:r w:rsidR="00D3715A" w:rsidRPr="00D5151B">
        <w:rPr>
          <w:rFonts w:ascii="Times" w:hAnsi="Times" w:cs="Times"/>
          <w:b/>
          <w:bCs/>
        </w:rPr>
        <w:t xml:space="preserve"> These challenges are here to stay</w:t>
      </w:r>
      <w:r w:rsidR="006B0688" w:rsidRPr="00D5151B">
        <w:rPr>
          <w:rFonts w:ascii="Times" w:hAnsi="Times" w:cs="Times"/>
          <w:b/>
          <w:bCs/>
        </w:rPr>
        <w:t>.</w:t>
      </w:r>
      <w:r w:rsidRPr="00D5151B">
        <w:rPr>
          <w:rFonts w:ascii="Times" w:hAnsi="Times" w:cs="Times"/>
          <w:b/>
          <w:bCs/>
        </w:rPr>
        <w:t xml:space="preserve"> </w:t>
      </w:r>
    </w:p>
    <w:p w:rsidR="00183A16" w:rsidRPr="00D5151B" w:rsidRDefault="00183A16" w:rsidP="007B5BC9">
      <w:pPr>
        <w:pStyle w:val="ad"/>
        <w:numPr>
          <w:ilvl w:val="0"/>
          <w:numId w:val="5"/>
        </w:numPr>
        <w:spacing w:line="360" w:lineRule="auto"/>
        <w:jc w:val="both"/>
        <w:rPr>
          <w:rFonts w:ascii="Times" w:hAnsi="Times" w:cs="Times"/>
          <w:b/>
          <w:bCs/>
        </w:rPr>
      </w:pPr>
      <w:r w:rsidRPr="00D5151B">
        <w:rPr>
          <w:rFonts w:ascii="Times" w:hAnsi="Times" w:cs="Times"/>
          <w:b/>
          <w:bCs/>
        </w:rPr>
        <w:t>Data dependency is a challenge for conducting and communicating monetary policy</w:t>
      </w:r>
      <w:r w:rsidR="007B5BC9" w:rsidRPr="00D5151B">
        <w:rPr>
          <w:rFonts w:ascii="Times" w:hAnsi="Times" w:cs="Times"/>
          <w:b/>
          <w:bCs/>
        </w:rPr>
        <w:t>,</w:t>
      </w:r>
      <w:r w:rsidR="00274225" w:rsidRPr="00D5151B">
        <w:rPr>
          <w:rFonts w:ascii="Times" w:hAnsi="Times" w:cs="Times"/>
          <w:b/>
          <w:bCs/>
        </w:rPr>
        <w:t xml:space="preserve"> </w:t>
      </w:r>
      <w:r w:rsidR="007B5BC9" w:rsidRPr="00D5151B">
        <w:rPr>
          <w:rFonts w:ascii="Times" w:hAnsi="Times" w:cs="Times"/>
          <w:b/>
          <w:bCs/>
        </w:rPr>
        <w:t>especially for SOEs who also have to take into account the policy rules of others.</w:t>
      </w:r>
    </w:p>
    <w:p w:rsidR="009D1CCD" w:rsidRPr="00D5151B" w:rsidRDefault="00D23A14" w:rsidP="00E1211C">
      <w:pPr>
        <w:pStyle w:val="ad"/>
        <w:numPr>
          <w:ilvl w:val="0"/>
          <w:numId w:val="5"/>
        </w:numPr>
        <w:spacing w:line="360" w:lineRule="auto"/>
        <w:jc w:val="both"/>
        <w:rPr>
          <w:rFonts w:ascii="Times" w:hAnsi="Times" w:cs="Times"/>
          <w:b/>
          <w:bCs/>
        </w:rPr>
      </w:pPr>
      <w:r w:rsidRPr="00D5151B">
        <w:rPr>
          <w:rFonts w:ascii="Times" w:hAnsi="Times" w:cs="Times"/>
          <w:b/>
          <w:bCs/>
        </w:rPr>
        <w:t xml:space="preserve">The sensitivity of the stock market reaction to macro news announcements is countercyclical, and depends on the expectations </w:t>
      </w:r>
      <w:r w:rsidR="00E1211C" w:rsidRPr="00D5151B">
        <w:rPr>
          <w:rFonts w:ascii="Times" w:hAnsi="Times" w:cs="Times"/>
          <w:b/>
          <w:bCs/>
        </w:rPr>
        <w:t xml:space="preserve">regarding </w:t>
      </w:r>
      <w:r w:rsidRPr="00D5151B">
        <w:rPr>
          <w:rFonts w:ascii="Times" w:hAnsi="Times" w:cs="Times"/>
          <w:b/>
          <w:bCs/>
        </w:rPr>
        <w:t>monetary policy.</w:t>
      </w:r>
      <w:r w:rsidR="009D1CCD" w:rsidRPr="00D5151B">
        <w:rPr>
          <w:rFonts w:ascii="Times" w:hAnsi="Times" w:cs="Times"/>
          <w:b/>
          <w:bCs/>
        </w:rPr>
        <w:t xml:space="preserve"> </w:t>
      </w:r>
    </w:p>
    <w:p w:rsidR="00B73ACC" w:rsidRPr="00D5151B" w:rsidRDefault="00B73ACC" w:rsidP="00E1211C">
      <w:pPr>
        <w:pStyle w:val="ad"/>
        <w:numPr>
          <w:ilvl w:val="0"/>
          <w:numId w:val="5"/>
        </w:numPr>
        <w:spacing w:line="360" w:lineRule="auto"/>
        <w:jc w:val="both"/>
        <w:rPr>
          <w:rFonts w:ascii="Times" w:hAnsi="Times" w:cs="Times"/>
          <w:b/>
          <w:bCs/>
        </w:rPr>
      </w:pPr>
      <w:r w:rsidRPr="00D5151B">
        <w:rPr>
          <w:rFonts w:asciiTheme="majorBidi" w:hAnsiTheme="majorBidi" w:cstheme="majorBidi"/>
          <w:b/>
          <w:bCs/>
          <w:lang w:bidi="he-IL"/>
        </w:rPr>
        <w:t>In interpreting market data</w:t>
      </w:r>
      <w:r w:rsidR="00E1211C" w:rsidRPr="00D5151B">
        <w:rPr>
          <w:rFonts w:asciiTheme="majorBidi" w:hAnsiTheme="majorBidi" w:cstheme="majorBidi"/>
          <w:b/>
          <w:bCs/>
          <w:lang w:bidi="he-IL"/>
        </w:rPr>
        <w:t>,</w:t>
      </w:r>
      <w:r w:rsidRPr="00D5151B">
        <w:rPr>
          <w:rFonts w:asciiTheme="majorBidi" w:hAnsiTheme="majorBidi" w:cstheme="majorBidi"/>
          <w:b/>
          <w:bCs/>
          <w:lang w:bidi="he-IL"/>
        </w:rPr>
        <w:t xml:space="preserve"> central bankers should account for the cyclical position of the economy, and attempt to disentangle the feedback between economic expectations and market projections about the central bank’s behavior</w:t>
      </w:r>
      <w:r w:rsidRPr="00D5151B">
        <w:rPr>
          <w:rFonts w:asciiTheme="majorBidi" w:hAnsiTheme="majorBidi" w:cstheme="majorBidi"/>
          <w:lang w:bidi="he-IL"/>
        </w:rPr>
        <w:t>.</w:t>
      </w:r>
    </w:p>
    <w:p w:rsidR="00EC6D95" w:rsidRPr="00D5151B" w:rsidRDefault="006B0688" w:rsidP="00EC6D95">
      <w:pPr>
        <w:pStyle w:val="ad"/>
        <w:numPr>
          <w:ilvl w:val="0"/>
          <w:numId w:val="5"/>
        </w:numPr>
        <w:spacing w:line="360" w:lineRule="auto"/>
        <w:jc w:val="both"/>
        <w:rPr>
          <w:rFonts w:ascii="Times" w:hAnsi="Times" w:cs="Times"/>
          <w:b/>
          <w:bCs/>
        </w:rPr>
      </w:pPr>
      <w:r w:rsidRPr="00D5151B">
        <w:rPr>
          <w:rFonts w:ascii="Times" w:hAnsi="Times" w:cs="Times"/>
          <w:b/>
          <w:bCs/>
        </w:rPr>
        <w:t>I</w:t>
      </w:r>
      <w:r w:rsidR="00D3715A" w:rsidRPr="00D5151B">
        <w:rPr>
          <w:rFonts w:ascii="Times" w:hAnsi="Times" w:cs="Times"/>
          <w:b/>
          <w:bCs/>
        </w:rPr>
        <w:t>ncreasing the supply of safe assets (</w:t>
      </w:r>
      <w:r w:rsidR="00641751" w:rsidRPr="00D5151B">
        <w:rPr>
          <w:rFonts w:ascii="Times" w:hAnsi="Times" w:cs="Times"/>
          <w:b/>
          <w:bCs/>
        </w:rPr>
        <w:t>via</w:t>
      </w:r>
      <w:r w:rsidR="00D3715A" w:rsidRPr="00D5151B">
        <w:rPr>
          <w:rFonts w:ascii="Times" w:hAnsi="Times" w:cs="Times"/>
          <w:b/>
          <w:bCs/>
        </w:rPr>
        <w:t xml:space="preserve"> government bonds) can </w:t>
      </w:r>
      <w:r w:rsidR="00641751" w:rsidRPr="00D5151B">
        <w:rPr>
          <w:rFonts w:ascii="Times" w:hAnsi="Times" w:cs="Times"/>
          <w:b/>
          <w:bCs/>
        </w:rPr>
        <w:t xml:space="preserve">reduce </w:t>
      </w:r>
      <w:r w:rsidR="00D3715A" w:rsidRPr="00D5151B">
        <w:rPr>
          <w:rFonts w:ascii="Times" w:hAnsi="Times" w:cs="Times"/>
          <w:b/>
          <w:bCs/>
        </w:rPr>
        <w:t xml:space="preserve">liquidity premia, </w:t>
      </w:r>
      <w:r w:rsidR="00641751" w:rsidRPr="00D5151B">
        <w:rPr>
          <w:rFonts w:ascii="Times" w:hAnsi="Times" w:cs="Times"/>
          <w:b/>
          <w:bCs/>
        </w:rPr>
        <w:t>but</w:t>
      </w:r>
      <w:r w:rsidRPr="00D5151B">
        <w:rPr>
          <w:rFonts w:ascii="Times" w:hAnsi="Times" w:cs="Times"/>
          <w:b/>
          <w:bCs/>
        </w:rPr>
        <w:t xml:space="preserve"> </w:t>
      </w:r>
      <w:r w:rsidR="00D3715A" w:rsidRPr="00D5151B">
        <w:rPr>
          <w:rFonts w:ascii="Times" w:hAnsi="Times" w:cs="Times"/>
          <w:b/>
          <w:bCs/>
        </w:rPr>
        <w:t>rais</w:t>
      </w:r>
      <w:r w:rsidR="00641751" w:rsidRPr="00D5151B">
        <w:rPr>
          <w:rFonts w:ascii="Times" w:hAnsi="Times" w:cs="Times"/>
          <w:b/>
          <w:bCs/>
        </w:rPr>
        <w:t>es</w:t>
      </w:r>
      <w:r w:rsidR="00D3715A" w:rsidRPr="00D5151B">
        <w:rPr>
          <w:rFonts w:ascii="Times" w:hAnsi="Times" w:cs="Times"/>
          <w:b/>
          <w:bCs/>
        </w:rPr>
        <w:t xml:space="preserve"> corporate</w:t>
      </w:r>
      <w:r w:rsidR="00641751" w:rsidRPr="00D5151B">
        <w:rPr>
          <w:rFonts w:ascii="Times" w:hAnsi="Times" w:cs="Times"/>
          <w:b/>
          <w:bCs/>
        </w:rPr>
        <w:t xml:space="preserve"> </w:t>
      </w:r>
      <w:r w:rsidR="00D3715A" w:rsidRPr="00D5151B">
        <w:rPr>
          <w:rFonts w:ascii="Times" w:hAnsi="Times" w:cs="Times"/>
          <w:b/>
          <w:bCs/>
        </w:rPr>
        <w:t>risk</w:t>
      </w:r>
      <w:r w:rsidR="00641751" w:rsidRPr="00D5151B">
        <w:rPr>
          <w:rFonts w:ascii="Times" w:hAnsi="Times" w:cs="Times"/>
          <w:b/>
          <w:bCs/>
        </w:rPr>
        <w:t xml:space="preserve"> premia</w:t>
      </w:r>
      <w:r w:rsidR="00D3715A" w:rsidRPr="00D5151B">
        <w:rPr>
          <w:rFonts w:ascii="Times" w:hAnsi="Times" w:cs="Times"/>
          <w:b/>
          <w:bCs/>
        </w:rPr>
        <w:t>, and this trade off may</w:t>
      </w:r>
      <w:r w:rsidR="00183A16" w:rsidRPr="00D5151B">
        <w:rPr>
          <w:rFonts w:ascii="Times" w:hAnsi="Times" w:cs="Times"/>
          <w:b/>
          <w:bCs/>
        </w:rPr>
        <w:t xml:space="preserve"> not be favorable especially for SOE's</w:t>
      </w:r>
      <w:r w:rsidR="00FD713F" w:rsidRPr="00D5151B">
        <w:rPr>
          <w:rFonts w:ascii="Times" w:hAnsi="Times" w:cs="Times"/>
          <w:b/>
          <w:bCs/>
        </w:rPr>
        <w:t xml:space="preserve">. </w:t>
      </w:r>
    </w:p>
    <w:p w:rsidR="00B12826" w:rsidRPr="00D5151B" w:rsidRDefault="00806950" w:rsidP="001B2405">
      <w:pPr>
        <w:pStyle w:val="ad"/>
        <w:numPr>
          <w:ilvl w:val="0"/>
          <w:numId w:val="5"/>
        </w:numPr>
        <w:spacing w:line="360" w:lineRule="auto"/>
        <w:jc w:val="both"/>
        <w:rPr>
          <w:rFonts w:ascii="Times" w:hAnsi="Times" w:cs="Times"/>
          <w:b/>
          <w:bCs/>
        </w:rPr>
      </w:pPr>
      <w:r w:rsidRPr="00D5151B">
        <w:rPr>
          <w:rFonts w:ascii="Times" w:hAnsi="Times" w:cs="Times"/>
          <w:b/>
          <w:bCs/>
        </w:rPr>
        <w:t>There are risks embedded in safe assets</w:t>
      </w:r>
      <w:r w:rsidR="00FA4863" w:rsidRPr="00D5151B">
        <w:rPr>
          <w:rFonts w:ascii="Times" w:hAnsi="Times" w:cs="Times"/>
          <w:b/>
          <w:bCs/>
        </w:rPr>
        <w:t>,</w:t>
      </w:r>
      <w:r w:rsidRPr="00D5151B">
        <w:rPr>
          <w:rFonts w:ascii="Times" w:hAnsi="Times" w:cs="Times"/>
          <w:b/>
          <w:bCs/>
        </w:rPr>
        <w:t xml:space="preserve"> and increasing their quantity in the form of increased debt is not likely to </w:t>
      </w:r>
      <w:r w:rsidR="00FA4863" w:rsidRPr="00D5151B">
        <w:rPr>
          <w:rFonts w:ascii="Times" w:hAnsi="Times" w:cs="Times"/>
          <w:b/>
          <w:bCs/>
        </w:rPr>
        <w:t>come</w:t>
      </w:r>
      <w:r w:rsidRPr="00D5151B">
        <w:rPr>
          <w:rFonts w:ascii="Times" w:hAnsi="Times" w:cs="Times"/>
          <w:b/>
          <w:bCs/>
        </w:rPr>
        <w:t xml:space="preserve"> without fiscal costs</w:t>
      </w:r>
      <w:r w:rsidR="00FA4863" w:rsidRPr="00D5151B">
        <w:rPr>
          <w:rFonts w:ascii="Times" w:hAnsi="Times" w:cs="Times"/>
          <w:b/>
          <w:bCs/>
        </w:rPr>
        <w:t>.</w:t>
      </w:r>
      <w:r w:rsidR="00616BCE" w:rsidRPr="00D5151B">
        <w:rPr>
          <w:rFonts w:ascii="Times" w:hAnsi="Times" w:cs="Times"/>
        </w:rPr>
        <w:br w:type="page"/>
      </w:r>
    </w:p>
    <w:p w:rsidR="00C24944" w:rsidRPr="00D5151B" w:rsidRDefault="00C24944" w:rsidP="00CE391A">
      <w:pPr>
        <w:spacing w:line="360" w:lineRule="auto"/>
        <w:jc w:val="both"/>
        <w:rPr>
          <w:rFonts w:asciiTheme="majorBidi" w:hAnsiTheme="majorBidi" w:cstheme="majorBidi"/>
        </w:rPr>
      </w:pPr>
      <w:r w:rsidRPr="00D5151B">
        <w:rPr>
          <w:rFonts w:asciiTheme="majorBidi" w:hAnsiTheme="majorBidi" w:cstheme="majorBidi"/>
        </w:rPr>
        <w:lastRenderedPageBreak/>
        <w:t>Dear Colleagues and Participants</w:t>
      </w:r>
      <w:r w:rsidR="00FA4863" w:rsidRPr="00D5151B">
        <w:rPr>
          <w:rFonts w:asciiTheme="majorBidi" w:hAnsiTheme="majorBidi" w:cstheme="majorBidi"/>
        </w:rPr>
        <w:t>,</w:t>
      </w:r>
    </w:p>
    <w:p w:rsidR="00C24944" w:rsidRPr="00D5151B" w:rsidRDefault="00C24944" w:rsidP="00CE391A">
      <w:pPr>
        <w:spacing w:line="360" w:lineRule="auto"/>
        <w:jc w:val="both"/>
        <w:rPr>
          <w:rFonts w:asciiTheme="majorBidi" w:hAnsiTheme="majorBidi" w:cstheme="majorBidi"/>
        </w:rPr>
      </w:pPr>
    </w:p>
    <w:p w:rsidR="00C24944" w:rsidRPr="00D5151B" w:rsidRDefault="00C24944" w:rsidP="00FA4863">
      <w:pPr>
        <w:spacing w:line="360" w:lineRule="auto"/>
        <w:jc w:val="both"/>
        <w:rPr>
          <w:rFonts w:asciiTheme="majorBidi" w:hAnsiTheme="majorBidi" w:cstheme="majorBidi"/>
        </w:rPr>
      </w:pPr>
      <w:r w:rsidRPr="00D5151B">
        <w:rPr>
          <w:rFonts w:asciiTheme="majorBidi" w:hAnsiTheme="majorBidi" w:cstheme="majorBidi"/>
        </w:rPr>
        <w:t xml:space="preserve">I’d like to take this opportunity to thank the organizers of the Jackson Hole </w:t>
      </w:r>
      <w:r w:rsidR="00D365A7" w:rsidRPr="00D5151B">
        <w:rPr>
          <w:rFonts w:asciiTheme="majorBidi" w:hAnsiTheme="majorBidi" w:cstheme="majorBidi"/>
        </w:rPr>
        <w:t xml:space="preserve">Symposium for an excellent </w:t>
      </w:r>
      <w:r w:rsidRPr="00D5151B">
        <w:rPr>
          <w:rFonts w:asciiTheme="majorBidi" w:hAnsiTheme="majorBidi" w:cstheme="majorBidi"/>
        </w:rPr>
        <w:t xml:space="preserve">conference. As </w:t>
      </w:r>
      <w:r w:rsidR="006221FF" w:rsidRPr="00D5151B">
        <w:rPr>
          <w:rFonts w:asciiTheme="majorBidi" w:hAnsiTheme="majorBidi" w:cstheme="majorBidi"/>
        </w:rPr>
        <w:t>usual,</w:t>
      </w:r>
      <w:r w:rsidRPr="00D5151B">
        <w:rPr>
          <w:rFonts w:asciiTheme="majorBidi" w:hAnsiTheme="majorBidi" w:cstheme="majorBidi"/>
        </w:rPr>
        <w:t xml:space="preserve"> </w:t>
      </w:r>
      <w:r w:rsidR="000C535C" w:rsidRPr="00D5151B">
        <w:rPr>
          <w:rFonts w:asciiTheme="majorBidi" w:hAnsiTheme="majorBidi" w:cstheme="majorBidi"/>
        </w:rPr>
        <w:t>the conference</w:t>
      </w:r>
      <w:r w:rsidRPr="00D5151B">
        <w:rPr>
          <w:rFonts w:asciiTheme="majorBidi" w:hAnsiTheme="majorBidi" w:cstheme="majorBidi"/>
        </w:rPr>
        <w:t xml:space="preserve"> raises many relevant issues and interesting perspectives. I will try</w:t>
      </w:r>
      <w:r w:rsidR="008F0D5B" w:rsidRPr="00D5151B">
        <w:rPr>
          <w:rFonts w:asciiTheme="majorBidi" w:hAnsiTheme="majorBidi" w:cstheme="majorBidi"/>
        </w:rPr>
        <w:t>,</w:t>
      </w:r>
      <w:r w:rsidRPr="00D5151B">
        <w:rPr>
          <w:rFonts w:asciiTheme="majorBidi" w:hAnsiTheme="majorBidi" w:cstheme="majorBidi"/>
        </w:rPr>
        <w:t xml:space="preserve"> </w:t>
      </w:r>
      <w:r w:rsidR="000C535C" w:rsidRPr="00D5151B">
        <w:rPr>
          <w:rFonts w:asciiTheme="majorBidi" w:hAnsiTheme="majorBidi" w:cstheme="majorBidi"/>
        </w:rPr>
        <w:t>during my talk</w:t>
      </w:r>
      <w:r w:rsidR="008F0D5B" w:rsidRPr="00D5151B">
        <w:rPr>
          <w:rFonts w:asciiTheme="majorBidi" w:hAnsiTheme="majorBidi" w:cstheme="majorBidi"/>
        </w:rPr>
        <w:t>,</w:t>
      </w:r>
      <w:r w:rsidR="000C535C" w:rsidRPr="00D5151B">
        <w:rPr>
          <w:rFonts w:asciiTheme="majorBidi" w:hAnsiTheme="majorBidi" w:cstheme="majorBidi"/>
        </w:rPr>
        <w:t xml:space="preserve"> </w:t>
      </w:r>
      <w:r w:rsidRPr="00D5151B">
        <w:rPr>
          <w:rFonts w:asciiTheme="majorBidi" w:hAnsiTheme="majorBidi" w:cstheme="majorBidi"/>
        </w:rPr>
        <w:t xml:space="preserve">to </w:t>
      </w:r>
      <w:r w:rsidR="00FA4863" w:rsidRPr="00D5151B">
        <w:rPr>
          <w:rFonts w:asciiTheme="majorBidi" w:hAnsiTheme="majorBidi" w:cstheme="majorBidi"/>
        </w:rPr>
        <w:t>provide</w:t>
      </w:r>
      <w:r w:rsidRPr="00D5151B">
        <w:rPr>
          <w:rFonts w:asciiTheme="majorBidi" w:hAnsiTheme="majorBidi" w:cstheme="majorBidi"/>
        </w:rPr>
        <w:t xml:space="preserve"> </w:t>
      </w:r>
      <w:r w:rsidR="008F0D5B" w:rsidRPr="00D5151B">
        <w:rPr>
          <w:rFonts w:asciiTheme="majorBidi" w:hAnsiTheme="majorBidi" w:cstheme="majorBidi"/>
        </w:rPr>
        <w:t xml:space="preserve">my perspectives on </w:t>
      </w:r>
      <w:r w:rsidR="00FA013E" w:rsidRPr="00D5151B">
        <w:rPr>
          <w:rFonts w:asciiTheme="majorBidi" w:hAnsiTheme="majorBidi" w:cstheme="majorBidi"/>
        </w:rPr>
        <w:t xml:space="preserve">some of </w:t>
      </w:r>
      <w:r w:rsidR="008F0D5B" w:rsidRPr="00D5151B">
        <w:rPr>
          <w:rFonts w:asciiTheme="majorBidi" w:hAnsiTheme="majorBidi" w:cstheme="majorBidi"/>
        </w:rPr>
        <w:t xml:space="preserve">the </w:t>
      </w:r>
      <w:r w:rsidRPr="00D5151B">
        <w:rPr>
          <w:rFonts w:asciiTheme="majorBidi" w:hAnsiTheme="majorBidi" w:cstheme="majorBidi"/>
        </w:rPr>
        <w:t>panel topics, present some references to Israel</w:t>
      </w:r>
      <w:r w:rsidR="00FA4863" w:rsidRPr="00D5151B">
        <w:rPr>
          <w:rFonts w:asciiTheme="majorBidi" w:hAnsiTheme="majorBidi" w:cstheme="majorBidi"/>
        </w:rPr>
        <w:t xml:space="preserve"> where appropriate</w:t>
      </w:r>
      <w:r w:rsidR="008F0D5B" w:rsidRPr="00D5151B">
        <w:rPr>
          <w:rFonts w:asciiTheme="majorBidi" w:hAnsiTheme="majorBidi" w:cstheme="majorBidi"/>
        </w:rPr>
        <w:t>,</w:t>
      </w:r>
      <w:r w:rsidRPr="00D5151B">
        <w:rPr>
          <w:rFonts w:asciiTheme="majorBidi" w:hAnsiTheme="majorBidi" w:cstheme="majorBidi"/>
        </w:rPr>
        <w:t xml:space="preserve"> and also talk a bit </w:t>
      </w:r>
      <w:r w:rsidR="00FA4863" w:rsidRPr="00D5151B">
        <w:rPr>
          <w:rFonts w:asciiTheme="majorBidi" w:hAnsiTheme="majorBidi" w:cstheme="majorBidi"/>
        </w:rPr>
        <w:t>about</w:t>
      </w:r>
      <w:r w:rsidRPr="00D5151B">
        <w:rPr>
          <w:rFonts w:asciiTheme="majorBidi" w:hAnsiTheme="majorBidi" w:cstheme="majorBidi"/>
        </w:rPr>
        <w:t xml:space="preserve"> the related topic</w:t>
      </w:r>
      <w:r w:rsidR="00FA4863" w:rsidRPr="00D5151B">
        <w:rPr>
          <w:rFonts w:asciiTheme="majorBidi" w:hAnsiTheme="majorBidi" w:cstheme="majorBidi"/>
        </w:rPr>
        <w:t>s</w:t>
      </w:r>
      <w:r w:rsidRPr="00D5151B">
        <w:rPr>
          <w:rFonts w:asciiTheme="majorBidi" w:hAnsiTheme="majorBidi" w:cstheme="majorBidi"/>
        </w:rPr>
        <w:t xml:space="preserve"> of safe assets and rolling over the debt.</w:t>
      </w:r>
      <w:r w:rsidR="00CD7271" w:rsidRPr="00D5151B">
        <w:rPr>
          <w:rFonts w:asciiTheme="majorBidi" w:hAnsiTheme="majorBidi" w:cstheme="majorBidi"/>
        </w:rPr>
        <w:t xml:space="preserve"> I will not forget that I am the last hurdle between you and lunch.</w:t>
      </w:r>
      <w:r w:rsidRPr="00D5151B">
        <w:rPr>
          <w:rFonts w:asciiTheme="majorBidi" w:hAnsiTheme="majorBidi" w:cstheme="majorBidi"/>
        </w:rPr>
        <w:t xml:space="preserve"> </w:t>
      </w:r>
    </w:p>
    <w:p w:rsidR="005E5389" w:rsidRPr="00D5151B" w:rsidRDefault="005E5389" w:rsidP="00FA4863">
      <w:pPr>
        <w:spacing w:line="360" w:lineRule="auto"/>
        <w:jc w:val="both"/>
        <w:rPr>
          <w:rFonts w:asciiTheme="majorBidi" w:hAnsiTheme="majorBidi" w:cstheme="majorBidi"/>
        </w:rPr>
      </w:pPr>
    </w:p>
    <w:p w:rsidR="005E5389" w:rsidRPr="00D5151B" w:rsidRDefault="005E5389" w:rsidP="00153BF5">
      <w:pPr>
        <w:spacing w:line="360" w:lineRule="auto"/>
        <w:jc w:val="both"/>
        <w:rPr>
          <w:rFonts w:asciiTheme="majorBidi" w:hAnsiTheme="majorBidi" w:cstheme="majorBidi"/>
          <w:b/>
          <w:bCs/>
        </w:rPr>
      </w:pPr>
      <w:r w:rsidRPr="00D5151B">
        <w:rPr>
          <w:rFonts w:asciiTheme="majorBidi" w:hAnsiTheme="majorBidi" w:cstheme="majorBidi"/>
          <w:b/>
          <w:bCs/>
        </w:rPr>
        <w:t xml:space="preserve">Monetary divergence and data </w:t>
      </w:r>
      <w:r w:rsidR="00771ECB" w:rsidRPr="00D5151B">
        <w:rPr>
          <w:rFonts w:asciiTheme="majorBidi" w:hAnsiTheme="majorBidi" w:cstheme="majorBidi"/>
          <w:b/>
          <w:bCs/>
        </w:rPr>
        <w:t>dependency</w:t>
      </w:r>
    </w:p>
    <w:p w:rsidR="0006273F" w:rsidRPr="00D5151B" w:rsidRDefault="0006273F" w:rsidP="00CE391A">
      <w:pPr>
        <w:spacing w:line="360" w:lineRule="auto"/>
        <w:jc w:val="both"/>
        <w:rPr>
          <w:rFonts w:asciiTheme="majorBidi" w:hAnsiTheme="majorBidi" w:cstheme="majorBidi"/>
        </w:rPr>
      </w:pPr>
    </w:p>
    <w:p w:rsidR="00F44786" w:rsidRPr="00D5151B" w:rsidRDefault="00CE391A" w:rsidP="00EE0775">
      <w:pPr>
        <w:spacing w:line="360" w:lineRule="auto"/>
        <w:jc w:val="both"/>
        <w:rPr>
          <w:rFonts w:asciiTheme="majorBidi" w:hAnsiTheme="majorBidi" w:cstheme="majorBidi"/>
        </w:rPr>
      </w:pPr>
      <w:r w:rsidRPr="00D5151B">
        <w:rPr>
          <w:rFonts w:asciiTheme="majorBidi" w:hAnsiTheme="majorBidi" w:cstheme="majorBidi"/>
        </w:rPr>
        <w:t xml:space="preserve">Let me start by focusing on </w:t>
      </w:r>
      <w:r w:rsidR="00126D0C" w:rsidRPr="00D5151B">
        <w:rPr>
          <w:rFonts w:asciiTheme="majorBidi" w:hAnsiTheme="majorBidi" w:cstheme="majorBidi"/>
        </w:rPr>
        <w:t xml:space="preserve">monetary </w:t>
      </w:r>
      <w:r w:rsidRPr="00D5151B">
        <w:rPr>
          <w:rFonts w:asciiTheme="majorBidi" w:hAnsiTheme="majorBidi" w:cstheme="majorBidi"/>
        </w:rPr>
        <w:t>d</w:t>
      </w:r>
      <w:r w:rsidR="0006273F" w:rsidRPr="00D5151B">
        <w:rPr>
          <w:rFonts w:asciiTheme="majorBidi" w:hAnsiTheme="majorBidi" w:cstheme="majorBidi"/>
        </w:rPr>
        <w:t>ivergence and its effect on SOEs' monetary policy</w:t>
      </w:r>
      <w:r w:rsidR="006E449B" w:rsidRPr="00D5151B">
        <w:rPr>
          <w:rFonts w:asciiTheme="majorBidi" w:hAnsiTheme="majorBidi" w:cstheme="majorBidi"/>
        </w:rPr>
        <w:t>,</w:t>
      </w:r>
      <w:r w:rsidR="0006273F" w:rsidRPr="00D5151B">
        <w:rPr>
          <w:rFonts w:asciiTheme="majorBidi" w:hAnsiTheme="majorBidi" w:cstheme="majorBidi"/>
        </w:rPr>
        <w:t xml:space="preserve"> stability</w:t>
      </w:r>
      <w:r w:rsidR="006E449B" w:rsidRPr="00D5151B">
        <w:rPr>
          <w:rFonts w:asciiTheme="majorBidi" w:hAnsiTheme="majorBidi" w:cstheme="majorBidi"/>
        </w:rPr>
        <w:t>,</w:t>
      </w:r>
      <w:r w:rsidR="0006273F" w:rsidRPr="00D5151B">
        <w:rPr>
          <w:rFonts w:asciiTheme="majorBidi" w:hAnsiTheme="majorBidi" w:cstheme="majorBidi"/>
        </w:rPr>
        <w:t xml:space="preserve"> and </w:t>
      </w:r>
      <w:r w:rsidRPr="00D5151B">
        <w:rPr>
          <w:rFonts w:asciiTheme="majorBidi" w:hAnsiTheme="majorBidi" w:cstheme="majorBidi"/>
        </w:rPr>
        <w:t>the</w:t>
      </w:r>
      <w:r w:rsidR="0006273F" w:rsidRPr="00D5151B">
        <w:rPr>
          <w:rFonts w:asciiTheme="majorBidi" w:hAnsiTheme="majorBidi" w:cstheme="majorBidi"/>
        </w:rPr>
        <w:t xml:space="preserve"> link to "data dependency"</w:t>
      </w:r>
      <w:r w:rsidRPr="00D5151B">
        <w:rPr>
          <w:rFonts w:asciiTheme="majorBidi" w:hAnsiTheme="majorBidi" w:cstheme="majorBidi"/>
        </w:rPr>
        <w:t xml:space="preserve">. </w:t>
      </w:r>
      <w:r w:rsidR="00126D0C" w:rsidRPr="00D5151B">
        <w:rPr>
          <w:rFonts w:asciiTheme="majorBidi" w:hAnsiTheme="majorBidi" w:cstheme="majorBidi"/>
        </w:rPr>
        <w:t>T</w:t>
      </w:r>
      <w:r w:rsidR="0006273F" w:rsidRPr="00D5151B">
        <w:rPr>
          <w:rFonts w:asciiTheme="majorBidi" w:hAnsiTheme="majorBidi" w:cstheme="majorBidi"/>
        </w:rPr>
        <w:t xml:space="preserve">he discussion </w:t>
      </w:r>
      <w:r w:rsidR="00126D0C" w:rsidRPr="00D5151B">
        <w:rPr>
          <w:rFonts w:asciiTheme="majorBidi" w:hAnsiTheme="majorBidi" w:cstheme="majorBidi"/>
        </w:rPr>
        <w:t xml:space="preserve">among the profession regarding </w:t>
      </w:r>
      <w:r w:rsidR="0006273F" w:rsidRPr="00D5151B">
        <w:rPr>
          <w:rFonts w:asciiTheme="majorBidi" w:hAnsiTheme="majorBidi" w:cstheme="majorBidi"/>
        </w:rPr>
        <w:t>the challenges created by the divergence in economic developments among the major economies naturally tends to focus on the policy</w:t>
      </w:r>
      <w:r w:rsidR="00FA4863" w:rsidRPr="00D5151B">
        <w:rPr>
          <w:rFonts w:asciiTheme="majorBidi" w:hAnsiTheme="majorBidi" w:cstheme="majorBidi"/>
        </w:rPr>
        <w:t xml:space="preserve"> </w:t>
      </w:r>
      <w:r w:rsidR="0006273F" w:rsidRPr="00D5151B">
        <w:rPr>
          <w:rFonts w:asciiTheme="majorBidi" w:hAnsiTheme="majorBidi" w:cstheme="majorBidi"/>
        </w:rPr>
        <w:t>response of the major central banks</w:t>
      </w:r>
      <w:r w:rsidR="00126D0C" w:rsidRPr="00D5151B">
        <w:rPr>
          <w:rFonts w:asciiTheme="majorBidi" w:hAnsiTheme="majorBidi" w:cstheme="majorBidi"/>
        </w:rPr>
        <w:t>. However,</w:t>
      </w:r>
      <w:r w:rsidR="0006273F" w:rsidRPr="00D5151B">
        <w:rPr>
          <w:rFonts w:asciiTheme="majorBidi" w:hAnsiTheme="majorBidi" w:cstheme="majorBidi"/>
        </w:rPr>
        <w:t xml:space="preserve"> </w:t>
      </w:r>
      <w:r w:rsidR="00253965" w:rsidRPr="00D5151B">
        <w:rPr>
          <w:rFonts w:asciiTheme="majorBidi" w:hAnsiTheme="majorBidi" w:cstheme="majorBidi"/>
        </w:rPr>
        <w:t>divergence</w:t>
      </w:r>
      <w:r w:rsidR="0006273F" w:rsidRPr="00D5151B">
        <w:rPr>
          <w:rFonts w:asciiTheme="majorBidi" w:hAnsiTheme="majorBidi" w:cstheme="majorBidi"/>
        </w:rPr>
        <w:t xml:space="preserve"> also presents a challenge for small open economies outside these blocks.</w:t>
      </w:r>
      <w:r w:rsidR="00F44786" w:rsidRPr="00D5151B">
        <w:rPr>
          <w:rFonts w:asciiTheme="majorBidi" w:hAnsiTheme="majorBidi" w:cstheme="majorBidi"/>
        </w:rPr>
        <w:t xml:space="preserve"> This can be particularly true for economies with </w:t>
      </w:r>
      <w:r w:rsidR="00DF48BE" w:rsidRPr="00D5151B">
        <w:rPr>
          <w:rFonts w:asciiTheme="majorBidi" w:hAnsiTheme="majorBidi" w:cstheme="majorBidi"/>
        </w:rPr>
        <w:t>major trading partners across the major diverging blocks.</w:t>
      </w:r>
      <w:r w:rsidR="00F1355A" w:rsidRPr="00D5151B">
        <w:rPr>
          <w:rFonts w:asciiTheme="majorBidi" w:hAnsiTheme="majorBidi" w:cstheme="majorBidi"/>
        </w:rPr>
        <w:t xml:space="preserve"> </w:t>
      </w:r>
      <w:r w:rsidR="00DF48BE" w:rsidRPr="00D5151B">
        <w:rPr>
          <w:rFonts w:asciiTheme="majorBidi" w:hAnsiTheme="majorBidi" w:cstheme="majorBidi"/>
        </w:rPr>
        <w:t xml:space="preserve">For example, </w:t>
      </w:r>
      <w:r w:rsidR="00F44786" w:rsidRPr="00D5151B">
        <w:rPr>
          <w:rFonts w:asciiTheme="majorBidi" w:hAnsiTheme="majorBidi" w:cstheme="majorBidi"/>
        </w:rPr>
        <w:t>Israel trades primarily with the US and Europe</w:t>
      </w:r>
      <w:r w:rsidR="00FA4863" w:rsidRPr="00D5151B">
        <w:rPr>
          <w:rFonts w:asciiTheme="majorBidi" w:hAnsiTheme="majorBidi" w:cstheme="majorBidi"/>
        </w:rPr>
        <w:t>.</w:t>
      </w:r>
      <w:r w:rsidR="00F44786" w:rsidRPr="00D5151B">
        <w:rPr>
          <w:rFonts w:asciiTheme="majorBidi" w:hAnsiTheme="majorBidi" w:cstheme="majorBidi"/>
        </w:rPr>
        <w:t xml:space="preserve"> </w:t>
      </w:r>
      <w:r w:rsidR="00FA4863" w:rsidRPr="00D5151B">
        <w:rPr>
          <w:rFonts w:asciiTheme="majorBidi" w:hAnsiTheme="majorBidi" w:cstheme="majorBidi"/>
        </w:rPr>
        <w:t>A</w:t>
      </w:r>
      <w:r w:rsidR="00EC2B43" w:rsidRPr="00D5151B">
        <w:rPr>
          <w:rFonts w:asciiTheme="majorBidi" w:hAnsiTheme="majorBidi" w:cstheme="majorBidi"/>
        </w:rPr>
        <w:t>bout a quarter of our trade in goods and services is with the US</w:t>
      </w:r>
      <w:r w:rsidR="00FA4863" w:rsidRPr="00D5151B">
        <w:rPr>
          <w:rFonts w:asciiTheme="majorBidi" w:hAnsiTheme="majorBidi" w:cstheme="majorBidi"/>
        </w:rPr>
        <w:t>,</w:t>
      </w:r>
      <w:r w:rsidR="00EC2B43" w:rsidRPr="00D5151B">
        <w:rPr>
          <w:rFonts w:asciiTheme="majorBidi" w:hAnsiTheme="majorBidi" w:cstheme="majorBidi"/>
        </w:rPr>
        <w:t xml:space="preserve"> and </w:t>
      </w:r>
      <w:r w:rsidR="00FA4863" w:rsidRPr="00D5151B">
        <w:rPr>
          <w:rFonts w:asciiTheme="majorBidi" w:hAnsiTheme="majorBidi" w:cstheme="majorBidi"/>
        </w:rPr>
        <w:t xml:space="preserve">about </w:t>
      </w:r>
      <w:r w:rsidR="00EC2B43" w:rsidRPr="00D5151B">
        <w:rPr>
          <w:rFonts w:asciiTheme="majorBidi" w:hAnsiTheme="majorBidi" w:cstheme="majorBidi"/>
        </w:rPr>
        <w:t>one</w:t>
      </w:r>
      <w:r w:rsidR="00FA4863" w:rsidRPr="00D5151B">
        <w:rPr>
          <w:rFonts w:asciiTheme="majorBidi" w:hAnsiTheme="majorBidi" w:cstheme="majorBidi"/>
        </w:rPr>
        <w:t>-</w:t>
      </w:r>
      <w:r w:rsidR="00EC2B43" w:rsidRPr="00D5151B">
        <w:rPr>
          <w:rFonts w:asciiTheme="majorBidi" w:hAnsiTheme="majorBidi" w:cstheme="majorBidi"/>
        </w:rPr>
        <w:t xml:space="preserve">third </w:t>
      </w:r>
      <w:r w:rsidR="00FA4863" w:rsidRPr="00D5151B">
        <w:rPr>
          <w:rFonts w:asciiTheme="majorBidi" w:hAnsiTheme="majorBidi" w:cstheme="majorBidi"/>
        </w:rPr>
        <w:t xml:space="preserve">is </w:t>
      </w:r>
      <w:r w:rsidR="00EC2B43" w:rsidRPr="00D5151B">
        <w:rPr>
          <w:rFonts w:asciiTheme="majorBidi" w:hAnsiTheme="majorBidi" w:cstheme="majorBidi"/>
        </w:rPr>
        <w:t xml:space="preserve">with Europe </w:t>
      </w:r>
      <w:r w:rsidR="00DE30BB" w:rsidRPr="00D5151B">
        <w:rPr>
          <w:rFonts w:asciiTheme="majorBidi" w:hAnsiTheme="majorBidi" w:cstheme="majorBidi"/>
        </w:rPr>
        <w:t>(Figure 1 in the handout)</w:t>
      </w:r>
      <w:r w:rsidR="00F44786" w:rsidRPr="00D5151B">
        <w:rPr>
          <w:rFonts w:asciiTheme="majorBidi" w:hAnsiTheme="majorBidi" w:cstheme="majorBidi"/>
        </w:rPr>
        <w:t>. Naturally, divergent monetary policy</w:t>
      </w:r>
      <w:r w:rsidR="00F2355D" w:rsidRPr="00D5151B">
        <w:rPr>
          <w:rFonts w:asciiTheme="majorBidi" w:hAnsiTheme="majorBidi" w:cstheme="majorBidi"/>
        </w:rPr>
        <w:t>, as witnessed in the last few years</w:t>
      </w:r>
      <w:r w:rsidR="00126D0C" w:rsidRPr="00D5151B">
        <w:rPr>
          <w:rFonts w:asciiTheme="majorBidi" w:hAnsiTheme="majorBidi" w:cstheme="majorBidi"/>
        </w:rPr>
        <w:t xml:space="preserve"> had</w:t>
      </w:r>
      <w:r w:rsidR="00DF48BE" w:rsidRPr="00D5151B">
        <w:rPr>
          <w:rFonts w:asciiTheme="majorBidi" w:hAnsiTheme="majorBidi" w:cstheme="majorBidi"/>
        </w:rPr>
        <w:t xml:space="preserve"> important implications for </w:t>
      </w:r>
      <w:r w:rsidR="00F44786" w:rsidRPr="00D5151B">
        <w:rPr>
          <w:rFonts w:asciiTheme="majorBidi" w:hAnsiTheme="majorBidi" w:cstheme="majorBidi"/>
        </w:rPr>
        <w:t xml:space="preserve">independent monetary policy. </w:t>
      </w:r>
      <w:r w:rsidR="001C7284" w:rsidRPr="00D5151B">
        <w:rPr>
          <w:rFonts w:asciiTheme="majorBidi" w:hAnsiTheme="majorBidi" w:cstheme="majorBidi"/>
        </w:rPr>
        <w:t xml:space="preserve">More recently, </w:t>
      </w:r>
      <w:r w:rsidR="00616BCE" w:rsidRPr="00D5151B">
        <w:rPr>
          <w:rFonts w:asciiTheme="majorBidi" w:hAnsiTheme="majorBidi" w:cstheme="majorBidi"/>
          <w:lang w:bidi="he-IL"/>
        </w:rPr>
        <w:t>there seem</w:t>
      </w:r>
      <w:r w:rsidR="001F5D58" w:rsidRPr="00D5151B">
        <w:rPr>
          <w:rFonts w:asciiTheme="majorBidi" w:hAnsiTheme="majorBidi" w:cstheme="majorBidi"/>
          <w:lang w:bidi="he-IL"/>
        </w:rPr>
        <w:t>s</w:t>
      </w:r>
      <w:r w:rsidR="00616BCE" w:rsidRPr="00D5151B">
        <w:rPr>
          <w:rFonts w:asciiTheme="majorBidi" w:hAnsiTheme="majorBidi" w:cstheme="majorBidi"/>
          <w:lang w:bidi="he-IL"/>
        </w:rPr>
        <w:t xml:space="preserve"> to be a return towards </w:t>
      </w:r>
      <w:r w:rsidR="00126D0C" w:rsidRPr="00D5151B">
        <w:rPr>
          <w:rFonts w:asciiTheme="majorBidi" w:hAnsiTheme="majorBidi" w:cstheme="majorBidi"/>
        </w:rPr>
        <w:t>convergence in the direction of monetary policy</w:t>
      </w:r>
      <w:r w:rsidR="00616BCE" w:rsidRPr="00D5151B">
        <w:rPr>
          <w:rFonts w:asciiTheme="majorBidi" w:hAnsiTheme="majorBidi" w:cstheme="majorBidi"/>
        </w:rPr>
        <w:t>.</w:t>
      </w:r>
      <w:r w:rsidR="00126D0C" w:rsidRPr="00D5151B">
        <w:rPr>
          <w:rFonts w:asciiTheme="majorBidi" w:hAnsiTheme="majorBidi" w:cstheme="majorBidi"/>
        </w:rPr>
        <w:t xml:space="preserve"> However, the levels of growth, inflation, and interest rates are still very different among major economies, and are expected to remain different for a while. So</w:t>
      </w:r>
      <w:r w:rsidR="001F5D58" w:rsidRPr="00D5151B">
        <w:rPr>
          <w:rFonts w:asciiTheme="majorBidi" w:hAnsiTheme="majorBidi" w:cstheme="majorBidi"/>
        </w:rPr>
        <w:t>,</w:t>
      </w:r>
      <w:r w:rsidR="00126D0C" w:rsidRPr="00D5151B">
        <w:rPr>
          <w:rFonts w:asciiTheme="majorBidi" w:hAnsiTheme="majorBidi" w:cstheme="majorBidi"/>
        </w:rPr>
        <w:t xml:space="preserve"> discussing divergence and its implications</w:t>
      </w:r>
      <w:r w:rsidR="001C7284" w:rsidRPr="00D5151B">
        <w:rPr>
          <w:rFonts w:asciiTheme="majorBidi" w:hAnsiTheme="majorBidi" w:cstheme="majorBidi"/>
        </w:rPr>
        <w:t xml:space="preserve"> is still </w:t>
      </w:r>
      <w:r w:rsidR="00616BCE" w:rsidRPr="00D5151B">
        <w:rPr>
          <w:rFonts w:asciiTheme="majorBidi" w:hAnsiTheme="majorBidi" w:cstheme="majorBidi"/>
        </w:rPr>
        <w:t xml:space="preserve">very </w:t>
      </w:r>
      <w:r w:rsidR="001C7284" w:rsidRPr="00D5151B">
        <w:rPr>
          <w:rFonts w:asciiTheme="majorBidi" w:hAnsiTheme="majorBidi" w:cstheme="majorBidi"/>
        </w:rPr>
        <w:t>valuable</w:t>
      </w:r>
      <w:r w:rsidR="00126D0C" w:rsidRPr="00D5151B">
        <w:rPr>
          <w:rFonts w:asciiTheme="majorBidi" w:hAnsiTheme="majorBidi" w:cstheme="majorBidi"/>
        </w:rPr>
        <w:t xml:space="preserve">. </w:t>
      </w:r>
      <w:r w:rsidR="000549C2" w:rsidRPr="00D5151B">
        <w:rPr>
          <w:rFonts w:asciiTheme="majorBidi" w:hAnsiTheme="majorBidi" w:cstheme="majorBidi"/>
        </w:rPr>
        <w:t>Moreover, while divergence can challenge monetary policy, a convergence situation c</w:t>
      </w:r>
      <w:r w:rsidR="00404246" w:rsidRPr="00D5151B">
        <w:rPr>
          <w:rFonts w:asciiTheme="majorBidi" w:hAnsiTheme="majorBidi" w:cstheme="majorBidi"/>
        </w:rPr>
        <w:t>ould</w:t>
      </w:r>
      <w:r w:rsidR="000549C2" w:rsidRPr="00D5151B">
        <w:rPr>
          <w:rFonts w:asciiTheme="majorBidi" w:hAnsiTheme="majorBidi" w:cstheme="majorBidi"/>
        </w:rPr>
        <w:t xml:space="preserve"> be even more difficult for a SOE </w:t>
      </w:r>
      <w:r w:rsidR="00FA618D" w:rsidRPr="00D5151B">
        <w:rPr>
          <w:rFonts w:asciiTheme="majorBidi" w:hAnsiTheme="majorBidi" w:cstheme="majorBidi"/>
        </w:rPr>
        <w:t xml:space="preserve">if it </w:t>
      </w:r>
      <w:r w:rsidR="000549C2" w:rsidRPr="00D5151B">
        <w:rPr>
          <w:rFonts w:asciiTheme="majorBidi" w:hAnsiTheme="majorBidi" w:cstheme="majorBidi"/>
        </w:rPr>
        <w:t xml:space="preserve">would need to go against the wind to support its domestic cyclical development. </w:t>
      </w:r>
    </w:p>
    <w:p w:rsidR="0006273F" w:rsidRPr="00D5151B" w:rsidRDefault="0006273F" w:rsidP="00F44786">
      <w:pPr>
        <w:spacing w:line="360" w:lineRule="auto"/>
        <w:jc w:val="both"/>
        <w:rPr>
          <w:rFonts w:asciiTheme="majorBidi" w:hAnsiTheme="majorBidi" w:cstheme="majorBidi"/>
        </w:rPr>
      </w:pPr>
    </w:p>
    <w:p w:rsidR="00CE391A" w:rsidRPr="00D5151B" w:rsidRDefault="00CE391A" w:rsidP="00CE391A">
      <w:pPr>
        <w:spacing w:line="360" w:lineRule="auto"/>
        <w:jc w:val="both"/>
        <w:rPr>
          <w:rFonts w:asciiTheme="majorBidi" w:hAnsiTheme="majorBidi" w:cstheme="majorBidi"/>
          <w:rtl/>
          <w:lang w:bidi="he-IL"/>
        </w:rPr>
      </w:pPr>
    </w:p>
    <w:p w:rsidR="00EF74FB" w:rsidRPr="00D5151B" w:rsidRDefault="0006273F" w:rsidP="00FD4805">
      <w:pPr>
        <w:spacing w:line="360" w:lineRule="auto"/>
        <w:jc w:val="both"/>
        <w:rPr>
          <w:rFonts w:asciiTheme="majorBidi" w:hAnsiTheme="majorBidi" w:cstheme="majorBidi"/>
        </w:rPr>
      </w:pPr>
      <w:r w:rsidRPr="00D5151B">
        <w:rPr>
          <w:rFonts w:asciiTheme="majorBidi" w:hAnsiTheme="majorBidi" w:cstheme="majorBidi"/>
        </w:rPr>
        <w:t xml:space="preserve">The Fed's </w:t>
      </w:r>
      <w:r w:rsidR="00DE30BB" w:rsidRPr="00D5151B">
        <w:rPr>
          <w:rFonts w:asciiTheme="majorBidi" w:hAnsiTheme="majorBidi" w:cstheme="majorBidi"/>
        </w:rPr>
        <w:t>policy</w:t>
      </w:r>
      <w:r w:rsidR="00FD4805" w:rsidRPr="00D5151B">
        <w:rPr>
          <w:rFonts w:asciiTheme="majorBidi" w:hAnsiTheme="majorBidi" w:cstheme="majorBidi"/>
        </w:rPr>
        <w:t xml:space="preserve">, </w:t>
      </w:r>
      <w:r w:rsidR="001C7284" w:rsidRPr="00D5151B">
        <w:rPr>
          <w:rFonts w:asciiTheme="majorBidi" w:hAnsiTheme="majorBidi" w:cstheme="majorBidi"/>
        </w:rPr>
        <w:t xml:space="preserve">to </w:t>
      </w:r>
      <w:r w:rsidRPr="00D5151B">
        <w:rPr>
          <w:rFonts w:asciiTheme="majorBidi" w:hAnsiTheme="majorBidi" w:cstheme="majorBidi"/>
        </w:rPr>
        <w:t>gradually but persistently rais</w:t>
      </w:r>
      <w:r w:rsidR="001C7284" w:rsidRPr="00D5151B">
        <w:rPr>
          <w:rFonts w:asciiTheme="majorBidi" w:hAnsiTheme="majorBidi" w:cstheme="majorBidi"/>
        </w:rPr>
        <w:t>e</w:t>
      </w:r>
      <w:r w:rsidRPr="00D5151B">
        <w:rPr>
          <w:rFonts w:asciiTheme="majorBidi" w:hAnsiTheme="majorBidi" w:cstheme="majorBidi"/>
        </w:rPr>
        <w:t xml:space="preserve"> interest rates during the last 3 years, while the ECB and the BOJ retained</w:t>
      </w:r>
      <w:r w:rsidR="00FA4863" w:rsidRPr="00D5151B">
        <w:rPr>
          <w:rFonts w:asciiTheme="majorBidi" w:hAnsiTheme="majorBidi" w:cstheme="majorBidi"/>
        </w:rPr>
        <w:t>—</w:t>
      </w:r>
      <w:r w:rsidRPr="00D5151B">
        <w:rPr>
          <w:rFonts w:asciiTheme="majorBidi" w:hAnsiTheme="majorBidi" w:cstheme="majorBidi"/>
        </w:rPr>
        <w:t>even enhanced</w:t>
      </w:r>
      <w:r w:rsidR="00FA4863" w:rsidRPr="00D5151B">
        <w:rPr>
          <w:rFonts w:asciiTheme="majorBidi" w:hAnsiTheme="majorBidi" w:cstheme="majorBidi"/>
        </w:rPr>
        <w:t>—</w:t>
      </w:r>
      <w:r w:rsidRPr="00D5151B">
        <w:rPr>
          <w:rFonts w:asciiTheme="majorBidi" w:hAnsiTheme="majorBidi" w:cstheme="majorBidi"/>
        </w:rPr>
        <w:t xml:space="preserve">their </w:t>
      </w:r>
      <w:r w:rsidR="00FA4863" w:rsidRPr="00D5151B">
        <w:rPr>
          <w:rFonts w:asciiTheme="majorBidi" w:hAnsiTheme="majorBidi" w:cstheme="majorBidi"/>
        </w:rPr>
        <w:t>accommodative</w:t>
      </w:r>
      <w:r w:rsidRPr="00D5151B">
        <w:rPr>
          <w:rFonts w:asciiTheme="majorBidi" w:hAnsiTheme="majorBidi" w:cstheme="majorBidi"/>
        </w:rPr>
        <w:t xml:space="preserve"> stance, placed </w:t>
      </w:r>
      <w:r w:rsidR="00FD4805" w:rsidRPr="00D5151B">
        <w:rPr>
          <w:rFonts w:asciiTheme="majorBidi" w:hAnsiTheme="majorBidi" w:cstheme="majorBidi"/>
        </w:rPr>
        <w:t xml:space="preserve">some </w:t>
      </w:r>
      <w:r w:rsidRPr="00D5151B">
        <w:rPr>
          <w:rFonts w:asciiTheme="majorBidi" w:hAnsiTheme="majorBidi" w:cstheme="majorBidi"/>
        </w:rPr>
        <w:t xml:space="preserve">central banks of SOEs in a dilemma. Should they prevent capital outflows by matching the higher rate </w:t>
      </w:r>
      <w:r w:rsidR="00FD4805" w:rsidRPr="00D5151B">
        <w:rPr>
          <w:rFonts w:asciiTheme="majorBidi" w:hAnsiTheme="majorBidi" w:cstheme="majorBidi"/>
        </w:rPr>
        <w:t xml:space="preserve">of </w:t>
      </w:r>
      <w:r w:rsidR="00FD4805" w:rsidRPr="00D5151B">
        <w:rPr>
          <w:rFonts w:asciiTheme="majorBidi" w:hAnsiTheme="majorBidi" w:cstheme="majorBidi"/>
        </w:rPr>
        <w:lastRenderedPageBreak/>
        <w:t xml:space="preserve">the U.S </w:t>
      </w:r>
      <w:r w:rsidRPr="00D5151B">
        <w:rPr>
          <w:rFonts w:asciiTheme="majorBidi" w:hAnsiTheme="majorBidi" w:cstheme="majorBidi"/>
        </w:rPr>
        <w:t xml:space="preserve">among the major blocks? Should they focus on domestic cyclical developments and allow capital flows </w:t>
      </w:r>
      <w:r w:rsidR="00A90BF0" w:rsidRPr="00D5151B">
        <w:rPr>
          <w:rFonts w:asciiTheme="majorBidi" w:hAnsiTheme="majorBidi" w:cstheme="majorBidi"/>
        </w:rPr>
        <w:t xml:space="preserve">to </w:t>
      </w:r>
      <w:r w:rsidRPr="00D5151B">
        <w:rPr>
          <w:rFonts w:asciiTheme="majorBidi" w:hAnsiTheme="majorBidi" w:cstheme="majorBidi"/>
        </w:rPr>
        <w:t>affect the economy through the exchange rate? Or: should they look for some sophisticated averaging of the interest rates (adjusted for the required premi</w:t>
      </w:r>
      <w:r w:rsidR="00FA4863" w:rsidRPr="00D5151B">
        <w:rPr>
          <w:rFonts w:asciiTheme="majorBidi" w:hAnsiTheme="majorBidi" w:cstheme="majorBidi"/>
        </w:rPr>
        <w:t>a</w:t>
      </w:r>
      <w:r w:rsidRPr="00D5151B">
        <w:rPr>
          <w:rFonts w:asciiTheme="majorBidi" w:hAnsiTheme="majorBidi" w:cstheme="majorBidi"/>
        </w:rPr>
        <w:t>) in the major currency blocks?</w:t>
      </w:r>
      <w:r w:rsidR="00CC4291" w:rsidRPr="00D5151B">
        <w:rPr>
          <w:rFonts w:asciiTheme="majorBidi" w:hAnsiTheme="majorBidi" w:cstheme="majorBidi"/>
        </w:rPr>
        <w:t xml:space="preserve"> And possibly </w:t>
      </w:r>
      <w:r w:rsidR="00D365A7" w:rsidRPr="00D5151B">
        <w:rPr>
          <w:rFonts w:asciiTheme="majorBidi" w:hAnsiTheme="majorBidi" w:cstheme="majorBidi"/>
        </w:rPr>
        <w:t xml:space="preserve">consider </w:t>
      </w:r>
      <w:r w:rsidR="00CC4291" w:rsidRPr="00D5151B">
        <w:rPr>
          <w:rFonts w:asciiTheme="majorBidi" w:hAnsiTheme="majorBidi" w:cstheme="majorBidi"/>
        </w:rPr>
        <w:t>capital flow and macro-prudential measures.</w:t>
      </w:r>
    </w:p>
    <w:p w:rsidR="00EF74FB" w:rsidRPr="00D5151B" w:rsidRDefault="00EF74FB" w:rsidP="0006273F">
      <w:pPr>
        <w:spacing w:line="360" w:lineRule="auto"/>
        <w:jc w:val="both"/>
        <w:rPr>
          <w:rFonts w:asciiTheme="majorBidi" w:hAnsiTheme="majorBidi" w:cstheme="majorBidi"/>
        </w:rPr>
      </w:pPr>
    </w:p>
    <w:p w:rsidR="007A0487" w:rsidRPr="00D5151B" w:rsidRDefault="00EC2B43" w:rsidP="001F5D58">
      <w:pPr>
        <w:spacing w:line="360" w:lineRule="auto"/>
        <w:jc w:val="both"/>
        <w:rPr>
          <w:rFonts w:asciiTheme="majorBidi" w:hAnsiTheme="majorBidi" w:cstheme="majorBidi"/>
        </w:rPr>
      </w:pPr>
      <w:r w:rsidRPr="00D5151B">
        <w:rPr>
          <w:rFonts w:asciiTheme="majorBidi" w:hAnsiTheme="majorBidi" w:cstheme="majorBidi"/>
        </w:rPr>
        <w:t>One possible answer for this dilemma is that some SOEs do not really</w:t>
      </w:r>
      <w:r w:rsidRPr="00D5151B">
        <w:rPr>
          <w:rFonts w:asciiTheme="majorBidi" w:hAnsiTheme="majorBidi" w:cstheme="majorBidi"/>
          <w:lang w:bidi="he-IL"/>
        </w:rPr>
        <w:t xml:space="preserve"> have that many options</w:t>
      </w:r>
      <w:r w:rsidR="00FA4863" w:rsidRPr="00D5151B">
        <w:rPr>
          <w:rFonts w:asciiTheme="majorBidi" w:hAnsiTheme="majorBidi" w:cstheme="majorBidi"/>
          <w:lang w:bidi="he-IL"/>
        </w:rPr>
        <w:t>,</w:t>
      </w:r>
      <w:r w:rsidRPr="00D5151B">
        <w:rPr>
          <w:rFonts w:asciiTheme="majorBidi" w:hAnsiTheme="majorBidi" w:cstheme="majorBidi"/>
          <w:lang w:bidi="he-IL"/>
        </w:rPr>
        <w:t xml:space="preserve"> as</w:t>
      </w:r>
      <w:r w:rsidRPr="00D5151B">
        <w:rPr>
          <w:rFonts w:asciiTheme="majorBidi" w:hAnsiTheme="majorBidi" w:cstheme="majorBidi"/>
        </w:rPr>
        <w:t xml:space="preserve"> markets may largely dictate the response. These would be countries with vulnerable fiscal o</w:t>
      </w:r>
      <w:r w:rsidR="00253965" w:rsidRPr="00D5151B">
        <w:rPr>
          <w:rFonts w:asciiTheme="majorBidi" w:hAnsiTheme="majorBidi" w:cstheme="majorBidi"/>
        </w:rPr>
        <w:t>r</w:t>
      </w:r>
      <w:r w:rsidRPr="00D5151B">
        <w:rPr>
          <w:rFonts w:asciiTheme="majorBidi" w:hAnsiTheme="majorBidi" w:cstheme="majorBidi"/>
        </w:rPr>
        <w:t xml:space="preserve"> financial positions, especially if they were exposed to dollar denominated debt, which risk</w:t>
      </w:r>
      <w:r w:rsidR="001A1DDB" w:rsidRPr="00D5151B">
        <w:rPr>
          <w:rFonts w:asciiTheme="majorBidi" w:hAnsiTheme="majorBidi" w:cstheme="majorBidi"/>
        </w:rPr>
        <w:t>—</w:t>
      </w:r>
      <w:r w:rsidRPr="00D5151B">
        <w:rPr>
          <w:rFonts w:asciiTheme="majorBidi" w:hAnsiTheme="majorBidi" w:cstheme="majorBidi"/>
        </w:rPr>
        <w:t>or experienced</w:t>
      </w:r>
      <w:r w:rsidR="001A1DDB" w:rsidRPr="00D5151B">
        <w:rPr>
          <w:rFonts w:asciiTheme="majorBidi" w:hAnsiTheme="majorBidi" w:cstheme="majorBidi"/>
        </w:rPr>
        <w:t>—</w:t>
      </w:r>
      <w:r w:rsidRPr="00D5151B">
        <w:rPr>
          <w:rFonts w:asciiTheme="majorBidi" w:hAnsiTheme="majorBidi" w:cstheme="majorBidi"/>
        </w:rPr>
        <w:t xml:space="preserve">capital outflows and depreciation of their currency. </w:t>
      </w:r>
      <w:r w:rsidR="0006273F" w:rsidRPr="00D5151B">
        <w:rPr>
          <w:rFonts w:asciiTheme="majorBidi" w:hAnsiTheme="majorBidi" w:cstheme="majorBidi"/>
        </w:rPr>
        <w:t>In contrast, those with stronger fundamentals, e.g. lower cyclically adjusted deficits or public debt ratios</w:t>
      </w:r>
      <w:r w:rsidR="001A1DDB" w:rsidRPr="00D5151B">
        <w:rPr>
          <w:rFonts w:asciiTheme="majorBidi" w:hAnsiTheme="majorBidi" w:cstheme="majorBidi"/>
        </w:rPr>
        <w:t>,</w:t>
      </w:r>
      <w:r w:rsidR="0006273F" w:rsidRPr="00D5151B">
        <w:rPr>
          <w:rFonts w:asciiTheme="majorBidi" w:hAnsiTheme="majorBidi" w:cstheme="majorBidi"/>
        </w:rPr>
        <w:t xml:space="preserve"> were able to navigate the developments more freely and had to choose a course. </w:t>
      </w:r>
      <w:r w:rsidR="00FD4805" w:rsidRPr="00D5151B">
        <w:rPr>
          <w:rFonts w:asciiTheme="majorBidi" w:hAnsiTheme="majorBidi" w:cstheme="majorBidi"/>
        </w:rPr>
        <w:t>The policy</w:t>
      </w:r>
      <w:r w:rsidR="00D31D77" w:rsidRPr="00D5151B">
        <w:rPr>
          <w:rFonts w:asciiTheme="majorBidi" w:hAnsiTheme="majorBidi" w:cstheme="majorBidi"/>
        </w:rPr>
        <w:t>-</w:t>
      </w:r>
      <w:r w:rsidR="00FD4805" w:rsidRPr="00D5151B">
        <w:rPr>
          <w:rFonts w:asciiTheme="majorBidi" w:hAnsiTheme="majorBidi" w:cstheme="majorBidi"/>
        </w:rPr>
        <w:t xml:space="preserve">makers </w:t>
      </w:r>
      <w:r w:rsidR="0006273F" w:rsidRPr="00D5151B">
        <w:rPr>
          <w:rFonts w:asciiTheme="majorBidi" w:hAnsiTheme="majorBidi" w:cstheme="majorBidi"/>
        </w:rPr>
        <w:t>respons</w:t>
      </w:r>
      <w:r w:rsidR="00131CA1" w:rsidRPr="00D5151B">
        <w:rPr>
          <w:rFonts w:asciiTheme="majorBidi" w:hAnsiTheme="majorBidi" w:cstheme="majorBidi"/>
        </w:rPr>
        <w:t>e</w:t>
      </w:r>
      <w:r w:rsidR="0006273F" w:rsidRPr="00D5151B">
        <w:rPr>
          <w:rFonts w:asciiTheme="majorBidi" w:hAnsiTheme="majorBidi" w:cstheme="majorBidi"/>
        </w:rPr>
        <w:t xml:space="preserve"> </w:t>
      </w:r>
      <w:r w:rsidR="00FD4805" w:rsidRPr="00D5151B">
        <w:rPr>
          <w:rFonts w:asciiTheme="majorBidi" w:hAnsiTheme="majorBidi" w:cstheme="majorBidi"/>
        </w:rPr>
        <w:t>can</w:t>
      </w:r>
      <w:r w:rsidR="0006273F" w:rsidRPr="00D5151B">
        <w:rPr>
          <w:rFonts w:asciiTheme="majorBidi" w:hAnsiTheme="majorBidi" w:cstheme="majorBidi"/>
        </w:rPr>
        <w:t>not always rely on past</w:t>
      </w:r>
      <w:r w:rsidR="001A1DDB" w:rsidRPr="00D5151B">
        <w:rPr>
          <w:rFonts w:asciiTheme="majorBidi" w:hAnsiTheme="majorBidi" w:cstheme="majorBidi"/>
        </w:rPr>
        <w:t xml:space="preserve"> </w:t>
      </w:r>
      <w:r w:rsidR="0006273F" w:rsidRPr="00D5151B">
        <w:rPr>
          <w:rFonts w:asciiTheme="majorBidi" w:hAnsiTheme="majorBidi" w:cstheme="majorBidi"/>
        </w:rPr>
        <w:t xml:space="preserve">experience. </w:t>
      </w:r>
    </w:p>
    <w:p w:rsidR="007A0487" w:rsidRPr="00D5151B" w:rsidRDefault="007A0487" w:rsidP="001F5D58">
      <w:pPr>
        <w:spacing w:line="360" w:lineRule="auto"/>
        <w:jc w:val="both"/>
        <w:rPr>
          <w:rFonts w:asciiTheme="majorBidi" w:hAnsiTheme="majorBidi" w:cstheme="majorBidi"/>
        </w:rPr>
      </w:pPr>
    </w:p>
    <w:p w:rsidR="0006273F" w:rsidRPr="00D5151B" w:rsidRDefault="007A0487" w:rsidP="007A0487">
      <w:pPr>
        <w:spacing w:line="360" w:lineRule="auto"/>
        <w:jc w:val="both"/>
        <w:rPr>
          <w:rFonts w:asciiTheme="majorBidi" w:hAnsiTheme="majorBidi" w:cstheme="majorBidi"/>
        </w:rPr>
      </w:pPr>
      <w:r w:rsidRPr="00D5151B">
        <w:rPr>
          <w:rFonts w:asciiTheme="majorBidi" w:hAnsiTheme="majorBidi" w:cstheme="majorBidi"/>
        </w:rPr>
        <w:t xml:space="preserve">In this perspective, Israel is an interesting case study. We are </w:t>
      </w:r>
      <w:r w:rsidR="00B046A9" w:rsidRPr="00D5151B">
        <w:rPr>
          <w:rFonts w:asciiTheme="majorBidi" w:hAnsiTheme="majorBidi" w:cstheme="majorBidi"/>
        </w:rPr>
        <w:t xml:space="preserve">a </w:t>
      </w:r>
      <w:r w:rsidR="00D365A7" w:rsidRPr="00D5151B">
        <w:rPr>
          <w:rFonts w:asciiTheme="majorBidi" w:hAnsiTheme="majorBidi" w:cstheme="majorBidi"/>
        </w:rPr>
        <w:t xml:space="preserve">relatively </w:t>
      </w:r>
      <w:r w:rsidRPr="00D5151B">
        <w:rPr>
          <w:rFonts w:asciiTheme="majorBidi" w:hAnsiTheme="majorBidi" w:cstheme="majorBidi"/>
        </w:rPr>
        <w:t xml:space="preserve">strong small open economy that is obviously </w:t>
      </w:r>
      <w:r w:rsidR="00B648C0" w:rsidRPr="00D5151B">
        <w:rPr>
          <w:rFonts w:asciiTheme="majorBidi" w:hAnsiTheme="majorBidi" w:cstheme="majorBidi"/>
        </w:rPr>
        <w:t xml:space="preserve">also </w:t>
      </w:r>
      <w:r w:rsidRPr="00D5151B">
        <w:rPr>
          <w:rFonts w:asciiTheme="majorBidi" w:hAnsiTheme="majorBidi" w:cstheme="majorBidi"/>
        </w:rPr>
        <w:t xml:space="preserve">influenced by external shocks. </w:t>
      </w:r>
      <w:r w:rsidR="00FD4805" w:rsidRPr="00D5151B">
        <w:rPr>
          <w:rFonts w:asciiTheme="majorBidi" w:hAnsiTheme="majorBidi" w:cstheme="majorBidi"/>
        </w:rPr>
        <w:t xml:space="preserve">In </w:t>
      </w:r>
      <w:r w:rsidR="0006273F" w:rsidRPr="00D5151B">
        <w:rPr>
          <w:rFonts w:asciiTheme="majorBidi" w:hAnsiTheme="majorBidi" w:cstheme="majorBidi"/>
        </w:rPr>
        <w:t xml:space="preserve">Israel, for example, </w:t>
      </w:r>
      <w:r w:rsidR="00FD4805" w:rsidRPr="00D5151B">
        <w:rPr>
          <w:rFonts w:asciiTheme="majorBidi" w:hAnsiTheme="majorBidi" w:cstheme="majorBidi"/>
        </w:rPr>
        <w:t>it was perceived during the nineties and early 2000's that interest rates must be significantly higher than in the US</w:t>
      </w:r>
      <w:r w:rsidR="001F5D58" w:rsidRPr="00D5151B">
        <w:rPr>
          <w:rFonts w:asciiTheme="majorBidi" w:hAnsiTheme="majorBidi" w:cstheme="majorBidi"/>
        </w:rPr>
        <w:t>,</w:t>
      </w:r>
      <w:r w:rsidR="00FD4805" w:rsidRPr="00D5151B">
        <w:rPr>
          <w:rFonts w:asciiTheme="majorBidi" w:hAnsiTheme="majorBidi" w:cstheme="majorBidi"/>
        </w:rPr>
        <w:t xml:space="preserve"> otherwise capital outflows would emerge followed b</w:t>
      </w:r>
      <w:r w:rsidRPr="00D5151B">
        <w:rPr>
          <w:rFonts w:asciiTheme="majorBidi" w:hAnsiTheme="majorBidi" w:cstheme="majorBidi"/>
        </w:rPr>
        <w:t>y</w:t>
      </w:r>
      <w:r w:rsidR="00FD4805" w:rsidRPr="00D5151B">
        <w:rPr>
          <w:rFonts w:asciiTheme="majorBidi" w:hAnsiTheme="majorBidi" w:cstheme="majorBidi"/>
        </w:rPr>
        <w:t xml:space="preserve"> a depreciation </w:t>
      </w:r>
      <w:r w:rsidR="003A5616" w:rsidRPr="00D5151B">
        <w:rPr>
          <w:rFonts w:asciiTheme="majorBidi" w:hAnsiTheme="majorBidi" w:cstheme="majorBidi"/>
        </w:rPr>
        <w:t xml:space="preserve">and inflation. </w:t>
      </w:r>
      <w:r w:rsidR="00FD4805" w:rsidRPr="00D5151B">
        <w:rPr>
          <w:rFonts w:asciiTheme="majorBidi" w:hAnsiTheme="majorBidi" w:cstheme="majorBidi"/>
        </w:rPr>
        <w:t xml:space="preserve">However, in this round, </w:t>
      </w:r>
      <w:r w:rsidRPr="00D5151B">
        <w:rPr>
          <w:rFonts w:asciiTheme="majorBidi" w:hAnsiTheme="majorBidi" w:cstheme="majorBidi"/>
        </w:rPr>
        <w:t xml:space="preserve">and in spite of having kept rates very low, </w:t>
      </w:r>
      <w:r w:rsidR="00FD4805" w:rsidRPr="00D5151B">
        <w:rPr>
          <w:rFonts w:asciiTheme="majorBidi" w:hAnsiTheme="majorBidi" w:cstheme="majorBidi"/>
        </w:rPr>
        <w:t xml:space="preserve">Israel </w:t>
      </w:r>
      <w:r w:rsidR="00CF1AF5" w:rsidRPr="00D5151B">
        <w:rPr>
          <w:rFonts w:asciiTheme="majorBidi" w:hAnsiTheme="majorBidi" w:cstheme="majorBidi"/>
        </w:rPr>
        <w:t>faced</w:t>
      </w:r>
      <w:r w:rsidR="0006273F" w:rsidRPr="00D5151B">
        <w:rPr>
          <w:rFonts w:asciiTheme="majorBidi" w:hAnsiTheme="majorBidi" w:cstheme="majorBidi"/>
        </w:rPr>
        <w:t xml:space="preserve"> capital inflows following the US rate hikes, as it was perceived as</w:t>
      </w:r>
      <w:r w:rsidR="00964FC8" w:rsidRPr="00D5151B">
        <w:rPr>
          <w:rFonts w:asciiTheme="majorBidi" w:hAnsiTheme="majorBidi" w:cstheme="majorBidi"/>
        </w:rPr>
        <w:t xml:space="preserve"> an</w:t>
      </w:r>
      <w:r w:rsidR="0006273F" w:rsidRPr="00D5151B">
        <w:rPr>
          <w:rFonts w:asciiTheme="majorBidi" w:hAnsiTheme="majorBidi" w:cstheme="majorBidi"/>
        </w:rPr>
        <w:t xml:space="preserve"> "emerging markets safe haven"</w:t>
      </w:r>
      <w:r w:rsidR="003A5616" w:rsidRPr="00D5151B">
        <w:rPr>
          <w:rFonts w:asciiTheme="majorBidi" w:hAnsiTheme="majorBidi" w:cstheme="majorBidi"/>
        </w:rPr>
        <w:t xml:space="preserve">, and </w:t>
      </w:r>
      <w:r w:rsidR="0006273F" w:rsidRPr="00D5151B">
        <w:rPr>
          <w:rFonts w:asciiTheme="majorBidi" w:hAnsiTheme="majorBidi" w:cstheme="majorBidi"/>
        </w:rPr>
        <w:t>appreciation pressures emerged</w:t>
      </w:r>
      <w:r w:rsidR="001A1DDB" w:rsidRPr="00D5151B">
        <w:rPr>
          <w:rFonts w:asciiTheme="majorBidi" w:hAnsiTheme="majorBidi" w:cstheme="majorBidi"/>
        </w:rPr>
        <w:t>—</w:t>
      </w:r>
      <w:r w:rsidR="0006273F" w:rsidRPr="00D5151B">
        <w:rPr>
          <w:rFonts w:asciiTheme="majorBidi" w:hAnsiTheme="majorBidi" w:cstheme="majorBidi"/>
        </w:rPr>
        <w:t>a marked change from past-patterns.</w:t>
      </w:r>
      <w:r w:rsidR="008E3972" w:rsidRPr="00D5151B">
        <w:rPr>
          <w:rFonts w:asciiTheme="majorBidi" w:hAnsiTheme="majorBidi" w:cstheme="majorBidi"/>
        </w:rPr>
        <w:t xml:space="preserve"> This correspond</w:t>
      </w:r>
      <w:r w:rsidR="00C964CC" w:rsidRPr="00D5151B">
        <w:rPr>
          <w:rFonts w:asciiTheme="majorBidi" w:hAnsiTheme="majorBidi" w:cstheme="majorBidi"/>
        </w:rPr>
        <w:t>s</w:t>
      </w:r>
      <w:r w:rsidR="008E3972" w:rsidRPr="00D5151B">
        <w:rPr>
          <w:rFonts w:asciiTheme="majorBidi" w:hAnsiTheme="majorBidi" w:cstheme="majorBidi"/>
        </w:rPr>
        <w:t xml:space="preserve"> with the risk perspective </w:t>
      </w:r>
      <w:r w:rsidR="001F5D58" w:rsidRPr="00D5151B">
        <w:rPr>
          <w:rFonts w:asciiTheme="majorBidi" w:hAnsiTheme="majorBidi" w:cstheme="majorBidi"/>
        </w:rPr>
        <w:t xml:space="preserve">that </w:t>
      </w:r>
      <w:r w:rsidR="008E3972" w:rsidRPr="00D5151B">
        <w:rPr>
          <w:rFonts w:asciiTheme="majorBidi" w:hAnsiTheme="majorBidi" w:cstheme="majorBidi"/>
        </w:rPr>
        <w:t>Sebnem Kalemli-Ozcan presented here earlier, as a spillover of the US monetary policy</w:t>
      </w:r>
      <w:r w:rsidR="00D365A7" w:rsidRPr="00D5151B">
        <w:rPr>
          <w:rFonts w:asciiTheme="majorBidi" w:hAnsiTheme="majorBidi" w:cstheme="majorBidi"/>
        </w:rPr>
        <w:t xml:space="preserve">, and </w:t>
      </w:r>
      <w:r w:rsidR="008F14BF" w:rsidRPr="00D5151B">
        <w:rPr>
          <w:rFonts w:asciiTheme="majorBidi" w:hAnsiTheme="majorBidi" w:cstheme="majorBidi"/>
        </w:rPr>
        <w:t xml:space="preserve">with </w:t>
      </w:r>
      <w:r w:rsidR="00D365A7" w:rsidRPr="00D5151B">
        <w:rPr>
          <w:rFonts w:asciiTheme="majorBidi" w:hAnsiTheme="majorBidi" w:cstheme="majorBidi"/>
        </w:rPr>
        <w:t>Governor Carney</w:t>
      </w:r>
      <w:r w:rsidR="008F14BF" w:rsidRPr="00D5151B">
        <w:rPr>
          <w:rFonts w:asciiTheme="majorBidi" w:hAnsiTheme="majorBidi" w:cstheme="majorBidi"/>
        </w:rPr>
        <w:t>'s</w:t>
      </w:r>
      <w:r w:rsidR="00D365A7" w:rsidRPr="00D5151B">
        <w:rPr>
          <w:rFonts w:asciiTheme="majorBidi" w:hAnsiTheme="majorBidi" w:cstheme="majorBidi"/>
        </w:rPr>
        <w:t xml:space="preserve"> speech emphasizing the importance of the sources of shocks to EMEs</w:t>
      </w:r>
      <w:r w:rsidR="008E3972" w:rsidRPr="00D5151B">
        <w:rPr>
          <w:rFonts w:asciiTheme="majorBidi" w:hAnsiTheme="majorBidi" w:cstheme="majorBidi"/>
        </w:rPr>
        <w:t>.</w:t>
      </w:r>
      <w:r w:rsidR="0006273F" w:rsidRPr="00D5151B">
        <w:rPr>
          <w:rFonts w:asciiTheme="majorBidi" w:hAnsiTheme="majorBidi" w:cstheme="majorBidi"/>
        </w:rPr>
        <w:t xml:space="preserve"> </w:t>
      </w:r>
      <w:bookmarkStart w:id="1" w:name="_Hlk17160775"/>
      <w:r w:rsidR="0006273F" w:rsidRPr="00D5151B">
        <w:rPr>
          <w:rFonts w:asciiTheme="majorBidi" w:hAnsiTheme="majorBidi" w:cstheme="majorBidi"/>
        </w:rPr>
        <w:t>This shift</w:t>
      </w:r>
      <w:r w:rsidR="003A5616" w:rsidRPr="00D5151B">
        <w:rPr>
          <w:rFonts w:asciiTheme="majorBidi" w:hAnsiTheme="majorBidi" w:cstheme="majorBidi"/>
        </w:rPr>
        <w:t>, which was only partially offset by a sustained accommodative monetary policy,</w:t>
      </w:r>
      <w:r w:rsidR="0006273F" w:rsidRPr="00D5151B">
        <w:rPr>
          <w:rFonts w:asciiTheme="majorBidi" w:hAnsiTheme="majorBidi" w:cstheme="majorBidi"/>
        </w:rPr>
        <w:t xml:space="preserve"> reflects the </w:t>
      </w:r>
      <w:r w:rsidR="000F2363" w:rsidRPr="00D5151B">
        <w:rPr>
          <w:rFonts w:asciiTheme="majorBidi" w:hAnsiTheme="majorBidi" w:cstheme="majorBidi"/>
        </w:rPr>
        <w:t xml:space="preserve">structural </w:t>
      </w:r>
      <w:r w:rsidR="0006273F" w:rsidRPr="00D5151B">
        <w:rPr>
          <w:rFonts w:asciiTheme="majorBidi" w:hAnsiTheme="majorBidi" w:cstheme="majorBidi"/>
        </w:rPr>
        <w:t xml:space="preserve">change in the fundamentals of the Israeli economy, including the continuous expansion of employment; the current account surpluses; the decline in the debt-to-GDP ratio since the </w:t>
      </w:r>
      <w:r w:rsidR="00CC4291" w:rsidRPr="00D5151B">
        <w:rPr>
          <w:rFonts w:asciiTheme="majorBidi" w:hAnsiTheme="majorBidi" w:cstheme="majorBidi"/>
        </w:rPr>
        <w:t>Fiscal S</w:t>
      </w:r>
      <w:r w:rsidR="0006273F" w:rsidRPr="00D5151B">
        <w:rPr>
          <w:rFonts w:asciiTheme="majorBidi" w:hAnsiTheme="majorBidi" w:cstheme="majorBidi"/>
        </w:rPr>
        <w:t>tabilization program in 2003</w:t>
      </w:r>
      <w:r w:rsidR="00355129" w:rsidRPr="00D5151B">
        <w:rPr>
          <w:rFonts w:asciiTheme="majorBidi" w:hAnsiTheme="majorBidi" w:cstheme="majorBidi"/>
        </w:rPr>
        <w:t>.</w:t>
      </w:r>
      <w:r w:rsidR="003A6BD8" w:rsidRPr="00D5151B">
        <w:rPr>
          <w:rFonts w:asciiTheme="majorBidi" w:hAnsiTheme="majorBidi" w:cstheme="majorBidi"/>
        </w:rPr>
        <w:t xml:space="preserve"> </w:t>
      </w:r>
    </w:p>
    <w:bookmarkEnd w:id="1"/>
    <w:p w:rsidR="00A90BF0" w:rsidRPr="00D5151B" w:rsidRDefault="00A90BF0" w:rsidP="0006273F">
      <w:pPr>
        <w:spacing w:line="360" w:lineRule="auto"/>
        <w:jc w:val="both"/>
        <w:rPr>
          <w:rFonts w:asciiTheme="majorBidi" w:hAnsiTheme="majorBidi" w:cstheme="majorBidi"/>
        </w:rPr>
      </w:pPr>
    </w:p>
    <w:p w:rsidR="00B311D0" w:rsidRPr="00D5151B" w:rsidRDefault="00A90BF0" w:rsidP="003A5616">
      <w:pPr>
        <w:spacing w:line="360" w:lineRule="auto"/>
        <w:jc w:val="both"/>
        <w:rPr>
          <w:rFonts w:asciiTheme="majorBidi" w:hAnsiTheme="majorBidi" w:cstheme="majorBidi"/>
        </w:rPr>
      </w:pPr>
      <w:r w:rsidRPr="00D5151B">
        <w:rPr>
          <w:rFonts w:asciiTheme="majorBidi" w:hAnsiTheme="majorBidi" w:cstheme="majorBidi"/>
        </w:rPr>
        <w:t xml:space="preserve">The </w:t>
      </w:r>
      <w:r w:rsidR="00CF1AF5" w:rsidRPr="00D5151B">
        <w:rPr>
          <w:rFonts w:asciiTheme="majorBidi" w:hAnsiTheme="majorBidi" w:cstheme="majorBidi"/>
        </w:rPr>
        <w:t>strong fundamentals</w:t>
      </w:r>
      <w:r w:rsidRPr="00D5151B">
        <w:rPr>
          <w:rFonts w:asciiTheme="majorBidi" w:hAnsiTheme="majorBidi" w:cstheme="majorBidi"/>
        </w:rPr>
        <w:t xml:space="preserve"> </w:t>
      </w:r>
      <w:r w:rsidR="00FA013E" w:rsidRPr="00D5151B">
        <w:rPr>
          <w:rFonts w:asciiTheme="majorBidi" w:hAnsiTheme="majorBidi" w:cstheme="majorBidi"/>
        </w:rPr>
        <w:t xml:space="preserve">of Israel’s economy </w:t>
      </w:r>
      <w:r w:rsidRPr="00D5151B">
        <w:rPr>
          <w:rFonts w:asciiTheme="majorBidi" w:hAnsiTheme="majorBidi" w:cstheme="majorBidi"/>
        </w:rPr>
        <w:t xml:space="preserve">manifest </w:t>
      </w:r>
      <w:r w:rsidR="00CF1AF5" w:rsidRPr="00D5151B">
        <w:rPr>
          <w:rFonts w:asciiTheme="majorBidi" w:hAnsiTheme="majorBidi" w:cstheme="majorBidi"/>
        </w:rPr>
        <w:t xml:space="preserve">themselves </w:t>
      </w:r>
      <w:r w:rsidRPr="00D5151B">
        <w:rPr>
          <w:rFonts w:asciiTheme="majorBidi" w:hAnsiTheme="majorBidi" w:cstheme="majorBidi"/>
        </w:rPr>
        <w:t>in financial markets</w:t>
      </w:r>
      <w:r w:rsidR="001A1DDB" w:rsidRPr="00D5151B">
        <w:rPr>
          <w:rFonts w:asciiTheme="majorBidi" w:hAnsiTheme="majorBidi" w:cstheme="majorBidi"/>
        </w:rPr>
        <w:t>,</w:t>
      </w:r>
      <w:r w:rsidRPr="00D5151B">
        <w:rPr>
          <w:rFonts w:asciiTheme="majorBidi" w:hAnsiTheme="majorBidi" w:cstheme="majorBidi"/>
        </w:rPr>
        <w:t xml:space="preserve"> and are intimately related to the perceived </w:t>
      </w:r>
      <w:r w:rsidR="00F03F44" w:rsidRPr="00D5151B">
        <w:rPr>
          <w:rFonts w:asciiTheme="majorBidi" w:hAnsiTheme="majorBidi" w:cstheme="majorBidi"/>
        </w:rPr>
        <w:t xml:space="preserve">absolute and </w:t>
      </w:r>
      <w:r w:rsidR="00985346" w:rsidRPr="00D5151B">
        <w:rPr>
          <w:rFonts w:asciiTheme="majorBidi" w:hAnsiTheme="majorBidi" w:cstheme="majorBidi"/>
        </w:rPr>
        <w:t xml:space="preserve">relative </w:t>
      </w:r>
      <w:r w:rsidRPr="00D5151B">
        <w:rPr>
          <w:rFonts w:asciiTheme="majorBidi" w:hAnsiTheme="majorBidi" w:cstheme="majorBidi"/>
        </w:rPr>
        <w:t>resilience of the economy.</w:t>
      </w:r>
      <w:r w:rsidR="00C73D50" w:rsidRPr="00D5151B">
        <w:rPr>
          <w:rFonts w:asciiTheme="majorBidi" w:hAnsiTheme="majorBidi" w:cstheme="majorBidi"/>
        </w:rPr>
        <w:t xml:space="preserve"> </w:t>
      </w:r>
      <w:r w:rsidR="0006273F" w:rsidRPr="00D5151B">
        <w:rPr>
          <w:rFonts w:asciiTheme="majorBidi" w:hAnsiTheme="majorBidi" w:cstheme="majorBidi"/>
        </w:rPr>
        <w:t xml:space="preserve">Figure </w:t>
      </w:r>
      <w:r w:rsidR="000262F9" w:rsidRPr="00D5151B">
        <w:rPr>
          <w:rFonts w:asciiTheme="majorBidi" w:hAnsiTheme="majorBidi" w:cstheme="majorBidi"/>
        </w:rPr>
        <w:t>2</w:t>
      </w:r>
      <w:r w:rsidR="0006273F" w:rsidRPr="00D5151B">
        <w:rPr>
          <w:rFonts w:asciiTheme="majorBidi" w:hAnsiTheme="majorBidi" w:cstheme="majorBidi"/>
        </w:rPr>
        <w:t xml:space="preserve"> </w:t>
      </w:r>
      <w:r w:rsidR="00B2776B" w:rsidRPr="00D5151B">
        <w:rPr>
          <w:rFonts w:asciiTheme="majorBidi" w:hAnsiTheme="majorBidi" w:cstheme="majorBidi"/>
        </w:rPr>
        <w:t>is t</w:t>
      </w:r>
      <w:r w:rsidR="0006273F" w:rsidRPr="00D5151B">
        <w:rPr>
          <w:rFonts w:asciiTheme="majorBidi" w:hAnsiTheme="majorBidi" w:cstheme="majorBidi"/>
        </w:rPr>
        <w:t>aken from Du And Schreger</w:t>
      </w:r>
      <w:r w:rsidR="00B2776B" w:rsidRPr="00D5151B">
        <w:rPr>
          <w:rFonts w:asciiTheme="majorBidi" w:hAnsiTheme="majorBidi" w:cstheme="majorBidi"/>
        </w:rPr>
        <w:t>’s (201</w:t>
      </w:r>
      <w:r w:rsidR="00E76313" w:rsidRPr="00D5151B">
        <w:rPr>
          <w:rFonts w:asciiTheme="majorBidi" w:hAnsiTheme="majorBidi" w:cstheme="majorBidi"/>
        </w:rPr>
        <w:t>6</w:t>
      </w:r>
      <w:r w:rsidR="00B2776B" w:rsidRPr="00D5151B">
        <w:rPr>
          <w:rFonts w:asciiTheme="majorBidi" w:hAnsiTheme="majorBidi" w:cstheme="majorBidi"/>
        </w:rPr>
        <w:t>)</w:t>
      </w:r>
      <w:r w:rsidR="0006273F" w:rsidRPr="00D5151B">
        <w:rPr>
          <w:rFonts w:asciiTheme="majorBidi" w:hAnsiTheme="majorBidi" w:cstheme="majorBidi"/>
        </w:rPr>
        <w:t xml:space="preserve"> paper on </w:t>
      </w:r>
      <w:r w:rsidR="001A1DDB" w:rsidRPr="00D5151B">
        <w:rPr>
          <w:rFonts w:asciiTheme="majorBidi" w:hAnsiTheme="majorBidi" w:cstheme="majorBidi"/>
        </w:rPr>
        <w:t>"</w:t>
      </w:r>
      <w:r w:rsidR="0006273F" w:rsidRPr="00D5151B">
        <w:rPr>
          <w:rFonts w:asciiTheme="majorBidi" w:hAnsiTheme="majorBidi" w:cstheme="majorBidi"/>
        </w:rPr>
        <w:t>Local Currency Sovereign Risk</w:t>
      </w:r>
      <w:r w:rsidR="00B2776B" w:rsidRPr="00D5151B">
        <w:rPr>
          <w:rFonts w:asciiTheme="majorBidi" w:hAnsiTheme="majorBidi" w:cstheme="majorBidi"/>
        </w:rPr>
        <w:t>”</w:t>
      </w:r>
      <w:r w:rsidR="0006273F" w:rsidRPr="00D5151B">
        <w:rPr>
          <w:rFonts w:asciiTheme="majorBidi" w:hAnsiTheme="majorBidi" w:cstheme="majorBidi"/>
        </w:rPr>
        <w:t xml:space="preserve">, which introduces a new measure of emerging market sovereign credit risk, </w:t>
      </w:r>
      <w:r w:rsidR="00B2776B" w:rsidRPr="00D5151B">
        <w:rPr>
          <w:rFonts w:asciiTheme="majorBidi" w:hAnsiTheme="majorBidi" w:cstheme="majorBidi"/>
        </w:rPr>
        <w:t xml:space="preserve">and </w:t>
      </w:r>
      <w:r w:rsidR="0006273F" w:rsidRPr="00D5151B">
        <w:rPr>
          <w:rFonts w:asciiTheme="majorBidi" w:hAnsiTheme="majorBidi" w:cstheme="majorBidi"/>
        </w:rPr>
        <w:t xml:space="preserve">compares the </w:t>
      </w:r>
      <w:r w:rsidR="0006273F" w:rsidRPr="00D5151B">
        <w:rPr>
          <w:rFonts w:asciiTheme="majorBidi" w:hAnsiTheme="majorBidi" w:cstheme="majorBidi"/>
        </w:rPr>
        <w:lastRenderedPageBreak/>
        <w:t>development of sovereign risk in</w:t>
      </w:r>
      <w:r w:rsidR="001A1DDB" w:rsidRPr="00D5151B">
        <w:rPr>
          <w:rFonts w:asciiTheme="majorBidi" w:hAnsiTheme="majorBidi" w:cstheme="majorBidi"/>
        </w:rPr>
        <w:t xml:space="preserve"> a</w:t>
      </w:r>
      <w:r w:rsidR="0006273F" w:rsidRPr="00D5151B">
        <w:rPr>
          <w:rFonts w:asciiTheme="majorBidi" w:hAnsiTheme="majorBidi" w:cstheme="majorBidi"/>
        </w:rPr>
        <w:t xml:space="preserve"> </w:t>
      </w:r>
      <w:r w:rsidR="00EB7E66" w:rsidRPr="00D5151B">
        <w:rPr>
          <w:rFonts w:asciiTheme="majorBidi" w:hAnsiTheme="majorBidi" w:cstheme="majorBidi"/>
        </w:rPr>
        <w:t xml:space="preserve">few </w:t>
      </w:r>
      <w:r w:rsidR="0006273F" w:rsidRPr="00D5151B">
        <w:rPr>
          <w:rFonts w:asciiTheme="majorBidi" w:hAnsiTheme="majorBidi" w:cstheme="majorBidi"/>
        </w:rPr>
        <w:t>emerging markets between 2005 and 2014. It shows that Israel's sovereign credit risk is low, with exceptionally low variance compared to the other countries</w:t>
      </w:r>
      <w:r w:rsidR="00616BCE" w:rsidRPr="00D5151B">
        <w:rPr>
          <w:rFonts w:asciiTheme="majorBidi" w:hAnsiTheme="majorBidi" w:cstheme="majorBidi"/>
        </w:rPr>
        <w:t>—emphasizing the “safe haven” status within emerging and even advanced economies.</w:t>
      </w:r>
    </w:p>
    <w:p w:rsidR="007A0487" w:rsidRPr="00D5151B" w:rsidRDefault="007A0487" w:rsidP="00CF1AF5">
      <w:pPr>
        <w:spacing w:line="360" w:lineRule="auto"/>
        <w:jc w:val="both"/>
        <w:rPr>
          <w:rFonts w:asciiTheme="majorBidi" w:hAnsiTheme="majorBidi" w:cstheme="majorBidi"/>
        </w:rPr>
      </w:pPr>
    </w:p>
    <w:p w:rsidR="007A0487" w:rsidRPr="00D5151B" w:rsidRDefault="007A0487" w:rsidP="00CF1AF5">
      <w:pPr>
        <w:spacing w:line="360" w:lineRule="auto"/>
        <w:jc w:val="both"/>
        <w:rPr>
          <w:rFonts w:asciiTheme="majorBidi" w:hAnsiTheme="majorBidi" w:cstheme="majorBidi"/>
        </w:rPr>
      </w:pPr>
    </w:p>
    <w:p w:rsidR="00FA013E" w:rsidRPr="00D5151B" w:rsidRDefault="00B648C0" w:rsidP="00386B2D">
      <w:pPr>
        <w:spacing w:line="360" w:lineRule="auto"/>
        <w:jc w:val="both"/>
        <w:rPr>
          <w:rFonts w:asciiTheme="majorBidi" w:hAnsiTheme="majorBidi" w:cstheme="majorBidi"/>
        </w:rPr>
      </w:pPr>
      <w:r w:rsidRPr="00D5151B">
        <w:rPr>
          <w:rFonts w:asciiTheme="majorBidi" w:hAnsiTheme="majorBidi" w:cstheme="majorBidi"/>
        </w:rPr>
        <w:t xml:space="preserve">A </w:t>
      </w:r>
      <w:r w:rsidR="007A0487" w:rsidRPr="00D5151B">
        <w:rPr>
          <w:rFonts w:asciiTheme="majorBidi" w:hAnsiTheme="majorBidi" w:cstheme="majorBidi"/>
        </w:rPr>
        <w:t>challenge for the policy- makers in markets like Israel is to deal with divergence of policies in the major blocks. A paper by Brender and Ribon (2015) from the Bank of Israel, and a follow-up analysis by Shalom (2019), also from the BOI, highlights how this divergence complicates policy makers’ work. Until the Global Financial Crisis (GFC), yields in the US and Europe were highly correlated, so there was no need, or ability, to distinguish between their effects on Israeli government bond yields.</w:t>
      </w:r>
      <w:r w:rsidR="006C5CBF" w:rsidRPr="00D5151B">
        <w:rPr>
          <w:rFonts w:asciiTheme="majorBidi" w:hAnsiTheme="majorBidi" w:cstheme="majorBidi"/>
        </w:rPr>
        <w:t xml:space="preserve"> </w:t>
      </w:r>
      <w:r w:rsidR="005363FB" w:rsidRPr="00D5151B">
        <w:rPr>
          <w:rFonts w:asciiTheme="majorBidi" w:hAnsiTheme="majorBidi" w:cstheme="majorBidi"/>
        </w:rPr>
        <w:t xml:space="preserve">For simplicity, </w:t>
      </w:r>
      <w:r w:rsidR="001A1DDB" w:rsidRPr="00D5151B">
        <w:rPr>
          <w:rFonts w:asciiTheme="majorBidi" w:hAnsiTheme="majorBidi" w:cstheme="majorBidi"/>
        </w:rPr>
        <w:t>p</w:t>
      </w:r>
      <w:r w:rsidR="0006273F" w:rsidRPr="00D5151B">
        <w:rPr>
          <w:rFonts w:asciiTheme="majorBidi" w:hAnsiTheme="majorBidi" w:cstheme="majorBidi"/>
        </w:rPr>
        <w:t xml:space="preserve">olicy-makers tended </w:t>
      </w:r>
      <w:r w:rsidR="00B311D0" w:rsidRPr="00D5151B">
        <w:rPr>
          <w:rFonts w:asciiTheme="majorBidi" w:hAnsiTheme="majorBidi" w:cstheme="majorBidi"/>
        </w:rPr>
        <w:t xml:space="preserve">to, </w:t>
      </w:r>
      <w:r w:rsidR="005363FB" w:rsidRPr="00D5151B">
        <w:rPr>
          <w:rFonts w:asciiTheme="majorBidi" w:hAnsiTheme="majorBidi" w:cstheme="majorBidi"/>
        </w:rPr>
        <w:t>and could</w:t>
      </w:r>
      <w:r w:rsidR="00B311D0" w:rsidRPr="00D5151B">
        <w:rPr>
          <w:rFonts w:asciiTheme="majorBidi" w:hAnsiTheme="majorBidi" w:cstheme="majorBidi"/>
        </w:rPr>
        <w:t>,</w:t>
      </w:r>
      <w:r w:rsidR="005363FB" w:rsidRPr="00D5151B">
        <w:rPr>
          <w:rFonts w:asciiTheme="majorBidi" w:hAnsiTheme="majorBidi" w:cstheme="majorBidi"/>
        </w:rPr>
        <w:t xml:space="preserve"> </w:t>
      </w:r>
      <w:r w:rsidR="0006273F" w:rsidRPr="00D5151B">
        <w:rPr>
          <w:rFonts w:asciiTheme="majorBidi" w:hAnsiTheme="majorBidi" w:cstheme="majorBidi"/>
        </w:rPr>
        <w:t xml:space="preserve">focus </w:t>
      </w:r>
      <w:r w:rsidR="00522B2F" w:rsidRPr="00D5151B">
        <w:rPr>
          <w:rFonts w:asciiTheme="majorBidi" w:hAnsiTheme="majorBidi" w:cstheme="majorBidi"/>
        </w:rPr>
        <w:t xml:space="preserve">primarily </w:t>
      </w:r>
      <w:r w:rsidR="0006273F" w:rsidRPr="00D5151B">
        <w:rPr>
          <w:rFonts w:asciiTheme="majorBidi" w:hAnsiTheme="majorBidi" w:cstheme="majorBidi"/>
        </w:rPr>
        <w:t xml:space="preserve">on US yields. In contrast, since the GFC, it appears that the Israeli yields </w:t>
      </w:r>
      <w:r w:rsidR="00C73D50" w:rsidRPr="00D5151B">
        <w:rPr>
          <w:rFonts w:asciiTheme="majorBidi" w:hAnsiTheme="majorBidi" w:cstheme="majorBidi"/>
        </w:rPr>
        <w:t xml:space="preserve">have </w:t>
      </w:r>
      <w:r w:rsidR="00275792" w:rsidRPr="00D5151B">
        <w:rPr>
          <w:rFonts w:asciiTheme="majorBidi" w:hAnsiTheme="majorBidi" w:cstheme="majorBidi"/>
        </w:rPr>
        <w:t>become</w:t>
      </w:r>
      <w:r w:rsidR="0006273F" w:rsidRPr="00D5151B">
        <w:rPr>
          <w:rFonts w:asciiTheme="majorBidi" w:hAnsiTheme="majorBidi" w:cstheme="majorBidi"/>
        </w:rPr>
        <w:t xml:space="preserve"> strongly correlated with the European ones, with hardly any correlation with US yields</w:t>
      </w:r>
      <w:r w:rsidR="001A1DDB" w:rsidRPr="00D5151B">
        <w:rPr>
          <w:rFonts w:asciiTheme="majorBidi" w:hAnsiTheme="majorBidi" w:cstheme="majorBidi"/>
        </w:rPr>
        <w:t>,</w:t>
      </w:r>
      <w:r w:rsidR="0006273F" w:rsidRPr="00D5151B">
        <w:rPr>
          <w:rFonts w:asciiTheme="majorBidi" w:hAnsiTheme="majorBidi" w:cstheme="majorBidi"/>
        </w:rPr>
        <w:t xml:space="preserve"> despite the similar trade magnitudes with the two blocks and the resemblance of </w:t>
      </w:r>
      <w:r w:rsidR="001A1DDB" w:rsidRPr="00D5151B">
        <w:rPr>
          <w:rFonts w:asciiTheme="majorBidi" w:hAnsiTheme="majorBidi" w:cstheme="majorBidi"/>
        </w:rPr>
        <w:t xml:space="preserve">Israel's </w:t>
      </w:r>
      <w:r w:rsidR="0006273F" w:rsidRPr="00D5151B">
        <w:rPr>
          <w:rFonts w:asciiTheme="majorBidi" w:hAnsiTheme="majorBidi" w:cstheme="majorBidi"/>
        </w:rPr>
        <w:t xml:space="preserve">growth and unemployment rates </w:t>
      </w:r>
      <w:r w:rsidR="001A1DDB" w:rsidRPr="00D5151B">
        <w:rPr>
          <w:rFonts w:asciiTheme="majorBidi" w:hAnsiTheme="majorBidi" w:cstheme="majorBidi"/>
        </w:rPr>
        <w:t>with</w:t>
      </w:r>
      <w:r w:rsidR="0006273F" w:rsidRPr="00D5151B">
        <w:rPr>
          <w:rFonts w:asciiTheme="majorBidi" w:hAnsiTheme="majorBidi" w:cstheme="majorBidi"/>
        </w:rPr>
        <w:t xml:space="preserve"> the US.</w:t>
      </w:r>
      <w:r w:rsidR="00F2531B" w:rsidRPr="00D5151B">
        <w:rPr>
          <w:rFonts w:asciiTheme="majorBidi" w:hAnsiTheme="majorBidi" w:cstheme="majorBidi"/>
        </w:rPr>
        <w:t xml:space="preserve"> While the covariation of rates </w:t>
      </w:r>
      <w:r w:rsidR="0064165B" w:rsidRPr="00D5151B">
        <w:rPr>
          <w:rFonts w:asciiTheme="majorBidi" w:hAnsiTheme="majorBidi" w:cstheme="majorBidi"/>
        </w:rPr>
        <w:t>in recent times seem</w:t>
      </w:r>
      <w:r w:rsidR="00B311D0" w:rsidRPr="00D5151B">
        <w:rPr>
          <w:rFonts w:asciiTheme="majorBidi" w:hAnsiTheme="majorBidi" w:cstheme="majorBidi"/>
        </w:rPr>
        <w:t>s</w:t>
      </w:r>
      <w:r w:rsidR="0064165B" w:rsidRPr="00D5151B">
        <w:rPr>
          <w:rFonts w:asciiTheme="majorBidi" w:hAnsiTheme="majorBidi" w:cstheme="majorBidi"/>
        </w:rPr>
        <w:t xml:space="preserve"> to </w:t>
      </w:r>
      <w:r w:rsidR="00F2531B" w:rsidRPr="00D5151B">
        <w:rPr>
          <w:rFonts w:asciiTheme="majorBidi" w:hAnsiTheme="majorBidi" w:cstheme="majorBidi"/>
        </w:rPr>
        <w:t xml:space="preserve">be with the </w:t>
      </w:r>
      <w:r w:rsidR="001A1DDB" w:rsidRPr="00D5151B">
        <w:rPr>
          <w:rFonts w:asciiTheme="majorBidi" w:hAnsiTheme="majorBidi" w:cstheme="majorBidi"/>
        </w:rPr>
        <w:t>e</w:t>
      </w:r>
      <w:r w:rsidR="00F2531B" w:rsidRPr="00D5151B">
        <w:rPr>
          <w:rFonts w:asciiTheme="majorBidi" w:hAnsiTheme="majorBidi" w:cstheme="majorBidi"/>
        </w:rPr>
        <w:t>uro</w:t>
      </w:r>
      <w:r w:rsidR="001A1DDB" w:rsidRPr="00D5151B">
        <w:rPr>
          <w:rFonts w:asciiTheme="majorBidi" w:hAnsiTheme="majorBidi" w:cstheme="majorBidi"/>
        </w:rPr>
        <w:t>zone</w:t>
      </w:r>
      <w:r w:rsidR="00F2531B" w:rsidRPr="00D5151B">
        <w:rPr>
          <w:rFonts w:asciiTheme="majorBidi" w:hAnsiTheme="majorBidi" w:cstheme="majorBidi"/>
        </w:rPr>
        <w:t xml:space="preserve">, the levels indicate </w:t>
      </w:r>
      <w:r w:rsidR="001A1DDB" w:rsidRPr="00D5151B">
        <w:rPr>
          <w:rFonts w:asciiTheme="majorBidi" w:hAnsiTheme="majorBidi" w:cstheme="majorBidi"/>
        </w:rPr>
        <w:t xml:space="preserve">an </w:t>
      </w:r>
      <w:r w:rsidR="00F2531B" w:rsidRPr="00D5151B">
        <w:rPr>
          <w:rFonts w:asciiTheme="majorBidi" w:hAnsiTheme="majorBidi" w:cstheme="majorBidi"/>
        </w:rPr>
        <w:t xml:space="preserve">even more complicated divergence story. </w:t>
      </w:r>
      <w:r w:rsidR="00C73D50" w:rsidRPr="00D5151B">
        <w:rPr>
          <w:rFonts w:asciiTheme="majorBidi" w:hAnsiTheme="majorBidi" w:cstheme="majorBidi"/>
        </w:rPr>
        <w:t xml:space="preserve">Figure </w:t>
      </w:r>
      <w:r w:rsidR="000262F9" w:rsidRPr="00D5151B">
        <w:rPr>
          <w:rFonts w:asciiTheme="majorBidi" w:hAnsiTheme="majorBidi" w:cstheme="majorBidi"/>
        </w:rPr>
        <w:t>3</w:t>
      </w:r>
      <w:r w:rsidR="00CE598A" w:rsidRPr="00D5151B">
        <w:rPr>
          <w:rFonts w:asciiTheme="majorBidi" w:hAnsiTheme="majorBidi" w:cstheme="majorBidi"/>
        </w:rPr>
        <w:t xml:space="preserve"> </w:t>
      </w:r>
      <w:r w:rsidR="00C73D50" w:rsidRPr="00D5151B">
        <w:rPr>
          <w:rFonts w:asciiTheme="majorBidi" w:hAnsiTheme="majorBidi" w:cstheme="majorBidi"/>
        </w:rPr>
        <w:t xml:space="preserve">shows the </w:t>
      </w:r>
      <w:r w:rsidR="00F2531B" w:rsidRPr="00D5151B">
        <w:rPr>
          <w:rFonts w:asciiTheme="majorBidi" w:hAnsiTheme="majorBidi" w:cstheme="majorBidi"/>
        </w:rPr>
        <w:t xml:space="preserve">term structure </w:t>
      </w:r>
      <w:r w:rsidR="00C73D50" w:rsidRPr="00D5151B">
        <w:rPr>
          <w:rFonts w:asciiTheme="majorBidi" w:hAnsiTheme="majorBidi" w:cstheme="majorBidi"/>
        </w:rPr>
        <w:t xml:space="preserve">of real rates. One can immediately observe </w:t>
      </w:r>
      <w:r w:rsidR="001A1DDB" w:rsidRPr="00D5151B">
        <w:rPr>
          <w:rFonts w:asciiTheme="majorBidi" w:hAnsiTheme="majorBidi" w:cstheme="majorBidi"/>
        </w:rPr>
        <w:t>how</w:t>
      </w:r>
      <w:r w:rsidR="00F2531B" w:rsidRPr="00D5151B">
        <w:rPr>
          <w:rFonts w:asciiTheme="majorBidi" w:hAnsiTheme="majorBidi" w:cstheme="majorBidi"/>
        </w:rPr>
        <w:t xml:space="preserve"> </w:t>
      </w:r>
      <w:r w:rsidR="00C73D50" w:rsidRPr="00D5151B">
        <w:rPr>
          <w:rFonts w:asciiTheme="majorBidi" w:hAnsiTheme="majorBidi" w:cstheme="majorBidi"/>
        </w:rPr>
        <w:t>Israel</w:t>
      </w:r>
      <w:r w:rsidR="001A1DDB" w:rsidRPr="00D5151B">
        <w:rPr>
          <w:rFonts w:asciiTheme="majorBidi" w:hAnsiTheme="majorBidi" w:cstheme="majorBidi"/>
        </w:rPr>
        <w:t xml:space="preserve"> is caught in between</w:t>
      </w:r>
      <w:r w:rsidR="00A55B40" w:rsidRPr="00D5151B">
        <w:rPr>
          <w:rFonts w:asciiTheme="majorBidi" w:hAnsiTheme="majorBidi" w:cstheme="majorBidi"/>
        </w:rPr>
        <w:t>: F</w:t>
      </w:r>
      <w:r w:rsidR="00C73D50" w:rsidRPr="00D5151B">
        <w:rPr>
          <w:rFonts w:asciiTheme="majorBidi" w:hAnsiTheme="majorBidi" w:cstheme="majorBidi"/>
        </w:rPr>
        <w:t xml:space="preserve">or short maturities Israel </w:t>
      </w:r>
      <w:r w:rsidR="00F2531B" w:rsidRPr="00D5151B">
        <w:rPr>
          <w:rFonts w:asciiTheme="majorBidi" w:hAnsiTheme="majorBidi" w:cstheme="majorBidi"/>
        </w:rPr>
        <w:t>is closer to the European block, while longer maturities, namely the 10</w:t>
      </w:r>
      <w:r w:rsidR="001A1DDB" w:rsidRPr="00D5151B">
        <w:rPr>
          <w:rFonts w:asciiTheme="majorBidi" w:hAnsiTheme="majorBidi" w:cstheme="majorBidi"/>
        </w:rPr>
        <w:t>-</w:t>
      </w:r>
      <w:r w:rsidR="00F2531B" w:rsidRPr="00D5151B">
        <w:rPr>
          <w:rFonts w:asciiTheme="majorBidi" w:hAnsiTheme="majorBidi" w:cstheme="majorBidi"/>
        </w:rPr>
        <w:t xml:space="preserve">year rate, </w:t>
      </w:r>
      <w:r w:rsidR="00853178" w:rsidRPr="00D5151B">
        <w:rPr>
          <w:rFonts w:asciiTheme="majorBidi" w:hAnsiTheme="majorBidi" w:cstheme="majorBidi"/>
        </w:rPr>
        <w:t xml:space="preserve">is </w:t>
      </w:r>
      <w:r w:rsidR="00A55B40" w:rsidRPr="00D5151B">
        <w:rPr>
          <w:rFonts w:asciiTheme="majorBidi" w:hAnsiTheme="majorBidi" w:cstheme="majorBidi"/>
        </w:rPr>
        <w:t xml:space="preserve"> </w:t>
      </w:r>
      <w:r w:rsidR="00F2531B" w:rsidRPr="00D5151B">
        <w:rPr>
          <w:rFonts w:asciiTheme="majorBidi" w:hAnsiTheme="majorBidi" w:cstheme="majorBidi"/>
        </w:rPr>
        <w:t xml:space="preserve"> closer</w:t>
      </w:r>
      <w:r w:rsidR="00BB0A7C" w:rsidRPr="00D5151B">
        <w:rPr>
          <w:rFonts w:asciiTheme="majorBidi" w:hAnsiTheme="majorBidi" w:cstheme="majorBidi"/>
        </w:rPr>
        <w:t xml:space="preserve"> </w:t>
      </w:r>
      <w:r w:rsidR="00F2531B" w:rsidRPr="00D5151B">
        <w:rPr>
          <w:rFonts w:asciiTheme="majorBidi" w:hAnsiTheme="majorBidi" w:cstheme="majorBidi"/>
        </w:rPr>
        <w:t>to the US</w:t>
      </w:r>
      <w:r w:rsidR="00FA013E" w:rsidRPr="00D5151B">
        <w:rPr>
          <w:rFonts w:asciiTheme="majorBidi" w:hAnsiTheme="majorBidi" w:cstheme="majorBidi"/>
        </w:rPr>
        <w:t>.</w:t>
      </w:r>
      <w:r w:rsidR="00F2531B" w:rsidRPr="00D5151B">
        <w:rPr>
          <w:rFonts w:asciiTheme="majorBidi" w:hAnsiTheme="majorBidi" w:cstheme="majorBidi"/>
        </w:rPr>
        <w:t xml:space="preserve"> </w:t>
      </w:r>
    </w:p>
    <w:p w:rsidR="00FA013E" w:rsidRPr="00D5151B" w:rsidRDefault="00FA013E" w:rsidP="001A1DDB">
      <w:pPr>
        <w:tabs>
          <w:tab w:val="left" w:pos="7290"/>
        </w:tabs>
        <w:spacing w:line="360" w:lineRule="auto"/>
        <w:jc w:val="both"/>
        <w:rPr>
          <w:rFonts w:asciiTheme="majorBidi" w:hAnsiTheme="majorBidi" w:cstheme="majorBidi"/>
        </w:rPr>
      </w:pPr>
    </w:p>
    <w:p w:rsidR="00A6107B" w:rsidRPr="00D5151B" w:rsidRDefault="0003438B" w:rsidP="008F14BF">
      <w:pPr>
        <w:tabs>
          <w:tab w:val="left" w:pos="7290"/>
        </w:tabs>
        <w:spacing w:line="360" w:lineRule="auto"/>
        <w:jc w:val="both"/>
        <w:rPr>
          <w:rFonts w:asciiTheme="majorBidi" w:hAnsiTheme="majorBidi" w:cstheme="majorBidi"/>
        </w:rPr>
      </w:pPr>
      <w:r w:rsidRPr="00D5151B">
        <w:rPr>
          <w:rFonts w:asciiTheme="majorBidi" w:hAnsiTheme="majorBidi" w:cstheme="majorBidi"/>
        </w:rPr>
        <w:t>Th</w:t>
      </w:r>
      <w:r w:rsidR="00FA013E" w:rsidRPr="00D5151B">
        <w:rPr>
          <w:rFonts w:asciiTheme="majorBidi" w:hAnsiTheme="majorBidi" w:cstheme="majorBidi"/>
        </w:rPr>
        <w:t>e</w:t>
      </w:r>
      <w:r w:rsidRPr="00D5151B">
        <w:rPr>
          <w:rFonts w:asciiTheme="majorBidi" w:hAnsiTheme="majorBidi" w:cstheme="majorBidi"/>
        </w:rPr>
        <w:t xml:space="preserve"> discussion </w:t>
      </w:r>
      <w:r w:rsidR="00FA013E" w:rsidRPr="00D5151B">
        <w:rPr>
          <w:rFonts w:asciiTheme="majorBidi" w:hAnsiTheme="majorBidi" w:cstheme="majorBidi"/>
        </w:rPr>
        <w:t xml:space="preserve">on independent monetary policy </w:t>
      </w:r>
      <w:r w:rsidRPr="00D5151B">
        <w:rPr>
          <w:rFonts w:asciiTheme="majorBidi" w:hAnsiTheme="majorBidi" w:cstheme="majorBidi"/>
        </w:rPr>
        <w:t>has aspects that are r</w:t>
      </w:r>
      <w:r w:rsidR="00A57C99" w:rsidRPr="00D5151B">
        <w:rPr>
          <w:rFonts w:asciiTheme="majorBidi" w:hAnsiTheme="majorBidi" w:cstheme="majorBidi"/>
        </w:rPr>
        <w:t>e</w:t>
      </w:r>
      <w:r w:rsidRPr="00D5151B">
        <w:rPr>
          <w:rFonts w:asciiTheme="majorBidi" w:hAnsiTheme="majorBidi" w:cstheme="majorBidi"/>
        </w:rPr>
        <w:t>min</w:t>
      </w:r>
      <w:r w:rsidR="00A57C99" w:rsidRPr="00D5151B">
        <w:rPr>
          <w:rFonts w:asciiTheme="majorBidi" w:hAnsiTheme="majorBidi" w:cstheme="majorBidi"/>
        </w:rPr>
        <w:t>is</w:t>
      </w:r>
      <w:r w:rsidR="00B12826" w:rsidRPr="00D5151B">
        <w:rPr>
          <w:rFonts w:asciiTheme="majorBidi" w:hAnsiTheme="majorBidi" w:cstheme="majorBidi"/>
        </w:rPr>
        <w:t>cent of</w:t>
      </w:r>
      <w:r w:rsidRPr="00D5151B">
        <w:rPr>
          <w:rFonts w:asciiTheme="majorBidi" w:hAnsiTheme="majorBidi" w:cstheme="majorBidi"/>
        </w:rPr>
        <w:t xml:space="preserve"> Helene Rey’s </w:t>
      </w:r>
      <w:r w:rsidR="00E46BF8" w:rsidRPr="00D5151B">
        <w:rPr>
          <w:rFonts w:asciiTheme="majorBidi" w:hAnsiTheme="majorBidi" w:cstheme="majorBidi"/>
        </w:rPr>
        <w:t>``</w:t>
      </w:r>
      <w:r w:rsidR="00E46BF8" w:rsidRPr="00D5151B">
        <w:rPr>
          <w:rFonts w:asciiTheme="majorBidi" w:eastAsia="Times New Roman" w:hAnsiTheme="majorBidi" w:cstheme="majorBidi"/>
          <w:kern w:val="36"/>
          <w:lang w:bidi="he-IL"/>
        </w:rPr>
        <w:t>Dilemma not Trilemma</w:t>
      </w:r>
      <w:r w:rsidR="008F14BF" w:rsidRPr="00D5151B">
        <w:rPr>
          <w:rFonts w:asciiTheme="majorBidi" w:hAnsiTheme="majorBidi" w:cstheme="majorBidi"/>
        </w:rPr>
        <w:t xml:space="preserve"> </w:t>
      </w:r>
      <w:r w:rsidR="00D365A7" w:rsidRPr="00D5151B">
        <w:rPr>
          <w:rFonts w:asciiTheme="majorBidi" w:hAnsiTheme="majorBidi" w:cstheme="majorBidi"/>
        </w:rPr>
        <w:t xml:space="preserve">whereby </w:t>
      </w:r>
      <w:r w:rsidRPr="00D5151B">
        <w:rPr>
          <w:rFonts w:asciiTheme="majorBidi" w:hAnsiTheme="majorBidi" w:cstheme="majorBidi"/>
        </w:rPr>
        <w:t xml:space="preserve">independent monetary policies are possible if and only if the capital account is managed.” Given that monetary policies are transmitted globally through the financial markets, </w:t>
      </w:r>
      <w:r w:rsidR="00602F70" w:rsidRPr="00D5151B">
        <w:rPr>
          <w:rFonts w:asciiTheme="majorBidi" w:hAnsiTheme="majorBidi" w:cstheme="majorBidi"/>
        </w:rPr>
        <w:t>and that capital controls can have many fa</w:t>
      </w:r>
      <w:r w:rsidR="00B75BAD" w:rsidRPr="00D5151B">
        <w:rPr>
          <w:rFonts w:asciiTheme="majorBidi" w:hAnsiTheme="majorBidi" w:cstheme="majorBidi"/>
        </w:rPr>
        <w:t>cets</w:t>
      </w:r>
      <w:r w:rsidR="00602F70" w:rsidRPr="00D5151B">
        <w:rPr>
          <w:rFonts w:asciiTheme="majorBidi" w:hAnsiTheme="majorBidi" w:cstheme="majorBidi"/>
        </w:rPr>
        <w:t xml:space="preserve">, </w:t>
      </w:r>
      <w:r w:rsidR="003B5629" w:rsidRPr="00D5151B">
        <w:rPr>
          <w:rFonts w:asciiTheme="majorBidi" w:hAnsiTheme="majorBidi" w:cstheme="majorBidi"/>
        </w:rPr>
        <w:t xml:space="preserve">it remains a </w:t>
      </w:r>
      <w:r w:rsidRPr="00D5151B">
        <w:rPr>
          <w:rFonts w:asciiTheme="majorBidi" w:hAnsiTheme="majorBidi" w:cstheme="majorBidi"/>
        </w:rPr>
        <w:t>question how</w:t>
      </w:r>
      <w:r w:rsidR="00B75BAD" w:rsidRPr="00D5151B">
        <w:rPr>
          <w:rFonts w:asciiTheme="majorBidi" w:hAnsiTheme="majorBidi" w:cstheme="majorBidi"/>
        </w:rPr>
        <w:t xml:space="preserve"> </w:t>
      </w:r>
      <w:r w:rsidR="00EC0E9E" w:rsidRPr="00D5151B">
        <w:rPr>
          <w:rFonts w:asciiTheme="majorBidi" w:hAnsiTheme="majorBidi" w:cstheme="majorBidi"/>
        </w:rPr>
        <w:t>effective</w:t>
      </w:r>
      <w:r w:rsidR="00B75BAD" w:rsidRPr="00D5151B">
        <w:rPr>
          <w:rFonts w:asciiTheme="majorBidi" w:hAnsiTheme="majorBidi" w:cstheme="majorBidi"/>
        </w:rPr>
        <w:t xml:space="preserve"> they might be </w:t>
      </w:r>
      <w:r w:rsidRPr="00D5151B">
        <w:rPr>
          <w:rFonts w:asciiTheme="majorBidi" w:hAnsiTheme="majorBidi" w:cstheme="majorBidi"/>
        </w:rPr>
        <w:t xml:space="preserve">in </w:t>
      </w:r>
      <w:r w:rsidR="00602F70" w:rsidRPr="00D5151B">
        <w:rPr>
          <w:rFonts w:asciiTheme="majorBidi" w:hAnsiTheme="majorBidi" w:cstheme="majorBidi"/>
        </w:rPr>
        <w:t xml:space="preserve">a </w:t>
      </w:r>
      <w:r w:rsidRPr="00D5151B">
        <w:rPr>
          <w:rFonts w:asciiTheme="majorBidi" w:hAnsiTheme="majorBidi" w:cstheme="majorBidi"/>
        </w:rPr>
        <w:t xml:space="preserve">divergence situation. Taken together, these considerations clearly demonstrate the challenges </w:t>
      </w:r>
      <w:r w:rsidR="00B311D0" w:rsidRPr="00D5151B">
        <w:rPr>
          <w:rFonts w:asciiTheme="majorBidi" w:hAnsiTheme="majorBidi" w:cstheme="majorBidi"/>
        </w:rPr>
        <w:t xml:space="preserve">that </w:t>
      </w:r>
      <w:r w:rsidRPr="00D5151B">
        <w:rPr>
          <w:rFonts w:asciiTheme="majorBidi" w:hAnsiTheme="majorBidi" w:cstheme="majorBidi"/>
        </w:rPr>
        <w:t>divergence can impose on independent monetary policy for SOEs.</w:t>
      </w:r>
      <w:r w:rsidR="007A0487" w:rsidRPr="00D5151B">
        <w:rPr>
          <w:rFonts w:asciiTheme="majorBidi" w:hAnsiTheme="majorBidi" w:cstheme="majorBidi"/>
        </w:rPr>
        <w:t xml:space="preserve"> I believe that this “new normal” would persist in the coming years.</w:t>
      </w:r>
    </w:p>
    <w:p w:rsidR="00F313D4" w:rsidRPr="00D5151B" w:rsidRDefault="00F313D4" w:rsidP="0038293F">
      <w:pPr>
        <w:tabs>
          <w:tab w:val="left" w:pos="7290"/>
        </w:tabs>
        <w:spacing w:line="360" w:lineRule="auto"/>
        <w:jc w:val="both"/>
        <w:rPr>
          <w:rFonts w:asciiTheme="majorBidi" w:hAnsiTheme="majorBidi" w:cstheme="majorBidi"/>
          <w:rtl/>
          <w:lang w:bidi="he-IL"/>
        </w:rPr>
      </w:pPr>
    </w:p>
    <w:p w:rsidR="00CE391A" w:rsidRPr="00D5151B" w:rsidRDefault="00A6107B" w:rsidP="008F14BF">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 xml:space="preserve">One more aspect that connects data dependency and divergence is </w:t>
      </w:r>
      <w:r w:rsidR="00C23C26" w:rsidRPr="00D5151B">
        <w:rPr>
          <w:rFonts w:asciiTheme="majorBidi" w:hAnsiTheme="majorBidi" w:cstheme="majorBidi"/>
        </w:rPr>
        <w:t xml:space="preserve">assessing whether </w:t>
      </w:r>
      <w:r w:rsidRPr="00D5151B">
        <w:rPr>
          <w:rFonts w:asciiTheme="majorBidi" w:hAnsiTheme="majorBidi" w:cstheme="majorBidi"/>
        </w:rPr>
        <w:t xml:space="preserve">incoming data </w:t>
      </w:r>
      <w:r w:rsidR="00045A26" w:rsidRPr="00D5151B">
        <w:rPr>
          <w:rFonts w:asciiTheme="majorBidi" w:hAnsiTheme="majorBidi" w:cstheme="majorBidi"/>
        </w:rPr>
        <w:t>are</w:t>
      </w:r>
      <w:r w:rsidRPr="00D5151B">
        <w:rPr>
          <w:rFonts w:asciiTheme="majorBidi" w:hAnsiTheme="majorBidi" w:cstheme="majorBidi"/>
        </w:rPr>
        <w:t xml:space="preserve"> pointing to</w:t>
      </w:r>
      <w:r w:rsidR="00C23C26" w:rsidRPr="00D5151B">
        <w:rPr>
          <w:rFonts w:asciiTheme="majorBidi" w:hAnsiTheme="majorBidi" w:cstheme="majorBidi"/>
        </w:rPr>
        <w:t>ward</w:t>
      </w:r>
      <w:r w:rsidR="00A55B40" w:rsidRPr="00D5151B">
        <w:rPr>
          <w:rFonts w:asciiTheme="majorBidi" w:hAnsiTheme="majorBidi" w:cstheme="majorBidi"/>
        </w:rPr>
        <w:t>s</w:t>
      </w:r>
      <w:r w:rsidRPr="00D5151B">
        <w:rPr>
          <w:rFonts w:asciiTheme="majorBidi" w:hAnsiTheme="majorBidi" w:cstheme="majorBidi"/>
        </w:rPr>
        <w:t xml:space="preserve"> a typical ch</w:t>
      </w:r>
      <w:r w:rsidR="00C23C26" w:rsidRPr="00D5151B">
        <w:rPr>
          <w:rFonts w:asciiTheme="majorBidi" w:hAnsiTheme="majorBidi" w:cstheme="majorBidi"/>
        </w:rPr>
        <w:t xml:space="preserve">ange in </w:t>
      </w:r>
      <w:r w:rsidRPr="00D5151B">
        <w:rPr>
          <w:rFonts w:asciiTheme="majorBidi" w:hAnsiTheme="majorBidi" w:cstheme="majorBidi"/>
        </w:rPr>
        <w:t xml:space="preserve">economic conditions </w:t>
      </w:r>
      <w:r w:rsidR="00C23C26" w:rsidRPr="00D5151B">
        <w:rPr>
          <w:rFonts w:asciiTheme="majorBidi" w:hAnsiTheme="majorBidi" w:cstheme="majorBidi"/>
        </w:rPr>
        <w:t xml:space="preserve">that ultimately will have to co-integrate </w:t>
      </w:r>
      <w:r w:rsidR="00CE391A" w:rsidRPr="00D5151B">
        <w:rPr>
          <w:rFonts w:asciiTheme="majorBidi" w:hAnsiTheme="majorBidi" w:cstheme="majorBidi"/>
        </w:rPr>
        <w:t>with fundamentals and other large economies</w:t>
      </w:r>
      <w:r w:rsidR="00A55B40" w:rsidRPr="00D5151B">
        <w:rPr>
          <w:rFonts w:asciiTheme="majorBidi" w:hAnsiTheme="majorBidi" w:cstheme="majorBidi"/>
        </w:rPr>
        <w:t>,</w:t>
      </w:r>
      <w:r w:rsidR="00CE391A" w:rsidRPr="00D5151B">
        <w:rPr>
          <w:rFonts w:asciiTheme="majorBidi" w:hAnsiTheme="majorBidi" w:cstheme="majorBidi"/>
        </w:rPr>
        <w:t xml:space="preserve"> </w:t>
      </w:r>
      <w:r w:rsidR="00C23C26" w:rsidRPr="00D5151B">
        <w:rPr>
          <w:rFonts w:asciiTheme="majorBidi" w:hAnsiTheme="majorBidi" w:cstheme="majorBidi"/>
        </w:rPr>
        <w:t>or toward</w:t>
      </w:r>
      <w:r w:rsidR="00A55B40" w:rsidRPr="00D5151B">
        <w:rPr>
          <w:rFonts w:asciiTheme="majorBidi" w:hAnsiTheme="majorBidi" w:cstheme="majorBidi"/>
        </w:rPr>
        <w:t>s</w:t>
      </w:r>
      <w:r w:rsidR="00C23C26" w:rsidRPr="00D5151B">
        <w:rPr>
          <w:rFonts w:asciiTheme="majorBidi" w:hAnsiTheme="majorBidi" w:cstheme="majorBidi"/>
        </w:rPr>
        <w:t xml:space="preserve"> </w:t>
      </w:r>
      <w:r w:rsidRPr="00D5151B">
        <w:rPr>
          <w:rFonts w:asciiTheme="majorBidi" w:hAnsiTheme="majorBidi" w:cstheme="majorBidi"/>
        </w:rPr>
        <w:t>a lower frequency process</w:t>
      </w:r>
      <w:r w:rsidR="00C23C26" w:rsidRPr="00D5151B">
        <w:rPr>
          <w:rFonts w:asciiTheme="majorBidi" w:hAnsiTheme="majorBidi" w:cstheme="majorBidi"/>
        </w:rPr>
        <w:t xml:space="preserve"> </w:t>
      </w:r>
      <w:r w:rsidR="00C23C26" w:rsidRPr="00D5151B">
        <w:rPr>
          <w:rFonts w:asciiTheme="majorBidi" w:hAnsiTheme="majorBidi" w:cstheme="majorBidi"/>
        </w:rPr>
        <w:lastRenderedPageBreak/>
        <w:t>underlying a</w:t>
      </w:r>
      <w:r w:rsidRPr="00D5151B">
        <w:rPr>
          <w:rFonts w:asciiTheme="majorBidi" w:hAnsiTheme="majorBidi" w:cstheme="majorBidi"/>
        </w:rPr>
        <w:t xml:space="preserve"> permanent structural</w:t>
      </w:r>
      <w:r w:rsidR="00C23C26" w:rsidRPr="00D5151B">
        <w:rPr>
          <w:rFonts w:asciiTheme="majorBidi" w:hAnsiTheme="majorBidi" w:cstheme="majorBidi"/>
        </w:rPr>
        <w:t xml:space="preserve"> change.</w:t>
      </w:r>
      <w:r w:rsidRPr="00D5151B">
        <w:rPr>
          <w:rFonts w:asciiTheme="majorBidi" w:hAnsiTheme="majorBidi" w:cstheme="majorBidi"/>
        </w:rPr>
        <w:t xml:space="preserve"> A simple example is given in Figure </w:t>
      </w:r>
      <w:r w:rsidR="000262F9" w:rsidRPr="00D5151B">
        <w:rPr>
          <w:rFonts w:asciiTheme="majorBidi" w:hAnsiTheme="majorBidi" w:cstheme="majorBidi"/>
        </w:rPr>
        <w:t>4</w:t>
      </w:r>
      <w:r w:rsidR="00631FFF" w:rsidRPr="00D5151B">
        <w:rPr>
          <w:rFonts w:asciiTheme="majorBidi" w:hAnsiTheme="majorBidi" w:cstheme="majorBidi"/>
        </w:rPr>
        <w:t xml:space="preserve"> </w:t>
      </w:r>
      <w:r w:rsidR="00CE391A" w:rsidRPr="00D5151B">
        <w:rPr>
          <w:rFonts w:asciiTheme="majorBidi" w:hAnsiTheme="majorBidi" w:cstheme="majorBidi"/>
        </w:rPr>
        <w:t>in the handout</w:t>
      </w:r>
      <w:r w:rsidR="001A1DDB" w:rsidRPr="00D5151B">
        <w:rPr>
          <w:rFonts w:asciiTheme="majorBidi" w:hAnsiTheme="majorBidi" w:cstheme="majorBidi"/>
        </w:rPr>
        <w:t>,</w:t>
      </w:r>
      <w:r w:rsidR="00CE391A" w:rsidRPr="00D5151B">
        <w:rPr>
          <w:rFonts w:asciiTheme="majorBidi" w:hAnsiTheme="majorBidi" w:cstheme="majorBidi"/>
        </w:rPr>
        <w:t xml:space="preserve"> </w:t>
      </w:r>
      <w:r w:rsidR="00A55B40" w:rsidRPr="00D5151B">
        <w:rPr>
          <w:rFonts w:asciiTheme="majorBidi" w:hAnsiTheme="majorBidi" w:cstheme="majorBidi"/>
        </w:rPr>
        <w:t xml:space="preserve">which </w:t>
      </w:r>
      <w:r w:rsidRPr="00D5151B">
        <w:rPr>
          <w:rFonts w:asciiTheme="majorBidi" w:hAnsiTheme="majorBidi" w:cstheme="majorBidi"/>
        </w:rPr>
        <w:t>show</w:t>
      </w:r>
      <w:r w:rsidR="00A55B40" w:rsidRPr="00D5151B">
        <w:rPr>
          <w:rFonts w:asciiTheme="majorBidi" w:hAnsiTheme="majorBidi" w:cstheme="majorBidi"/>
        </w:rPr>
        <w:t>s</w:t>
      </w:r>
      <w:r w:rsidRPr="00D5151B">
        <w:rPr>
          <w:rFonts w:asciiTheme="majorBidi" w:hAnsiTheme="majorBidi" w:cstheme="majorBidi"/>
        </w:rPr>
        <w:t xml:space="preserve"> how </w:t>
      </w:r>
      <w:r w:rsidR="00554603" w:rsidRPr="00D5151B">
        <w:rPr>
          <w:rFonts w:asciiTheme="majorBidi" w:hAnsiTheme="majorBidi" w:cstheme="majorBidi"/>
        </w:rPr>
        <w:t xml:space="preserve">between </w:t>
      </w:r>
      <w:r w:rsidR="00045A26" w:rsidRPr="00D5151B">
        <w:rPr>
          <w:rFonts w:asciiTheme="majorBidi" w:hAnsiTheme="majorBidi" w:cstheme="majorBidi"/>
        </w:rPr>
        <w:t>2009</w:t>
      </w:r>
      <w:r w:rsidR="00554603" w:rsidRPr="00D5151B">
        <w:rPr>
          <w:rFonts w:asciiTheme="majorBidi" w:hAnsiTheme="majorBidi" w:cstheme="majorBidi"/>
        </w:rPr>
        <w:t xml:space="preserve"> and </w:t>
      </w:r>
      <w:r w:rsidR="00045A26" w:rsidRPr="00D5151B">
        <w:rPr>
          <w:rFonts w:asciiTheme="majorBidi" w:hAnsiTheme="majorBidi" w:cstheme="majorBidi"/>
        </w:rPr>
        <w:t>2013</w:t>
      </w:r>
      <w:r w:rsidRPr="00D5151B">
        <w:rPr>
          <w:rFonts w:asciiTheme="majorBidi" w:hAnsiTheme="majorBidi" w:cstheme="majorBidi"/>
        </w:rPr>
        <w:t xml:space="preserve"> Israel’s inflation rate was </w:t>
      </w:r>
      <w:r w:rsidR="00045A26" w:rsidRPr="00D5151B">
        <w:rPr>
          <w:rFonts w:asciiTheme="majorBidi" w:hAnsiTheme="majorBidi" w:cstheme="majorBidi"/>
        </w:rPr>
        <w:t xml:space="preserve">higher than in </w:t>
      </w:r>
      <w:r w:rsidRPr="00D5151B">
        <w:rPr>
          <w:rFonts w:asciiTheme="majorBidi" w:hAnsiTheme="majorBidi" w:cstheme="majorBidi"/>
        </w:rPr>
        <w:t xml:space="preserve">other </w:t>
      </w:r>
      <w:r w:rsidR="00631FFF" w:rsidRPr="00D5151B">
        <w:rPr>
          <w:rFonts w:asciiTheme="majorBidi" w:hAnsiTheme="majorBidi" w:cstheme="majorBidi"/>
        </w:rPr>
        <w:t xml:space="preserve">OECD </w:t>
      </w:r>
      <w:r w:rsidRPr="00D5151B">
        <w:rPr>
          <w:rFonts w:asciiTheme="majorBidi" w:hAnsiTheme="majorBidi" w:cstheme="majorBidi"/>
        </w:rPr>
        <w:t xml:space="preserve">countries, yet subsequently the </w:t>
      </w:r>
      <w:r w:rsidR="00045A26" w:rsidRPr="00D5151B">
        <w:rPr>
          <w:rFonts w:asciiTheme="majorBidi" w:hAnsiTheme="majorBidi" w:cstheme="majorBidi"/>
        </w:rPr>
        <w:t>picture turned around and by 2017 the cumulative price increase since 2009 was similar</w:t>
      </w:r>
      <w:r w:rsidRPr="00D5151B">
        <w:rPr>
          <w:rFonts w:asciiTheme="majorBidi" w:hAnsiTheme="majorBidi" w:cstheme="majorBidi"/>
        </w:rPr>
        <w:t xml:space="preserve">. </w:t>
      </w:r>
      <w:r w:rsidR="00554603" w:rsidRPr="00D5151B">
        <w:rPr>
          <w:rFonts w:asciiTheme="majorBidi" w:hAnsiTheme="majorBidi" w:cstheme="majorBidi"/>
        </w:rPr>
        <w:t xml:space="preserve">Such </w:t>
      </w:r>
      <w:r w:rsidR="00045A26" w:rsidRPr="00D5151B">
        <w:rPr>
          <w:rFonts w:asciiTheme="majorBidi" w:hAnsiTheme="majorBidi" w:cstheme="majorBidi"/>
        </w:rPr>
        <w:t>developments make real-time assessments</w:t>
      </w:r>
      <w:r w:rsidR="00554603" w:rsidRPr="00D5151B">
        <w:rPr>
          <w:rFonts w:asciiTheme="majorBidi" w:hAnsiTheme="majorBidi" w:cstheme="majorBidi"/>
        </w:rPr>
        <w:t xml:space="preserve"> of</w:t>
      </w:r>
      <w:r w:rsidR="00045A26" w:rsidRPr="00D5151B">
        <w:rPr>
          <w:rFonts w:asciiTheme="majorBidi" w:hAnsiTheme="majorBidi" w:cstheme="majorBidi"/>
        </w:rPr>
        <w:t xml:space="preserve"> whether policy-makers are face</w:t>
      </w:r>
      <w:r w:rsidR="00B311D0" w:rsidRPr="00D5151B">
        <w:rPr>
          <w:rFonts w:asciiTheme="majorBidi" w:hAnsiTheme="majorBidi" w:cstheme="majorBidi"/>
        </w:rPr>
        <w:t>d</w:t>
      </w:r>
      <w:r w:rsidR="00045A26" w:rsidRPr="00D5151B">
        <w:rPr>
          <w:rFonts w:asciiTheme="majorBidi" w:hAnsiTheme="majorBidi" w:cstheme="majorBidi"/>
        </w:rPr>
        <w:t xml:space="preserve"> with transitory divergence or </w:t>
      </w:r>
      <w:r w:rsidR="00B311D0" w:rsidRPr="00D5151B">
        <w:rPr>
          <w:rFonts w:asciiTheme="majorBidi" w:hAnsiTheme="majorBidi" w:cstheme="majorBidi"/>
        </w:rPr>
        <w:t>structural</w:t>
      </w:r>
      <w:r w:rsidR="00045A26" w:rsidRPr="00D5151B">
        <w:rPr>
          <w:rFonts w:asciiTheme="majorBidi" w:hAnsiTheme="majorBidi" w:cstheme="majorBidi"/>
        </w:rPr>
        <w:t xml:space="preserve"> economic changes a challenge.  </w:t>
      </w:r>
      <w:r w:rsidR="000A771C" w:rsidRPr="00D5151B">
        <w:rPr>
          <w:rFonts w:asciiTheme="majorBidi" w:hAnsiTheme="majorBidi" w:cstheme="majorBidi"/>
        </w:rPr>
        <w:t>More generally, w</w:t>
      </w:r>
      <w:r w:rsidR="00554603" w:rsidRPr="00D5151B">
        <w:rPr>
          <w:rFonts w:asciiTheme="majorBidi" w:hAnsiTheme="majorBidi" w:cstheme="majorBidi"/>
        </w:rPr>
        <w:t>hile</w:t>
      </w:r>
      <w:r w:rsidR="00045A26" w:rsidRPr="00D5151B">
        <w:rPr>
          <w:rFonts w:asciiTheme="majorBidi" w:hAnsiTheme="majorBidi" w:cstheme="majorBidi"/>
        </w:rPr>
        <w:t xml:space="preserve"> there is a wish to not be behind the curve, the uncertainty and ambiguity suggest a call for </w:t>
      </w:r>
      <w:r w:rsidR="00554603" w:rsidRPr="00D5151B">
        <w:rPr>
          <w:rFonts w:asciiTheme="majorBidi" w:hAnsiTheme="majorBidi" w:cstheme="majorBidi"/>
        </w:rPr>
        <w:t>greater</w:t>
      </w:r>
      <w:r w:rsidR="00B311D0" w:rsidRPr="00D5151B">
        <w:rPr>
          <w:rFonts w:asciiTheme="majorBidi" w:hAnsiTheme="majorBidi" w:cstheme="majorBidi"/>
        </w:rPr>
        <w:t xml:space="preserve"> patience and risk aversion. </w:t>
      </w:r>
      <w:r w:rsidR="00D365A7" w:rsidRPr="00D5151B">
        <w:rPr>
          <w:rFonts w:asciiTheme="majorBidi" w:hAnsiTheme="majorBidi" w:cstheme="majorBidi"/>
        </w:rPr>
        <w:t>It</w:t>
      </w:r>
      <w:r w:rsidR="00045A26" w:rsidRPr="00D5151B">
        <w:rPr>
          <w:rFonts w:asciiTheme="majorBidi" w:hAnsiTheme="majorBidi" w:cstheme="majorBidi"/>
        </w:rPr>
        <w:t xml:space="preserve"> </w:t>
      </w:r>
      <w:r w:rsidR="00B311D0" w:rsidRPr="00D5151B">
        <w:rPr>
          <w:rFonts w:asciiTheme="majorBidi" w:hAnsiTheme="majorBidi" w:cstheme="majorBidi"/>
        </w:rPr>
        <w:t xml:space="preserve">is </w:t>
      </w:r>
      <w:r w:rsidR="00D365A7" w:rsidRPr="00D5151B">
        <w:rPr>
          <w:rFonts w:asciiTheme="majorBidi" w:hAnsiTheme="majorBidi" w:cstheme="majorBidi"/>
        </w:rPr>
        <w:t xml:space="preserve">this </w:t>
      </w:r>
      <w:r w:rsidR="00045A26" w:rsidRPr="00D5151B">
        <w:rPr>
          <w:rFonts w:asciiTheme="majorBidi" w:hAnsiTheme="majorBidi" w:cstheme="majorBidi"/>
        </w:rPr>
        <w:t>fine line that central bankers face when transforming data analysis into policy.</w:t>
      </w:r>
      <w:r w:rsidR="00B311D0" w:rsidRPr="00D5151B">
        <w:rPr>
          <w:rFonts w:asciiTheme="majorBidi" w:hAnsiTheme="majorBidi" w:cstheme="majorBidi"/>
        </w:rPr>
        <w:t xml:space="preserve"> </w:t>
      </w:r>
      <w:r w:rsidR="007B71D2" w:rsidRPr="00D5151B">
        <w:rPr>
          <w:rFonts w:asciiTheme="majorBidi" w:hAnsiTheme="majorBidi" w:cstheme="majorBidi"/>
        </w:rPr>
        <w:t>It</w:t>
      </w:r>
      <w:r w:rsidR="000A771C" w:rsidRPr="00D5151B">
        <w:rPr>
          <w:rFonts w:asciiTheme="majorBidi" w:hAnsiTheme="majorBidi" w:cstheme="majorBidi"/>
        </w:rPr>
        <w:t xml:space="preserve"> highlights the difficulty of balancing data dependency</w:t>
      </w:r>
      <w:r w:rsidR="008F14BF" w:rsidRPr="00D5151B">
        <w:rPr>
          <w:rFonts w:asciiTheme="majorBidi" w:hAnsiTheme="majorBidi" w:cstheme="majorBidi"/>
        </w:rPr>
        <w:t xml:space="preserve"> with</w:t>
      </w:r>
      <w:r w:rsidR="000A771C" w:rsidRPr="00D5151B">
        <w:rPr>
          <w:rFonts w:asciiTheme="majorBidi" w:hAnsiTheme="majorBidi" w:cstheme="majorBidi"/>
        </w:rPr>
        <w:t xml:space="preserve"> a clear policy rule and its communication</w:t>
      </w:r>
      <w:r w:rsidR="008F14BF" w:rsidRPr="00D5151B">
        <w:rPr>
          <w:rFonts w:asciiTheme="majorBidi" w:hAnsiTheme="majorBidi" w:cstheme="majorBidi"/>
        </w:rPr>
        <w:t>,</w:t>
      </w:r>
      <w:r w:rsidR="00D365A7" w:rsidRPr="00D5151B">
        <w:rPr>
          <w:rFonts w:asciiTheme="majorBidi" w:hAnsiTheme="majorBidi" w:cstheme="majorBidi"/>
        </w:rPr>
        <w:t xml:space="preserve"> especially for SOEs who also have to take into account the policy rules of others.</w:t>
      </w:r>
    </w:p>
    <w:p w:rsidR="005E5389" w:rsidRPr="00D5151B" w:rsidRDefault="005E5389" w:rsidP="00554603">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b/>
          <w:bCs/>
        </w:rPr>
        <w:t>Monetary policy and financial markets.</w:t>
      </w:r>
      <w:r w:rsidR="00C964CC" w:rsidRPr="00D5151B" w:rsidDel="00C964CC">
        <w:rPr>
          <w:rFonts w:asciiTheme="majorBidi" w:hAnsiTheme="majorBidi" w:cstheme="majorBidi"/>
          <w:b/>
          <w:bCs/>
        </w:rPr>
        <w:t xml:space="preserve"> </w:t>
      </w:r>
    </w:p>
    <w:p w:rsidR="00E41557" w:rsidRPr="00D5151B" w:rsidRDefault="008908FE" w:rsidP="0002513F">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 xml:space="preserve">There has been an extended discussion here about monetary policy and </w:t>
      </w:r>
      <w:r w:rsidR="00CE391A" w:rsidRPr="00D5151B">
        <w:rPr>
          <w:rFonts w:asciiTheme="majorBidi" w:hAnsiTheme="majorBidi" w:cstheme="majorBidi"/>
        </w:rPr>
        <w:t>financial markets. The interaction of the two affect</w:t>
      </w:r>
      <w:r w:rsidR="00E53ECC" w:rsidRPr="00D5151B">
        <w:rPr>
          <w:rFonts w:asciiTheme="majorBidi" w:hAnsiTheme="majorBidi" w:cstheme="majorBidi"/>
        </w:rPr>
        <w:t>s</w:t>
      </w:r>
      <w:r w:rsidR="00CE391A" w:rsidRPr="00D5151B">
        <w:rPr>
          <w:rFonts w:asciiTheme="majorBidi" w:hAnsiTheme="majorBidi" w:cstheme="majorBidi"/>
        </w:rPr>
        <w:t xml:space="preserve"> forecasting, policy</w:t>
      </w:r>
      <w:r w:rsidR="00E53ECC" w:rsidRPr="00D5151B">
        <w:rPr>
          <w:rFonts w:asciiTheme="majorBidi" w:hAnsiTheme="majorBidi" w:cstheme="majorBidi"/>
        </w:rPr>
        <w:t>,</w:t>
      </w:r>
      <w:r w:rsidR="00CE391A" w:rsidRPr="00D5151B">
        <w:rPr>
          <w:rFonts w:asciiTheme="majorBidi" w:hAnsiTheme="majorBidi" w:cstheme="majorBidi"/>
        </w:rPr>
        <w:t xml:space="preserve"> </w:t>
      </w:r>
      <w:r w:rsidR="00554603" w:rsidRPr="00D5151B">
        <w:rPr>
          <w:rFonts w:asciiTheme="majorBidi" w:hAnsiTheme="majorBidi" w:cstheme="majorBidi"/>
        </w:rPr>
        <w:t>and</w:t>
      </w:r>
      <w:r w:rsidR="00CE391A" w:rsidRPr="00D5151B">
        <w:rPr>
          <w:rFonts w:asciiTheme="majorBidi" w:hAnsiTheme="majorBidi" w:cstheme="majorBidi"/>
        </w:rPr>
        <w:t xml:space="preserve"> </w:t>
      </w:r>
      <w:r w:rsidR="00E334C4" w:rsidRPr="00D5151B">
        <w:rPr>
          <w:rFonts w:asciiTheme="majorBidi" w:hAnsiTheme="majorBidi" w:cstheme="majorBidi"/>
        </w:rPr>
        <w:t xml:space="preserve">its </w:t>
      </w:r>
      <w:r w:rsidR="00CE391A" w:rsidRPr="00D5151B">
        <w:rPr>
          <w:rFonts w:asciiTheme="majorBidi" w:hAnsiTheme="majorBidi" w:cstheme="majorBidi"/>
        </w:rPr>
        <w:t>potential effectiveness</w:t>
      </w:r>
      <w:r w:rsidR="00E334C4" w:rsidRPr="00D5151B">
        <w:rPr>
          <w:rFonts w:asciiTheme="majorBidi" w:hAnsiTheme="majorBidi" w:cstheme="majorBidi"/>
        </w:rPr>
        <w:t>.</w:t>
      </w:r>
      <w:r w:rsidR="00CE391A" w:rsidRPr="00D5151B">
        <w:rPr>
          <w:rFonts w:asciiTheme="majorBidi" w:hAnsiTheme="majorBidi" w:cstheme="majorBidi"/>
        </w:rPr>
        <w:t xml:space="preserve"> </w:t>
      </w:r>
      <w:r w:rsidR="00E05D94" w:rsidRPr="00D5151B">
        <w:rPr>
          <w:rFonts w:asciiTheme="majorBidi" w:hAnsiTheme="majorBidi" w:cstheme="majorBidi"/>
        </w:rPr>
        <w:t xml:space="preserve">I want to connect these two issues. </w:t>
      </w:r>
      <w:r w:rsidRPr="00D5151B">
        <w:rPr>
          <w:rFonts w:asciiTheme="majorBidi" w:hAnsiTheme="majorBidi" w:cstheme="majorBidi"/>
        </w:rPr>
        <w:t xml:space="preserve">My </w:t>
      </w:r>
      <w:r w:rsidR="00554603" w:rsidRPr="00D5151B">
        <w:rPr>
          <w:rFonts w:asciiTheme="majorBidi" w:hAnsiTheme="majorBidi" w:cstheme="majorBidi"/>
        </w:rPr>
        <w:t xml:space="preserve">argument </w:t>
      </w:r>
      <w:r w:rsidRPr="00D5151B">
        <w:rPr>
          <w:rFonts w:asciiTheme="majorBidi" w:hAnsiTheme="majorBidi" w:cstheme="majorBidi"/>
        </w:rPr>
        <w:t>is that the</w:t>
      </w:r>
      <w:r w:rsidR="00E05D94" w:rsidRPr="00D5151B">
        <w:rPr>
          <w:rFonts w:asciiTheme="majorBidi" w:hAnsiTheme="majorBidi" w:cstheme="majorBidi"/>
        </w:rPr>
        <w:t xml:space="preserve"> </w:t>
      </w:r>
      <w:r w:rsidRPr="00D5151B">
        <w:rPr>
          <w:rFonts w:asciiTheme="majorBidi" w:hAnsiTheme="majorBidi" w:cstheme="majorBidi"/>
        </w:rPr>
        <w:t xml:space="preserve">effects </w:t>
      </w:r>
      <w:r w:rsidR="00E05D94" w:rsidRPr="00D5151B">
        <w:rPr>
          <w:rFonts w:asciiTheme="majorBidi" w:hAnsiTheme="majorBidi" w:cstheme="majorBidi"/>
        </w:rPr>
        <w:t xml:space="preserve">of monetary policy on financial markets </w:t>
      </w:r>
      <w:r w:rsidRPr="00D5151B">
        <w:rPr>
          <w:rFonts w:asciiTheme="majorBidi" w:hAnsiTheme="majorBidi" w:cstheme="majorBidi"/>
        </w:rPr>
        <w:t>are state dependent</w:t>
      </w:r>
      <w:r w:rsidR="00E53ECC" w:rsidRPr="00D5151B">
        <w:rPr>
          <w:rFonts w:asciiTheme="majorBidi" w:hAnsiTheme="majorBidi" w:cstheme="majorBidi"/>
        </w:rPr>
        <w:t>,</w:t>
      </w:r>
      <w:r w:rsidR="00CE391A" w:rsidRPr="00D5151B">
        <w:rPr>
          <w:rFonts w:asciiTheme="majorBidi" w:hAnsiTheme="majorBidi" w:cstheme="majorBidi"/>
        </w:rPr>
        <w:t xml:space="preserve"> and </w:t>
      </w:r>
      <w:r w:rsidR="00E05D94" w:rsidRPr="00D5151B">
        <w:rPr>
          <w:rFonts w:asciiTheme="majorBidi" w:hAnsiTheme="majorBidi" w:cstheme="majorBidi"/>
        </w:rPr>
        <w:t xml:space="preserve">importantly </w:t>
      </w:r>
      <w:r w:rsidRPr="00D5151B">
        <w:rPr>
          <w:rFonts w:asciiTheme="majorBidi" w:hAnsiTheme="majorBidi" w:cstheme="majorBidi"/>
        </w:rPr>
        <w:t xml:space="preserve">depend on the phase of the </w:t>
      </w:r>
      <w:r w:rsidR="00283FDA" w:rsidRPr="00D5151B">
        <w:rPr>
          <w:rFonts w:asciiTheme="majorBidi" w:hAnsiTheme="majorBidi" w:cstheme="majorBidi"/>
        </w:rPr>
        <w:t xml:space="preserve">business </w:t>
      </w:r>
      <w:r w:rsidRPr="00D5151B">
        <w:rPr>
          <w:rFonts w:asciiTheme="majorBidi" w:hAnsiTheme="majorBidi" w:cstheme="majorBidi"/>
        </w:rPr>
        <w:t>cycle</w:t>
      </w:r>
      <w:r w:rsidR="00E05D94" w:rsidRPr="00D5151B">
        <w:rPr>
          <w:rFonts w:asciiTheme="majorBidi" w:hAnsiTheme="majorBidi" w:cstheme="majorBidi"/>
        </w:rPr>
        <w:t>.</w:t>
      </w:r>
      <w:r w:rsidR="00064EA5" w:rsidRPr="00D5151B">
        <w:rPr>
          <w:rFonts w:asciiTheme="majorBidi" w:hAnsiTheme="majorBidi" w:cstheme="majorBidi"/>
        </w:rPr>
        <w:t xml:space="preserve"> Here, </w:t>
      </w:r>
      <w:r w:rsidR="00E05D94" w:rsidRPr="00D5151B">
        <w:rPr>
          <w:rFonts w:asciiTheme="majorBidi" w:hAnsiTheme="majorBidi" w:cstheme="majorBidi"/>
        </w:rPr>
        <w:t xml:space="preserve">I rely on some work of mine </w:t>
      </w:r>
      <w:r w:rsidR="0050438E" w:rsidRPr="00D5151B">
        <w:rPr>
          <w:rFonts w:asciiTheme="majorBidi" w:hAnsiTheme="majorBidi" w:cstheme="majorBidi"/>
        </w:rPr>
        <w:t xml:space="preserve">together with </w:t>
      </w:r>
      <w:r w:rsidR="00E05D94" w:rsidRPr="00D5151B">
        <w:rPr>
          <w:rFonts w:asciiTheme="majorBidi" w:hAnsiTheme="majorBidi" w:cstheme="majorBidi"/>
        </w:rPr>
        <w:t>Tzuo Law</w:t>
      </w:r>
      <w:r w:rsidR="00A57C99" w:rsidRPr="00D5151B">
        <w:rPr>
          <w:rFonts w:asciiTheme="majorBidi" w:hAnsiTheme="majorBidi" w:cstheme="majorBidi"/>
        </w:rPr>
        <w:t xml:space="preserve"> and Dongho Song</w:t>
      </w:r>
      <w:r w:rsidR="00E05D94" w:rsidRPr="00D5151B">
        <w:rPr>
          <w:rFonts w:asciiTheme="majorBidi" w:hAnsiTheme="majorBidi" w:cstheme="majorBidi"/>
        </w:rPr>
        <w:t xml:space="preserve">. </w:t>
      </w:r>
      <w:r w:rsidR="006420F9" w:rsidRPr="00D5151B">
        <w:rPr>
          <w:rFonts w:asciiTheme="majorBidi" w:hAnsiTheme="majorBidi" w:cstheme="majorBidi"/>
        </w:rPr>
        <w:t xml:space="preserve">I’ll just emphasize that the title of the paper </w:t>
      </w:r>
      <w:r w:rsidR="0050438E" w:rsidRPr="00D5151B">
        <w:rPr>
          <w:rFonts w:asciiTheme="majorBidi" w:hAnsiTheme="majorBidi" w:cstheme="majorBidi"/>
        </w:rPr>
        <w:t xml:space="preserve">- </w:t>
      </w:r>
      <w:r w:rsidR="00E41557" w:rsidRPr="00D5151B">
        <w:rPr>
          <w:rFonts w:asciiTheme="majorBidi" w:hAnsiTheme="majorBidi" w:cstheme="majorBidi"/>
        </w:rPr>
        <w:t>“Fearing the Fed: How Wall Street Reads Main Street”</w:t>
      </w:r>
      <w:r w:rsidR="00B12826" w:rsidRPr="00D5151B">
        <w:rPr>
          <w:rStyle w:val="af0"/>
          <w:rFonts w:asciiTheme="majorBidi" w:hAnsiTheme="majorBidi" w:cstheme="majorBidi"/>
        </w:rPr>
        <w:t xml:space="preserve"> </w:t>
      </w:r>
      <w:r w:rsidR="00B12826" w:rsidRPr="00D5151B">
        <w:rPr>
          <w:rFonts w:asciiTheme="majorBidi" w:hAnsiTheme="majorBidi" w:cstheme="majorBidi"/>
        </w:rPr>
        <w:t>(2016)</w:t>
      </w:r>
      <w:r w:rsidR="0050438E" w:rsidRPr="00D5151B">
        <w:rPr>
          <w:rFonts w:asciiTheme="majorBidi" w:hAnsiTheme="majorBidi" w:cstheme="majorBidi"/>
        </w:rPr>
        <w:t xml:space="preserve"> –was given long before I ever imagined I would become a governor of a central bank.</w:t>
      </w:r>
    </w:p>
    <w:p w:rsidR="00AA572C" w:rsidRPr="00D5151B" w:rsidRDefault="00472632" w:rsidP="006F286E">
      <w:pPr>
        <w:widowControl w:val="0"/>
        <w:tabs>
          <w:tab w:val="left" w:pos="220"/>
          <w:tab w:val="left" w:pos="720"/>
        </w:tabs>
        <w:autoSpaceDE w:val="0"/>
        <w:autoSpaceDN w:val="0"/>
        <w:adjustRightInd w:val="0"/>
        <w:spacing w:after="266" w:line="360" w:lineRule="auto"/>
        <w:jc w:val="both"/>
        <w:rPr>
          <w:rFonts w:asciiTheme="majorBidi" w:hAnsiTheme="majorBidi" w:cstheme="majorBidi"/>
        </w:rPr>
      </w:pPr>
      <w:r w:rsidRPr="00D5151B">
        <w:rPr>
          <w:rFonts w:asciiTheme="majorBidi" w:hAnsiTheme="majorBidi" w:cstheme="majorBidi"/>
        </w:rPr>
        <w:t xml:space="preserve">Using S&amp;P 500 </w:t>
      </w:r>
      <w:r w:rsidR="003776E4" w:rsidRPr="00D5151B">
        <w:rPr>
          <w:rFonts w:asciiTheme="majorBidi" w:hAnsiTheme="majorBidi" w:cstheme="majorBidi"/>
        </w:rPr>
        <w:t xml:space="preserve">futures </w:t>
      </w:r>
      <w:r w:rsidRPr="00D5151B">
        <w:rPr>
          <w:rFonts w:asciiTheme="majorBidi" w:hAnsiTheme="majorBidi" w:cstheme="majorBidi"/>
        </w:rPr>
        <w:t>returns</w:t>
      </w:r>
      <w:r w:rsidR="00FA1E1D" w:rsidRPr="00D5151B">
        <w:rPr>
          <w:rFonts w:asciiTheme="majorBidi" w:hAnsiTheme="majorBidi" w:cstheme="majorBidi"/>
        </w:rPr>
        <w:t xml:space="preserve">, </w:t>
      </w:r>
      <w:r w:rsidR="008F574A" w:rsidRPr="00D5151B">
        <w:rPr>
          <w:rFonts w:asciiTheme="majorBidi" w:hAnsiTheme="majorBidi" w:cstheme="majorBidi"/>
        </w:rPr>
        <w:t xml:space="preserve">it is shown </w:t>
      </w:r>
      <w:r w:rsidR="00C747DA" w:rsidRPr="00D5151B">
        <w:rPr>
          <w:rFonts w:asciiTheme="majorBidi" w:hAnsiTheme="majorBidi" w:cstheme="majorBidi"/>
        </w:rPr>
        <w:t xml:space="preserve">that </w:t>
      </w:r>
      <w:r w:rsidR="008F574A" w:rsidRPr="00D5151B">
        <w:rPr>
          <w:rFonts w:asciiTheme="majorBidi" w:hAnsiTheme="majorBidi" w:cstheme="majorBidi"/>
        </w:rPr>
        <w:t xml:space="preserve">the sensitivity of the stock market reaction to macro (not FED) news announcements (MNAs) is significantly </w:t>
      </w:r>
      <w:r w:rsidR="00283FDA" w:rsidRPr="00D5151B">
        <w:rPr>
          <w:rFonts w:asciiTheme="majorBidi" w:hAnsiTheme="majorBidi" w:cstheme="majorBidi"/>
        </w:rPr>
        <w:t>counter</w:t>
      </w:r>
      <w:r w:rsidR="008F574A" w:rsidRPr="00D5151B">
        <w:rPr>
          <w:rFonts w:asciiTheme="majorBidi" w:hAnsiTheme="majorBidi" w:cstheme="majorBidi"/>
        </w:rPr>
        <w:t xml:space="preserve">cyclical and depends on monetary policy. </w:t>
      </w:r>
      <w:r w:rsidR="003776E4" w:rsidRPr="00D5151B">
        <w:rPr>
          <w:rFonts w:asciiTheme="majorBidi" w:hAnsiTheme="majorBidi" w:cstheme="majorBidi"/>
        </w:rPr>
        <w:t>The evidence suggests that the sensitivity of stock returns to MNAs can increase by a factor greater than two coming out of recessions</w:t>
      </w:r>
      <w:r w:rsidR="00554603" w:rsidRPr="00D5151B">
        <w:rPr>
          <w:rFonts w:asciiTheme="majorBidi" w:hAnsiTheme="majorBidi" w:cstheme="majorBidi"/>
        </w:rPr>
        <w:t>,</w:t>
      </w:r>
      <w:r w:rsidR="003776E4" w:rsidRPr="00D5151B">
        <w:rPr>
          <w:rFonts w:asciiTheme="majorBidi" w:hAnsiTheme="majorBidi" w:cstheme="majorBidi"/>
        </w:rPr>
        <w:t xml:space="preserve"> and remains above average for about one to two years</w:t>
      </w:r>
      <w:r w:rsidR="00493070" w:rsidRPr="00D5151B">
        <w:rPr>
          <w:rFonts w:asciiTheme="majorBidi" w:hAnsiTheme="majorBidi" w:cstheme="majorBidi"/>
        </w:rPr>
        <w:t xml:space="preserve"> </w:t>
      </w:r>
      <w:r w:rsidR="00D56AF5" w:rsidRPr="00D5151B">
        <w:rPr>
          <w:rFonts w:asciiTheme="majorBidi" w:hAnsiTheme="majorBidi" w:cstheme="majorBidi"/>
        </w:rPr>
        <w:t>(</w:t>
      </w:r>
      <w:r w:rsidR="00493070" w:rsidRPr="00D5151B">
        <w:rPr>
          <w:rFonts w:asciiTheme="majorBidi" w:hAnsiTheme="majorBidi" w:cstheme="majorBidi"/>
        </w:rPr>
        <w:t xml:space="preserve">Figure </w:t>
      </w:r>
      <w:r w:rsidR="000262F9" w:rsidRPr="00D5151B">
        <w:rPr>
          <w:rFonts w:asciiTheme="majorBidi" w:hAnsiTheme="majorBidi" w:cstheme="majorBidi"/>
        </w:rPr>
        <w:t>5</w:t>
      </w:r>
      <w:r w:rsidR="00D56AF5" w:rsidRPr="00D5151B">
        <w:rPr>
          <w:rFonts w:asciiTheme="majorBidi" w:hAnsiTheme="majorBidi" w:cstheme="majorBidi"/>
        </w:rPr>
        <w:t>)</w:t>
      </w:r>
      <w:r w:rsidR="00493070" w:rsidRPr="00D5151B">
        <w:rPr>
          <w:rFonts w:asciiTheme="majorBidi" w:hAnsiTheme="majorBidi" w:cstheme="majorBidi"/>
        </w:rPr>
        <w:t xml:space="preserve">. </w:t>
      </w:r>
      <w:r w:rsidR="00802B71" w:rsidRPr="00D5151B">
        <w:rPr>
          <w:rFonts w:asciiTheme="majorBidi" w:hAnsiTheme="majorBidi" w:cstheme="majorBidi"/>
        </w:rPr>
        <w:t>T</w:t>
      </w:r>
      <w:r w:rsidR="003776E4" w:rsidRPr="00D5151B">
        <w:rPr>
          <w:rFonts w:asciiTheme="majorBidi" w:hAnsiTheme="majorBidi" w:cstheme="majorBidi"/>
        </w:rPr>
        <w:t xml:space="preserve">he peak </w:t>
      </w:r>
      <w:r w:rsidR="00565D05" w:rsidRPr="00D5151B">
        <w:rPr>
          <w:rFonts w:asciiTheme="majorBidi" w:hAnsiTheme="majorBidi" w:cstheme="majorBidi"/>
        </w:rPr>
        <w:t xml:space="preserve">sensitivity </w:t>
      </w:r>
      <w:r w:rsidR="003776E4" w:rsidRPr="00D5151B">
        <w:rPr>
          <w:rFonts w:asciiTheme="majorBidi" w:hAnsiTheme="majorBidi" w:cstheme="majorBidi"/>
        </w:rPr>
        <w:t xml:space="preserve">is obtained </w:t>
      </w:r>
      <w:r w:rsidR="006F0A21" w:rsidRPr="00D5151B">
        <w:rPr>
          <w:rFonts w:asciiTheme="majorBidi" w:hAnsiTheme="majorBidi" w:cstheme="majorBidi"/>
        </w:rPr>
        <w:t>when the economy is furthest below trend at the very</w:t>
      </w:r>
      <w:r w:rsidR="00384654" w:rsidRPr="00D5151B">
        <w:rPr>
          <w:rFonts w:asciiTheme="majorBidi" w:hAnsiTheme="majorBidi" w:cstheme="majorBidi"/>
        </w:rPr>
        <w:t xml:space="preserve"> end of a recession and the</w:t>
      </w:r>
      <w:r w:rsidR="006F0A21" w:rsidRPr="00D5151B">
        <w:rPr>
          <w:rFonts w:asciiTheme="majorBidi" w:hAnsiTheme="majorBidi" w:cstheme="majorBidi"/>
        </w:rPr>
        <w:t xml:space="preserve"> beginning of an expansion. </w:t>
      </w:r>
      <w:r w:rsidR="003776E4" w:rsidRPr="00D5151B">
        <w:rPr>
          <w:rFonts w:asciiTheme="majorBidi" w:hAnsiTheme="majorBidi" w:cstheme="majorBidi"/>
        </w:rPr>
        <w:t>The reaction of stock returns gradually attenuates as the economy expands</w:t>
      </w:r>
      <w:r w:rsidR="001C5E88" w:rsidRPr="00D5151B">
        <w:rPr>
          <w:rFonts w:asciiTheme="majorBidi" w:hAnsiTheme="majorBidi" w:cstheme="majorBidi"/>
        </w:rPr>
        <w:t xml:space="preserve">, with stock prices reacting </w:t>
      </w:r>
      <w:r w:rsidR="006F286E" w:rsidRPr="00D5151B">
        <w:rPr>
          <w:rFonts w:asciiTheme="majorBidi" w:hAnsiTheme="majorBidi" w:cstheme="majorBidi"/>
        </w:rPr>
        <w:t xml:space="preserve">insignificantly </w:t>
      </w:r>
      <w:r w:rsidR="001C5E88" w:rsidRPr="00D5151B">
        <w:rPr>
          <w:rFonts w:asciiTheme="majorBidi" w:hAnsiTheme="majorBidi" w:cstheme="majorBidi"/>
        </w:rPr>
        <w:t xml:space="preserve">to MNA surprises </w:t>
      </w:r>
      <w:r w:rsidR="006F286E" w:rsidRPr="00D5151B">
        <w:rPr>
          <w:rFonts w:asciiTheme="majorBidi" w:hAnsiTheme="majorBidi" w:cstheme="majorBidi"/>
        </w:rPr>
        <w:t xml:space="preserve">when the economy is above trend. </w:t>
      </w:r>
    </w:p>
    <w:p w:rsidR="006F286E" w:rsidRPr="00D5151B" w:rsidRDefault="006F286E" w:rsidP="006F286E">
      <w:pPr>
        <w:widowControl w:val="0"/>
        <w:tabs>
          <w:tab w:val="left" w:pos="220"/>
          <w:tab w:val="left" w:pos="720"/>
        </w:tabs>
        <w:autoSpaceDE w:val="0"/>
        <w:autoSpaceDN w:val="0"/>
        <w:adjustRightInd w:val="0"/>
        <w:spacing w:after="266" w:line="360" w:lineRule="auto"/>
        <w:jc w:val="both"/>
        <w:rPr>
          <w:rFonts w:asciiTheme="majorBidi" w:hAnsiTheme="majorBidi" w:cstheme="majorBidi"/>
          <w:rtl/>
          <w:lang w:bidi="he-IL"/>
        </w:rPr>
      </w:pPr>
    </w:p>
    <w:p w:rsidR="00B73ACC" w:rsidRPr="00D5151B" w:rsidRDefault="00DA00D4" w:rsidP="00D365A7">
      <w:pPr>
        <w:widowControl w:val="0"/>
        <w:tabs>
          <w:tab w:val="left" w:pos="4140"/>
        </w:tabs>
        <w:autoSpaceDE w:val="0"/>
        <w:autoSpaceDN w:val="0"/>
        <w:adjustRightInd w:val="0"/>
        <w:spacing w:after="240" w:line="360" w:lineRule="auto"/>
        <w:jc w:val="both"/>
        <w:rPr>
          <w:rFonts w:asciiTheme="majorBidi" w:hAnsiTheme="majorBidi" w:cstheme="majorBidi"/>
          <w:i/>
          <w:iCs/>
          <w:spacing w:val="-6"/>
          <w:lang w:bidi="he-IL"/>
        </w:rPr>
      </w:pPr>
      <w:r w:rsidRPr="00D5151B">
        <w:rPr>
          <w:rFonts w:asciiTheme="majorBidi" w:hAnsiTheme="majorBidi" w:cstheme="majorBidi"/>
        </w:rPr>
        <w:t>Although we specifically examine</w:t>
      </w:r>
      <w:r w:rsidR="001761D8" w:rsidRPr="00D5151B">
        <w:rPr>
          <w:rFonts w:asciiTheme="majorBidi" w:hAnsiTheme="majorBidi" w:cstheme="majorBidi"/>
        </w:rPr>
        <w:t>d</w:t>
      </w:r>
      <w:r w:rsidRPr="00D5151B">
        <w:rPr>
          <w:rFonts w:asciiTheme="majorBidi" w:hAnsiTheme="majorBidi" w:cstheme="majorBidi"/>
        </w:rPr>
        <w:t xml:space="preserve"> MNAs that are not by the FED, w</w:t>
      </w:r>
      <w:r w:rsidR="00472632" w:rsidRPr="00D5151B">
        <w:rPr>
          <w:rFonts w:asciiTheme="majorBidi" w:hAnsiTheme="majorBidi" w:cstheme="majorBidi"/>
        </w:rPr>
        <w:t xml:space="preserve">e </w:t>
      </w:r>
      <w:r w:rsidR="00990D10" w:rsidRPr="00D5151B">
        <w:rPr>
          <w:rFonts w:asciiTheme="majorBidi" w:hAnsiTheme="majorBidi" w:cstheme="majorBidi"/>
        </w:rPr>
        <w:t xml:space="preserve">argue that expectations </w:t>
      </w:r>
      <w:r w:rsidR="00990D10" w:rsidRPr="00D5151B">
        <w:rPr>
          <w:rFonts w:asciiTheme="majorBidi" w:hAnsiTheme="majorBidi" w:cstheme="majorBidi"/>
        </w:rPr>
        <w:lastRenderedPageBreak/>
        <w:t xml:space="preserve">about monetary policy stabilization </w:t>
      </w:r>
      <w:r w:rsidR="00554603" w:rsidRPr="00D5151B">
        <w:rPr>
          <w:rFonts w:asciiTheme="majorBidi" w:hAnsiTheme="majorBidi" w:cstheme="majorBidi"/>
        </w:rPr>
        <w:t>are</w:t>
      </w:r>
      <w:r w:rsidR="00990D10" w:rsidRPr="00D5151B">
        <w:rPr>
          <w:rFonts w:asciiTheme="majorBidi" w:hAnsiTheme="majorBidi" w:cstheme="majorBidi"/>
        </w:rPr>
        <w:t xml:space="preserve"> </w:t>
      </w:r>
      <w:r w:rsidR="006D590D" w:rsidRPr="00D5151B">
        <w:rPr>
          <w:rFonts w:asciiTheme="majorBidi" w:hAnsiTheme="majorBidi" w:cstheme="majorBidi"/>
        </w:rPr>
        <w:t>at the heart of th</w:t>
      </w:r>
      <w:r w:rsidR="00472632" w:rsidRPr="00D5151B">
        <w:rPr>
          <w:rFonts w:asciiTheme="majorBidi" w:hAnsiTheme="majorBidi" w:cstheme="majorBidi"/>
        </w:rPr>
        <w:t>is</w:t>
      </w:r>
      <w:r w:rsidR="006D590D" w:rsidRPr="00D5151B">
        <w:rPr>
          <w:rFonts w:asciiTheme="majorBidi" w:hAnsiTheme="majorBidi" w:cstheme="majorBidi"/>
        </w:rPr>
        <w:t xml:space="preserve"> phenomenon. </w:t>
      </w:r>
      <w:r w:rsidR="006D36C0" w:rsidRPr="00D5151B">
        <w:rPr>
          <w:rFonts w:asciiTheme="majorBidi" w:hAnsiTheme="majorBidi" w:cstheme="majorBidi"/>
        </w:rPr>
        <w:t xml:space="preserve"> </w:t>
      </w:r>
      <w:r w:rsidR="0009245D" w:rsidRPr="00D5151B">
        <w:rPr>
          <w:rFonts w:asciiTheme="majorBidi" w:hAnsiTheme="majorBidi" w:cstheme="majorBidi"/>
        </w:rPr>
        <w:t>T</w:t>
      </w:r>
      <w:r w:rsidR="00A7172B" w:rsidRPr="00D5151B">
        <w:rPr>
          <w:rFonts w:asciiTheme="majorBidi" w:hAnsiTheme="majorBidi" w:cstheme="majorBidi"/>
        </w:rPr>
        <w:t>he paper provides empirical evidence supporting this by connecting the cyclical</w:t>
      </w:r>
      <w:r w:rsidR="00A03374" w:rsidRPr="00D5151B">
        <w:rPr>
          <w:rFonts w:asciiTheme="majorBidi" w:hAnsiTheme="majorBidi" w:cstheme="majorBidi"/>
        </w:rPr>
        <w:t xml:space="preserve"> stock response </w:t>
      </w:r>
      <w:r w:rsidR="00A7172B" w:rsidRPr="00D5151B">
        <w:rPr>
          <w:rFonts w:asciiTheme="majorBidi" w:hAnsiTheme="majorBidi" w:cstheme="majorBidi"/>
        </w:rPr>
        <w:t xml:space="preserve">coefficients to business cycle and monetary policy. </w:t>
      </w:r>
      <w:r w:rsidR="00EE17E0" w:rsidRPr="00D5151B">
        <w:rPr>
          <w:rFonts w:asciiTheme="majorBidi" w:hAnsiTheme="majorBidi" w:cstheme="majorBidi"/>
        </w:rPr>
        <w:t xml:space="preserve">Using survey measures relative to their current values to determine </w:t>
      </w:r>
      <w:r w:rsidR="001B6C9E" w:rsidRPr="00D5151B">
        <w:rPr>
          <w:rFonts w:asciiTheme="majorBidi" w:hAnsiTheme="majorBidi" w:cstheme="majorBidi"/>
        </w:rPr>
        <w:t xml:space="preserve">the </w:t>
      </w:r>
      <w:r w:rsidR="00EE17E0" w:rsidRPr="00D5151B">
        <w:rPr>
          <w:rFonts w:asciiTheme="majorBidi" w:hAnsiTheme="majorBidi" w:cstheme="majorBidi"/>
        </w:rPr>
        <w:t>expected direction of the next quarter</w:t>
      </w:r>
      <w:r w:rsidR="00554603" w:rsidRPr="00D5151B">
        <w:rPr>
          <w:rFonts w:asciiTheme="majorBidi" w:hAnsiTheme="majorBidi" w:cstheme="majorBidi"/>
        </w:rPr>
        <w:t>'s</w:t>
      </w:r>
      <w:r w:rsidR="00EE17E0" w:rsidRPr="00D5151B">
        <w:rPr>
          <w:rFonts w:asciiTheme="majorBidi" w:hAnsiTheme="majorBidi" w:cstheme="majorBidi"/>
        </w:rPr>
        <w:t xml:space="preserve"> interest rate and unemployment, w</w:t>
      </w:r>
      <w:r w:rsidR="006D36C0" w:rsidRPr="00D5151B">
        <w:rPr>
          <w:rFonts w:asciiTheme="majorBidi" w:hAnsiTheme="majorBidi" w:cstheme="majorBidi"/>
        </w:rPr>
        <w:t xml:space="preserve">e find </w:t>
      </w:r>
      <w:r w:rsidR="00554603" w:rsidRPr="00D5151B">
        <w:rPr>
          <w:rFonts w:asciiTheme="majorBidi" w:hAnsiTheme="majorBidi" w:cstheme="majorBidi"/>
        </w:rPr>
        <w:t xml:space="preserve">a </w:t>
      </w:r>
      <w:r w:rsidR="006D36C0" w:rsidRPr="00D5151B">
        <w:rPr>
          <w:rFonts w:asciiTheme="majorBidi" w:hAnsiTheme="majorBidi" w:cstheme="majorBidi"/>
        </w:rPr>
        <w:t xml:space="preserve">relatively small response </w:t>
      </w:r>
      <w:r w:rsidR="00780F8B" w:rsidRPr="00D5151B">
        <w:rPr>
          <w:rFonts w:asciiTheme="majorBidi" w:hAnsiTheme="majorBidi" w:cstheme="majorBidi"/>
        </w:rPr>
        <w:t>during</w:t>
      </w:r>
      <w:r w:rsidR="006D36C0" w:rsidRPr="00D5151B">
        <w:rPr>
          <w:rFonts w:asciiTheme="majorBidi" w:hAnsiTheme="majorBidi" w:cstheme="majorBidi"/>
        </w:rPr>
        <w:t xml:space="preserve"> periods in which th</w:t>
      </w:r>
      <w:r w:rsidR="00AF21A0" w:rsidRPr="00D5151B">
        <w:rPr>
          <w:rFonts w:asciiTheme="majorBidi" w:hAnsiTheme="majorBidi" w:cstheme="majorBidi"/>
        </w:rPr>
        <w:t>e</w:t>
      </w:r>
      <w:r w:rsidR="006D36C0" w:rsidRPr="00D5151B">
        <w:rPr>
          <w:rFonts w:asciiTheme="majorBidi" w:hAnsiTheme="majorBidi" w:cstheme="majorBidi"/>
        </w:rPr>
        <w:t xml:space="preserve"> economy is above its potential trend</w:t>
      </w:r>
      <w:r w:rsidR="00A7172B" w:rsidRPr="00D5151B">
        <w:rPr>
          <w:rFonts w:asciiTheme="majorBidi" w:hAnsiTheme="majorBidi" w:cstheme="majorBidi"/>
        </w:rPr>
        <w:t xml:space="preserve"> with tightening expectations</w:t>
      </w:r>
      <w:r w:rsidR="001761D8" w:rsidRPr="00D5151B">
        <w:rPr>
          <w:rFonts w:asciiTheme="majorBidi" w:hAnsiTheme="majorBidi" w:cstheme="majorBidi"/>
        </w:rPr>
        <w:t>.</w:t>
      </w:r>
      <w:r w:rsidR="006D36C0" w:rsidRPr="00D5151B">
        <w:rPr>
          <w:rFonts w:asciiTheme="majorBidi" w:hAnsiTheme="majorBidi" w:cstheme="majorBidi"/>
        </w:rPr>
        <w:t xml:space="preserve"> </w:t>
      </w:r>
      <w:r w:rsidR="006D590D" w:rsidRPr="00D5151B">
        <w:rPr>
          <w:rFonts w:asciiTheme="majorBidi" w:hAnsiTheme="majorBidi" w:cstheme="majorBidi"/>
        </w:rPr>
        <w:t xml:space="preserve">On the other end of </w:t>
      </w:r>
      <w:r w:rsidR="0050438E" w:rsidRPr="00D5151B">
        <w:rPr>
          <w:rFonts w:asciiTheme="majorBidi" w:hAnsiTheme="majorBidi" w:cstheme="majorBidi"/>
        </w:rPr>
        <w:t xml:space="preserve">the </w:t>
      </w:r>
      <w:r w:rsidR="006D590D" w:rsidRPr="00D5151B">
        <w:rPr>
          <w:rFonts w:asciiTheme="majorBidi" w:hAnsiTheme="majorBidi" w:cstheme="majorBidi"/>
        </w:rPr>
        <w:t>spectrum,</w:t>
      </w:r>
      <w:r w:rsidR="00472632" w:rsidRPr="00D5151B">
        <w:rPr>
          <w:rFonts w:asciiTheme="majorBidi" w:hAnsiTheme="majorBidi" w:cstheme="majorBidi"/>
        </w:rPr>
        <w:t xml:space="preserve"> we</w:t>
      </w:r>
      <w:r w:rsidR="006D590D" w:rsidRPr="00D5151B">
        <w:rPr>
          <w:rFonts w:asciiTheme="majorBidi" w:hAnsiTheme="majorBidi" w:cstheme="majorBidi"/>
        </w:rPr>
        <w:t xml:space="preserve"> find a much greater response of the stock market to news </w:t>
      </w:r>
      <w:r w:rsidR="007A37DA" w:rsidRPr="00D5151B">
        <w:rPr>
          <w:rFonts w:asciiTheme="majorBidi" w:hAnsiTheme="majorBidi" w:cstheme="majorBidi"/>
        </w:rPr>
        <w:t>when the economy is significantly below its potential trend</w:t>
      </w:r>
      <w:r w:rsidR="001101D5" w:rsidRPr="00D5151B">
        <w:rPr>
          <w:rFonts w:asciiTheme="majorBidi" w:hAnsiTheme="majorBidi" w:cstheme="majorBidi"/>
          <w:lang w:bidi="he-IL"/>
        </w:rPr>
        <w:t>,</w:t>
      </w:r>
      <w:r w:rsidR="002C2CF4" w:rsidRPr="00D5151B">
        <w:rPr>
          <w:rFonts w:asciiTheme="majorBidi" w:hAnsiTheme="majorBidi" w:cstheme="majorBidi"/>
          <w:lang w:bidi="he-IL"/>
        </w:rPr>
        <w:t xml:space="preserve"> and there is an expectation</w:t>
      </w:r>
      <w:r w:rsidR="00BB741A" w:rsidRPr="00D5151B">
        <w:rPr>
          <w:rFonts w:asciiTheme="majorBidi" w:hAnsiTheme="majorBidi" w:cstheme="majorBidi"/>
        </w:rPr>
        <w:t xml:space="preserve"> for an easing monetary policy</w:t>
      </w:r>
      <w:r w:rsidR="006D590D" w:rsidRPr="00D5151B">
        <w:rPr>
          <w:rFonts w:asciiTheme="majorBidi" w:hAnsiTheme="majorBidi" w:cstheme="majorBidi"/>
        </w:rPr>
        <w:t>.</w:t>
      </w:r>
      <w:bookmarkStart w:id="2" w:name="Assessing_the_Informational_Content_of_N"/>
      <w:bookmarkStart w:id="3" w:name="bookmark0"/>
      <w:bookmarkEnd w:id="2"/>
      <w:bookmarkEnd w:id="3"/>
      <w:r w:rsidR="002C2CF4" w:rsidRPr="00D5151B">
        <w:rPr>
          <w:rFonts w:asciiTheme="majorBidi" w:hAnsiTheme="majorBidi" w:cstheme="majorBidi"/>
          <w:spacing w:val="-6"/>
          <w:lang w:bidi="he-IL"/>
        </w:rPr>
        <w:t xml:space="preserve"> </w:t>
      </w:r>
      <w:r w:rsidR="00B5049C" w:rsidRPr="00D5151B">
        <w:rPr>
          <w:rFonts w:asciiTheme="majorBidi" w:hAnsiTheme="majorBidi" w:cstheme="majorBidi"/>
          <w:spacing w:val="-6"/>
          <w:lang w:bidi="he-IL"/>
        </w:rPr>
        <w:t xml:space="preserve">More specifically, in periods above trend, risk premia is </w:t>
      </w:r>
      <w:r w:rsidR="00E67917" w:rsidRPr="00D5151B">
        <w:rPr>
          <w:rFonts w:asciiTheme="majorBidi" w:hAnsiTheme="majorBidi" w:cstheme="majorBidi"/>
          <w:spacing w:val="-6"/>
          <w:lang w:bidi="he-IL"/>
        </w:rPr>
        <w:t xml:space="preserve">relatively </w:t>
      </w:r>
      <w:r w:rsidR="00B5049C" w:rsidRPr="00D5151B">
        <w:rPr>
          <w:rFonts w:asciiTheme="majorBidi" w:hAnsiTheme="majorBidi" w:cstheme="majorBidi"/>
          <w:spacing w:val="-6"/>
          <w:lang w:bidi="he-IL"/>
        </w:rPr>
        <w:t>low, cash</w:t>
      </w:r>
      <w:r w:rsidR="00780F8B" w:rsidRPr="00D5151B">
        <w:rPr>
          <w:rFonts w:asciiTheme="majorBidi" w:hAnsiTheme="majorBidi" w:cstheme="majorBidi"/>
          <w:spacing w:val="-6"/>
          <w:lang w:bidi="he-IL"/>
        </w:rPr>
        <w:t xml:space="preserve"> </w:t>
      </w:r>
      <w:r w:rsidR="00B5049C" w:rsidRPr="00D5151B">
        <w:rPr>
          <w:rFonts w:asciiTheme="majorBidi" w:hAnsiTheme="majorBidi" w:cstheme="majorBidi"/>
          <w:spacing w:val="-6"/>
          <w:lang w:bidi="he-IL"/>
        </w:rPr>
        <w:t xml:space="preserve">flows </w:t>
      </w:r>
      <w:r w:rsidR="00DF7F94" w:rsidRPr="00D5151B">
        <w:rPr>
          <w:rFonts w:asciiTheme="majorBidi" w:hAnsiTheme="majorBidi" w:cstheme="majorBidi"/>
          <w:spacing w:val="-6"/>
          <w:lang w:bidi="he-IL"/>
        </w:rPr>
        <w:t xml:space="preserve">news </w:t>
      </w:r>
      <w:r w:rsidR="00B5049C" w:rsidRPr="00D5151B">
        <w:rPr>
          <w:rFonts w:asciiTheme="majorBidi" w:hAnsiTheme="majorBidi" w:cstheme="majorBidi"/>
          <w:spacing w:val="-6"/>
          <w:lang w:bidi="he-IL"/>
        </w:rPr>
        <w:t xml:space="preserve">(embedded in the announcements) are broadly offset by stabilization </w:t>
      </w:r>
      <w:r w:rsidR="00780F8B" w:rsidRPr="00D5151B">
        <w:rPr>
          <w:rFonts w:asciiTheme="majorBidi" w:hAnsiTheme="majorBidi" w:cstheme="majorBidi"/>
          <w:spacing w:val="-6"/>
          <w:lang w:bidi="he-IL"/>
        </w:rPr>
        <w:t xml:space="preserve">expectations, </w:t>
      </w:r>
      <w:r w:rsidR="00B5049C" w:rsidRPr="00D5151B">
        <w:rPr>
          <w:rFonts w:asciiTheme="majorBidi" w:hAnsiTheme="majorBidi" w:cstheme="majorBidi"/>
          <w:spacing w:val="-6"/>
          <w:lang w:bidi="he-IL"/>
        </w:rPr>
        <w:t xml:space="preserve">and </w:t>
      </w:r>
      <w:r w:rsidR="00DF7F94" w:rsidRPr="00D5151B">
        <w:rPr>
          <w:rFonts w:asciiTheme="majorBidi" w:hAnsiTheme="majorBidi" w:cstheme="majorBidi"/>
          <w:spacing w:val="-6"/>
          <w:lang w:bidi="he-IL"/>
        </w:rPr>
        <w:t>consequently</w:t>
      </w:r>
      <w:r w:rsidR="00780F8B" w:rsidRPr="00D5151B">
        <w:rPr>
          <w:rFonts w:asciiTheme="majorBidi" w:hAnsiTheme="majorBidi" w:cstheme="majorBidi"/>
          <w:spacing w:val="-6"/>
          <w:lang w:bidi="he-IL"/>
        </w:rPr>
        <w:t>,</w:t>
      </w:r>
      <w:r w:rsidR="00DF7F94" w:rsidRPr="00D5151B">
        <w:rPr>
          <w:rFonts w:asciiTheme="majorBidi" w:hAnsiTheme="majorBidi" w:cstheme="majorBidi"/>
          <w:spacing w:val="-6"/>
          <w:lang w:bidi="he-IL"/>
        </w:rPr>
        <w:t xml:space="preserve"> </w:t>
      </w:r>
      <w:r w:rsidR="00B5049C" w:rsidRPr="00D5151B">
        <w:rPr>
          <w:rFonts w:asciiTheme="majorBidi" w:hAnsiTheme="majorBidi" w:cstheme="majorBidi"/>
          <w:spacing w:val="-6"/>
          <w:lang w:bidi="he-IL"/>
        </w:rPr>
        <w:t xml:space="preserve">the </w:t>
      </w:r>
      <w:r w:rsidR="00780F8B" w:rsidRPr="00D5151B">
        <w:rPr>
          <w:rFonts w:asciiTheme="majorBidi" w:hAnsiTheme="majorBidi" w:cstheme="majorBidi"/>
          <w:spacing w:val="-6"/>
          <w:lang w:bidi="he-IL"/>
        </w:rPr>
        <w:t xml:space="preserve">reaction of the </w:t>
      </w:r>
      <w:r w:rsidR="00B5049C" w:rsidRPr="00D5151B">
        <w:rPr>
          <w:rFonts w:asciiTheme="majorBidi" w:hAnsiTheme="majorBidi" w:cstheme="majorBidi"/>
          <w:spacing w:val="-6"/>
          <w:lang w:bidi="he-IL"/>
        </w:rPr>
        <w:t>stock returns</w:t>
      </w:r>
      <w:r w:rsidR="00DF7F94" w:rsidRPr="00D5151B">
        <w:rPr>
          <w:rFonts w:asciiTheme="majorBidi" w:hAnsiTheme="majorBidi" w:cstheme="majorBidi"/>
          <w:spacing w:val="-6"/>
          <w:lang w:bidi="he-IL"/>
        </w:rPr>
        <w:t xml:space="preserve"> </w:t>
      </w:r>
      <w:r w:rsidR="00B5049C" w:rsidRPr="00D5151B">
        <w:rPr>
          <w:rFonts w:asciiTheme="majorBidi" w:hAnsiTheme="majorBidi" w:cstheme="majorBidi"/>
          <w:spacing w:val="-6"/>
          <w:lang w:bidi="he-IL"/>
        </w:rPr>
        <w:t>is relatively muted</w:t>
      </w:r>
      <w:r w:rsidR="00780F8B" w:rsidRPr="00D5151B">
        <w:rPr>
          <w:rFonts w:asciiTheme="majorBidi" w:hAnsiTheme="majorBidi" w:cstheme="majorBidi"/>
          <w:spacing w:val="-6"/>
          <w:lang w:bidi="he-IL"/>
        </w:rPr>
        <w:t>.</w:t>
      </w:r>
      <w:r w:rsidR="00B5049C" w:rsidRPr="00D5151B">
        <w:rPr>
          <w:rFonts w:asciiTheme="majorBidi" w:hAnsiTheme="majorBidi" w:cstheme="majorBidi"/>
          <w:spacing w:val="-6"/>
          <w:lang w:bidi="he-IL"/>
        </w:rPr>
        <w:t xml:space="preserve"> </w:t>
      </w:r>
      <w:r w:rsidR="00780F8B" w:rsidRPr="00D5151B">
        <w:rPr>
          <w:rFonts w:asciiTheme="majorBidi" w:hAnsiTheme="majorBidi" w:cstheme="majorBidi"/>
          <w:spacing w:val="-6"/>
          <w:lang w:bidi="he-IL"/>
        </w:rPr>
        <w:t>In contrast,</w:t>
      </w:r>
      <w:r w:rsidR="00B5049C" w:rsidRPr="00D5151B">
        <w:rPr>
          <w:rFonts w:asciiTheme="majorBidi" w:hAnsiTheme="majorBidi" w:cstheme="majorBidi"/>
          <w:spacing w:val="-6"/>
          <w:lang w:bidi="he-IL"/>
        </w:rPr>
        <w:t xml:space="preserve"> during periods far below potential</w:t>
      </w:r>
      <w:r w:rsidR="00DF7F94" w:rsidRPr="00D5151B">
        <w:rPr>
          <w:rFonts w:asciiTheme="majorBidi" w:hAnsiTheme="majorBidi" w:cstheme="majorBidi"/>
          <w:spacing w:val="-6"/>
          <w:lang w:bidi="he-IL"/>
        </w:rPr>
        <w:t xml:space="preserve">, </w:t>
      </w:r>
      <w:r w:rsidR="00B5049C" w:rsidRPr="00D5151B">
        <w:rPr>
          <w:rFonts w:asciiTheme="majorBidi" w:hAnsiTheme="majorBidi" w:cstheme="majorBidi"/>
          <w:spacing w:val="-6"/>
          <w:lang w:bidi="he-IL"/>
        </w:rPr>
        <w:t xml:space="preserve">risk premia </w:t>
      </w:r>
      <w:r w:rsidR="00E67917" w:rsidRPr="00D5151B">
        <w:rPr>
          <w:rFonts w:asciiTheme="majorBidi" w:hAnsiTheme="majorBidi" w:cstheme="majorBidi"/>
          <w:spacing w:val="-6"/>
          <w:lang w:bidi="he-IL"/>
        </w:rPr>
        <w:t>are</w:t>
      </w:r>
      <w:r w:rsidR="00B5049C" w:rsidRPr="00D5151B">
        <w:rPr>
          <w:rFonts w:asciiTheme="majorBidi" w:hAnsiTheme="majorBidi" w:cstheme="majorBidi"/>
          <w:spacing w:val="-6"/>
          <w:lang w:bidi="he-IL"/>
        </w:rPr>
        <w:t xml:space="preserve"> heightened creating a wedge between </w:t>
      </w:r>
      <w:r w:rsidR="00DF7F94" w:rsidRPr="00D5151B">
        <w:rPr>
          <w:rFonts w:asciiTheme="majorBidi" w:hAnsiTheme="majorBidi" w:cstheme="majorBidi"/>
          <w:spacing w:val="-6"/>
          <w:lang w:bidi="he-IL"/>
        </w:rPr>
        <w:t xml:space="preserve">the </w:t>
      </w:r>
      <w:r w:rsidR="00B73ACC" w:rsidRPr="00D5151B">
        <w:rPr>
          <w:rFonts w:asciiTheme="majorBidi" w:hAnsiTheme="majorBidi" w:cstheme="majorBidi"/>
          <w:spacing w:val="-6"/>
          <w:lang w:bidi="he-IL"/>
        </w:rPr>
        <w:t xml:space="preserve">offsetting </w:t>
      </w:r>
      <w:r w:rsidR="00DF7F94" w:rsidRPr="00D5151B">
        <w:rPr>
          <w:rFonts w:asciiTheme="majorBidi" w:hAnsiTheme="majorBidi" w:cstheme="majorBidi"/>
          <w:spacing w:val="-6"/>
          <w:lang w:bidi="he-IL"/>
        </w:rPr>
        <w:t>cash</w:t>
      </w:r>
      <w:r w:rsidR="00780F8B" w:rsidRPr="00D5151B">
        <w:rPr>
          <w:rFonts w:asciiTheme="majorBidi" w:hAnsiTheme="majorBidi" w:cstheme="majorBidi"/>
          <w:spacing w:val="-6"/>
          <w:lang w:bidi="he-IL"/>
        </w:rPr>
        <w:t xml:space="preserve"> </w:t>
      </w:r>
      <w:r w:rsidR="00DF7F94" w:rsidRPr="00D5151B">
        <w:rPr>
          <w:rFonts w:asciiTheme="majorBidi" w:hAnsiTheme="majorBidi" w:cstheme="majorBidi"/>
          <w:spacing w:val="-6"/>
          <w:lang w:bidi="he-IL"/>
        </w:rPr>
        <w:t xml:space="preserve">flow and interest rates news leading to a significant reaction </w:t>
      </w:r>
      <w:r w:rsidR="000327BD" w:rsidRPr="00D5151B">
        <w:rPr>
          <w:rFonts w:asciiTheme="majorBidi" w:hAnsiTheme="majorBidi" w:cstheme="majorBidi"/>
          <w:spacing w:val="-6"/>
          <w:lang w:bidi="he-IL"/>
        </w:rPr>
        <w:t>by the stock market.</w:t>
      </w:r>
      <w:r w:rsidR="00E67917" w:rsidRPr="00D5151B">
        <w:rPr>
          <w:rFonts w:asciiTheme="majorBidi" w:hAnsiTheme="majorBidi" w:cstheme="majorBidi"/>
          <w:spacing w:val="-6"/>
          <w:lang w:bidi="he-IL"/>
        </w:rPr>
        <w:t xml:space="preserve"> </w:t>
      </w:r>
      <w:r w:rsidR="00CB354D" w:rsidRPr="00D5151B">
        <w:rPr>
          <w:rFonts w:asciiTheme="majorBidi" w:hAnsiTheme="majorBidi" w:cstheme="majorBidi"/>
          <w:spacing w:val="-6"/>
          <w:lang w:bidi="he-IL"/>
        </w:rPr>
        <w:t xml:space="preserve"> </w:t>
      </w:r>
      <w:r w:rsidR="00D365A7" w:rsidRPr="00D5151B">
        <w:rPr>
          <w:rFonts w:asciiTheme="majorBidi" w:hAnsiTheme="majorBidi" w:cstheme="majorBidi"/>
          <w:spacing w:val="-6"/>
          <w:lang w:bidi="he-IL"/>
        </w:rPr>
        <w:t>This reflects among others the fact that central banks and in particular the FED control not just the short rate but also influence risk premia.</w:t>
      </w:r>
      <w:r w:rsidR="00CB354D" w:rsidRPr="00D5151B">
        <w:rPr>
          <w:rFonts w:asciiTheme="majorBidi" w:hAnsiTheme="majorBidi" w:cstheme="majorBidi"/>
          <w:i/>
          <w:iCs/>
          <w:spacing w:val="-6"/>
          <w:lang w:bidi="he-IL"/>
        </w:rPr>
        <w:t xml:space="preserve"> </w:t>
      </w:r>
      <w:r w:rsidR="000327BD" w:rsidRPr="00D5151B">
        <w:rPr>
          <w:rFonts w:asciiTheme="majorBidi" w:hAnsiTheme="majorBidi" w:cstheme="majorBidi"/>
          <w:i/>
          <w:iCs/>
          <w:spacing w:val="-6"/>
          <w:lang w:bidi="he-IL"/>
        </w:rPr>
        <w:t xml:space="preserve"> </w:t>
      </w:r>
    </w:p>
    <w:p w:rsidR="00BA1192" w:rsidRPr="00D5151B" w:rsidRDefault="000327BD" w:rsidP="00762762">
      <w:pPr>
        <w:widowControl w:val="0"/>
        <w:autoSpaceDE w:val="0"/>
        <w:autoSpaceDN w:val="0"/>
        <w:adjustRightInd w:val="0"/>
        <w:spacing w:after="240" w:line="360" w:lineRule="auto"/>
        <w:jc w:val="both"/>
        <w:rPr>
          <w:rFonts w:asciiTheme="majorBidi" w:hAnsiTheme="majorBidi" w:cstheme="majorBidi"/>
          <w:lang w:bidi="he-IL"/>
        </w:rPr>
      </w:pPr>
      <w:r w:rsidRPr="00D5151B">
        <w:rPr>
          <w:rFonts w:asciiTheme="majorBidi" w:hAnsiTheme="majorBidi" w:cstheme="majorBidi"/>
          <w:spacing w:val="-6"/>
          <w:lang w:bidi="he-IL"/>
        </w:rPr>
        <w:t>T</w:t>
      </w:r>
      <w:r w:rsidR="00BA1192" w:rsidRPr="00D5151B">
        <w:rPr>
          <w:rFonts w:asciiTheme="majorBidi" w:hAnsiTheme="majorBidi" w:cstheme="majorBidi"/>
          <w:spacing w:val="-6"/>
          <w:lang w:bidi="he-IL"/>
        </w:rPr>
        <w:t xml:space="preserve">aken </w:t>
      </w:r>
      <w:r w:rsidR="00BA1192" w:rsidRPr="00D5151B">
        <w:rPr>
          <w:rFonts w:asciiTheme="majorBidi" w:hAnsiTheme="majorBidi" w:cstheme="majorBidi"/>
          <w:lang w:bidi="he-IL"/>
        </w:rPr>
        <w:t>together, this evidence strongly suggests that expectations about the phase of the business cycle and future interest rate</w:t>
      </w:r>
      <w:r w:rsidR="001101D5" w:rsidRPr="00D5151B">
        <w:rPr>
          <w:rFonts w:asciiTheme="majorBidi" w:hAnsiTheme="majorBidi" w:cstheme="majorBidi"/>
          <w:lang w:bidi="he-IL"/>
        </w:rPr>
        <w:t>s</w:t>
      </w:r>
      <w:r w:rsidR="00BA1192" w:rsidRPr="00D5151B">
        <w:rPr>
          <w:rFonts w:asciiTheme="majorBidi" w:hAnsiTheme="majorBidi" w:cstheme="majorBidi"/>
          <w:lang w:bidi="he-IL"/>
        </w:rPr>
        <w:t xml:space="preserve"> are </w:t>
      </w:r>
      <w:r w:rsidR="00BA1192" w:rsidRPr="00D5151B">
        <w:rPr>
          <w:rFonts w:asciiTheme="majorBidi" w:hAnsiTheme="majorBidi" w:cstheme="majorBidi"/>
          <w:spacing w:val="-3"/>
          <w:lang w:bidi="he-IL"/>
        </w:rPr>
        <w:t xml:space="preserve">key </w:t>
      </w:r>
      <w:r w:rsidR="00BA1192" w:rsidRPr="00D5151B">
        <w:rPr>
          <w:rFonts w:asciiTheme="majorBidi" w:hAnsiTheme="majorBidi" w:cstheme="majorBidi"/>
          <w:lang w:bidi="he-IL"/>
        </w:rPr>
        <w:t xml:space="preserve">determinants of the cyclicality of the </w:t>
      </w:r>
      <w:r w:rsidR="00C747DA" w:rsidRPr="00D5151B">
        <w:rPr>
          <w:rFonts w:asciiTheme="majorBidi" w:hAnsiTheme="majorBidi" w:cstheme="majorBidi"/>
          <w:lang w:bidi="he-IL"/>
        </w:rPr>
        <w:t xml:space="preserve">sensitivity of the </w:t>
      </w:r>
      <w:r w:rsidR="00BA1192" w:rsidRPr="00D5151B">
        <w:rPr>
          <w:rFonts w:asciiTheme="majorBidi" w:hAnsiTheme="majorBidi" w:cstheme="majorBidi"/>
          <w:lang w:bidi="he-IL"/>
        </w:rPr>
        <w:t>stock market</w:t>
      </w:r>
      <w:r w:rsidR="001101D5" w:rsidRPr="00D5151B">
        <w:rPr>
          <w:rFonts w:asciiTheme="majorBidi" w:hAnsiTheme="majorBidi" w:cstheme="majorBidi"/>
          <w:lang w:bidi="he-IL"/>
        </w:rPr>
        <w:t>'s response</w:t>
      </w:r>
      <w:r w:rsidR="00BA1192" w:rsidRPr="00D5151B">
        <w:rPr>
          <w:rFonts w:asciiTheme="majorBidi" w:hAnsiTheme="majorBidi" w:cstheme="majorBidi"/>
          <w:lang w:bidi="he-IL"/>
        </w:rPr>
        <w:t>.</w:t>
      </w:r>
      <w:r w:rsidR="00FA013E" w:rsidRPr="00D5151B">
        <w:rPr>
          <w:rFonts w:asciiTheme="majorBidi" w:hAnsiTheme="majorBidi" w:cstheme="majorBidi"/>
          <w:lang w:bidi="he-IL"/>
        </w:rPr>
        <w:t xml:space="preserve"> </w:t>
      </w:r>
      <w:r w:rsidR="00762762" w:rsidRPr="00D5151B">
        <w:rPr>
          <w:rFonts w:asciiTheme="majorBidi" w:hAnsiTheme="majorBidi" w:cstheme="majorBidi"/>
          <w:lang w:bidi="he-IL"/>
        </w:rPr>
        <w:t xml:space="preserve">Accordingly, </w:t>
      </w:r>
      <w:r w:rsidR="00980D85" w:rsidRPr="00D5151B">
        <w:rPr>
          <w:rFonts w:asciiTheme="majorBidi" w:hAnsiTheme="majorBidi" w:cstheme="majorBidi"/>
          <w:lang w:bidi="he-IL"/>
        </w:rPr>
        <w:t xml:space="preserve">an important lesson is that </w:t>
      </w:r>
      <w:r w:rsidR="00762762" w:rsidRPr="00D5151B">
        <w:rPr>
          <w:rFonts w:asciiTheme="majorBidi" w:hAnsiTheme="majorBidi" w:cstheme="majorBidi"/>
          <w:lang w:bidi="he-IL"/>
        </w:rPr>
        <w:t xml:space="preserve">interpreting market data as an input for monetary policy should account for the cyclical position of the economy, and attempt to disentangle the feedback between economic expectations and market projections about the </w:t>
      </w:r>
      <w:r w:rsidR="00B73ACC" w:rsidRPr="00D5151B">
        <w:rPr>
          <w:rFonts w:asciiTheme="majorBidi" w:hAnsiTheme="majorBidi" w:cstheme="majorBidi"/>
          <w:lang w:bidi="he-IL"/>
        </w:rPr>
        <w:t>c</w:t>
      </w:r>
      <w:r w:rsidR="00C964CC" w:rsidRPr="00D5151B">
        <w:rPr>
          <w:rFonts w:asciiTheme="majorBidi" w:hAnsiTheme="majorBidi" w:cstheme="majorBidi"/>
          <w:lang w:bidi="he-IL"/>
        </w:rPr>
        <w:t xml:space="preserve">entral </w:t>
      </w:r>
      <w:r w:rsidR="00B73ACC" w:rsidRPr="00D5151B">
        <w:rPr>
          <w:rFonts w:asciiTheme="majorBidi" w:hAnsiTheme="majorBidi" w:cstheme="majorBidi"/>
          <w:lang w:bidi="he-IL"/>
        </w:rPr>
        <w:t>b</w:t>
      </w:r>
      <w:r w:rsidR="00C964CC" w:rsidRPr="00D5151B">
        <w:rPr>
          <w:rFonts w:asciiTheme="majorBidi" w:hAnsiTheme="majorBidi" w:cstheme="majorBidi"/>
          <w:lang w:bidi="he-IL"/>
        </w:rPr>
        <w:t>ank’s</w:t>
      </w:r>
      <w:r w:rsidR="00762762" w:rsidRPr="00D5151B">
        <w:rPr>
          <w:rFonts w:asciiTheme="majorBidi" w:hAnsiTheme="majorBidi" w:cstheme="majorBidi"/>
          <w:lang w:bidi="he-IL"/>
        </w:rPr>
        <w:t xml:space="preserve"> behavior.</w:t>
      </w:r>
    </w:p>
    <w:p w:rsidR="00BB741A" w:rsidRPr="00D5151B" w:rsidRDefault="00BB741A" w:rsidP="001101D5">
      <w:pPr>
        <w:widowControl w:val="0"/>
        <w:autoSpaceDE w:val="0"/>
        <w:autoSpaceDN w:val="0"/>
        <w:adjustRightInd w:val="0"/>
        <w:spacing w:after="240" w:line="360" w:lineRule="auto"/>
        <w:jc w:val="both"/>
        <w:rPr>
          <w:rFonts w:asciiTheme="majorBidi" w:hAnsiTheme="majorBidi" w:cstheme="majorBidi"/>
        </w:rPr>
      </w:pPr>
    </w:p>
    <w:p w:rsidR="00BB741A" w:rsidRPr="00D5151B" w:rsidRDefault="00BB741A" w:rsidP="001101D5">
      <w:pPr>
        <w:widowControl w:val="0"/>
        <w:autoSpaceDE w:val="0"/>
        <w:autoSpaceDN w:val="0"/>
        <w:adjustRightInd w:val="0"/>
        <w:spacing w:after="240" w:line="360" w:lineRule="auto"/>
        <w:jc w:val="both"/>
        <w:rPr>
          <w:rFonts w:asciiTheme="majorBidi" w:hAnsiTheme="majorBidi" w:cstheme="majorBidi"/>
          <w:b/>
          <w:bCs/>
        </w:rPr>
      </w:pPr>
      <w:r w:rsidRPr="00D5151B">
        <w:rPr>
          <w:rFonts w:asciiTheme="majorBidi" w:hAnsiTheme="majorBidi" w:cstheme="majorBidi"/>
          <w:b/>
          <w:bCs/>
        </w:rPr>
        <w:t>Safe assets, government debt and (no) free lunches</w:t>
      </w:r>
    </w:p>
    <w:p w:rsidR="001101D5" w:rsidRPr="00D5151B" w:rsidRDefault="00CE67E5" w:rsidP="00BB741A">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The last panel</w:t>
      </w:r>
      <w:r w:rsidR="001761D8" w:rsidRPr="00D5151B">
        <w:rPr>
          <w:rFonts w:asciiTheme="majorBidi" w:hAnsiTheme="majorBidi" w:cstheme="majorBidi"/>
        </w:rPr>
        <w:t xml:space="preserve"> of the conference</w:t>
      </w:r>
      <w:r w:rsidRPr="00D5151B">
        <w:rPr>
          <w:rFonts w:asciiTheme="majorBidi" w:hAnsiTheme="majorBidi" w:cstheme="majorBidi"/>
        </w:rPr>
        <w:t xml:space="preserve"> </w:t>
      </w:r>
      <w:r w:rsidR="00BB741A" w:rsidRPr="00D5151B">
        <w:rPr>
          <w:rFonts w:asciiTheme="majorBidi" w:hAnsiTheme="majorBidi" w:cstheme="majorBidi"/>
        </w:rPr>
        <w:t>discussed</w:t>
      </w:r>
      <w:r w:rsidRPr="00D5151B">
        <w:rPr>
          <w:rFonts w:asciiTheme="majorBidi" w:hAnsiTheme="majorBidi" w:cstheme="majorBidi"/>
        </w:rPr>
        <w:t xml:space="preserve"> financial markets and safe assets. There is </w:t>
      </w:r>
      <w:r w:rsidR="00F84335" w:rsidRPr="00D5151B">
        <w:rPr>
          <w:rFonts w:asciiTheme="majorBidi" w:hAnsiTheme="majorBidi" w:cstheme="majorBidi"/>
        </w:rPr>
        <w:t>a growing</w:t>
      </w:r>
      <w:r w:rsidRPr="00D5151B">
        <w:rPr>
          <w:rFonts w:asciiTheme="majorBidi" w:hAnsiTheme="majorBidi" w:cstheme="majorBidi"/>
        </w:rPr>
        <w:t xml:space="preserve"> </w:t>
      </w:r>
      <w:r w:rsidR="00CD42F3" w:rsidRPr="00D5151B">
        <w:rPr>
          <w:rFonts w:asciiTheme="majorBidi" w:hAnsiTheme="majorBidi" w:cstheme="majorBidi"/>
        </w:rPr>
        <w:t xml:space="preserve">literature </w:t>
      </w:r>
      <w:r w:rsidR="008C78A6" w:rsidRPr="00D5151B">
        <w:rPr>
          <w:rFonts w:asciiTheme="majorBidi" w:hAnsiTheme="majorBidi" w:cstheme="majorBidi"/>
        </w:rPr>
        <w:t xml:space="preserve">on </w:t>
      </w:r>
      <w:r w:rsidRPr="00D5151B">
        <w:rPr>
          <w:rFonts w:asciiTheme="majorBidi" w:hAnsiTheme="majorBidi" w:cstheme="majorBidi"/>
        </w:rPr>
        <w:t xml:space="preserve">the importance of </w:t>
      </w:r>
      <w:r w:rsidR="001101D5" w:rsidRPr="00D5151B">
        <w:rPr>
          <w:rFonts w:asciiTheme="majorBidi" w:hAnsiTheme="majorBidi" w:cstheme="majorBidi"/>
        </w:rPr>
        <w:t xml:space="preserve">the </w:t>
      </w:r>
      <w:r w:rsidRPr="00D5151B">
        <w:rPr>
          <w:rFonts w:asciiTheme="majorBidi" w:hAnsiTheme="majorBidi" w:cstheme="majorBidi"/>
        </w:rPr>
        <w:t xml:space="preserve">availability of safe assets in reducing </w:t>
      </w:r>
      <w:r w:rsidR="001101D5" w:rsidRPr="00D5151B">
        <w:rPr>
          <w:rFonts w:asciiTheme="majorBidi" w:hAnsiTheme="majorBidi" w:cstheme="majorBidi"/>
        </w:rPr>
        <w:t xml:space="preserve">the </w:t>
      </w:r>
      <w:r w:rsidRPr="00D5151B">
        <w:rPr>
          <w:rFonts w:asciiTheme="majorBidi" w:hAnsiTheme="majorBidi" w:cstheme="majorBidi"/>
        </w:rPr>
        <w:t xml:space="preserve">liquidity premium, providing </w:t>
      </w:r>
      <w:r w:rsidR="00E53ECC" w:rsidRPr="00D5151B">
        <w:rPr>
          <w:rFonts w:asciiTheme="majorBidi" w:hAnsiTheme="majorBidi" w:cstheme="majorBidi"/>
        </w:rPr>
        <w:t xml:space="preserve">a </w:t>
      </w:r>
      <w:r w:rsidRPr="00D5151B">
        <w:rPr>
          <w:rFonts w:asciiTheme="majorBidi" w:hAnsiTheme="majorBidi" w:cstheme="majorBidi"/>
        </w:rPr>
        <w:t>safety premium, particularly during times of economic and financial stress</w:t>
      </w:r>
      <w:r w:rsidR="00FA013E" w:rsidRPr="00D5151B">
        <w:rPr>
          <w:rFonts w:asciiTheme="majorBidi" w:hAnsiTheme="majorBidi" w:cstheme="majorBidi"/>
        </w:rPr>
        <w:t xml:space="preserve"> (e.g., Krishnamurthy and Vissing Jorgenson (201</w:t>
      </w:r>
      <w:r w:rsidR="00B87708" w:rsidRPr="00D5151B">
        <w:rPr>
          <w:rFonts w:asciiTheme="majorBidi" w:hAnsiTheme="majorBidi" w:cstheme="majorBidi"/>
        </w:rPr>
        <w:t>2</w:t>
      </w:r>
      <w:r w:rsidR="00FA013E" w:rsidRPr="00D5151B">
        <w:rPr>
          <w:rFonts w:asciiTheme="majorBidi" w:hAnsiTheme="majorBidi" w:cstheme="majorBidi"/>
        </w:rPr>
        <w:t>))</w:t>
      </w:r>
      <w:r w:rsidRPr="00D5151B">
        <w:rPr>
          <w:rFonts w:asciiTheme="majorBidi" w:hAnsiTheme="majorBidi" w:cstheme="majorBidi"/>
        </w:rPr>
        <w:t>.</w:t>
      </w:r>
      <w:r w:rsidR="00064EA5" w:rsidRPr="00D5151B">
        <w:rPr>
          <w:rFonts w:asciiTheme="majorBidi" w:hAnsiTheme="majorBidi" w:cstheme="majorBidi"/>
        </w:rPr>
        <w:t xml:space="preserve"> </w:t>
      </w:r>
      <w:r w:rsidRPr="00D5151B">
        <w:rPr>
          <w:rFonts w:asciiTheme="majorBidi" w:hAnsiTheme="majorBidi" w:cstheme="majorBidi"/>
        </w:rPr>
        <w:t xml:space="preserve"> </w:t>
      </w:r>
      <w:r w:rsidR="00064EA5" w:rsidRPr="00D5151B">
        <w:rPr>
          <w:rFonts w:asciiTheme="majorBidi" w:hAnsiTheme="majorBidi" w:cstheme="majorBidi"/>
        </w:rPr>
        <w:t>The prevailing argument is that larger debt-to-GDP ratios correspond to lower convenience yields reflecting something akin to a money supply for safe assets.</w:t>
      </w:r>
      <w:r w:rsidR="004779BA" w:rsidRPr="00D5151B">
        <w:rPr>
          <w:rFonts w:asciiTheme="majorBidi" w:hAnsiTheme="majorBidi" w:cstheme="majorBidi"/>
        </w:rPr>
        <w:t xml:space="preserve"> </w:t>
      </w:r>
      <w:r w:rsidR="00CF7D6A" w:rsidRPr="00D5151B">
        <w:rPr>
          <w:rFonts w:asciiTheme="majorBidi" w:hAnsiTheme="majorBidi" w:cstheme="majorBidi"/>
        </w:rPr>
        <w:t xml:space="preserve">Furthermore, </w:t>
      </w:r>
      <w:r w:rsidR="00493070" w:rsidRPr="00D5151B">
        <w:rPr>
          <w:rFonts w:asciiTheme="majorBidi" w:hAnsiTheme="majorBidi" w:cstheme="majorBidi"/>
        </w:rPr>
        <w:t xml:space="preserve">and </w:t>
      </w:r>
      <w:r w:rsidR="00CF7D6A" w:rsidRPr="00D5151B">
        <w:rPr>
          <w:rFonts w:asciiTheme="majorBidi" w:hAnsiTheme="majorBidi" w:cstheme="majorBidi"/>
        </w:rPr>
        <w:t>r</w:t>
      </w:r>
      <w:r w:rsidRPr="00D5151B">
        <w:rPr>
          <w:rFonts w:asciiTheme="majorBidi" w:hAnsiTheme="majorBidi" w:cstheme="majorBidi"/>
        </w:rPr>
        <w:t>elated</w:t>
      </w:r>
      <w:r w:rsidR="00765B5F" w:rsidRPr="00D5151B">
        <w:rPr>
          <w:rFonts w:asciiTheme="majorBidi" w:hAnsiTheme="majorBidi" w:cstheme="majorBidi"/>
        </w:rPr>
        <w:t xml:space="preserve">, </w:t>
      </w:r>
      <w:r w:rsidRPr="00D5151B">
        <w:rPr>
          <w:rFonts w:asciiTheme="majorBidi" w:hAnsiTheme="majorBidi" w:cstheme="majorBidi"/>
        </w:rPr>
        <w:t>there ha</w:t>
      </w:r>
      <w:r w:rsidR="001101D5" w:rsidRPr="00D5151B">
        <w:rPr>
          <w:rFonts w:asciiTheme="majorBidi" w:hAnsiTheme="majorBidi" w:cstheme="majorBidi"/>
        </w:rPr>
        <w:t>ve</w:t>
      </w:r>
      <w:r w:rsidRPr="00D5151B">
        <w:rPr>
          <w:rFonts w:asciiTheme="majorBidi" w:hAnsiTheme="majorBidi" w:cstheme="majorBidi"/>
        </w:rPr>
        <w:t xml:space="preserve"> </w:t>
      </w:r>
      <w:r w:rsidR="001101D5" w:rsidRPr="00D5151B">
        <w:rPr>
          <w:rFonts w:asciiTheme="majorBidi" w:hAnsiTheme="majorBidi" w:cstheme="majorBidi"/>
        </w:rPr>
        <w:t xml:space="preserve">recently </w:t>
      </w:r>
      <w:r w:rsidRPr="00D5151B">
        <w:rPr>
          <w:rFonts w:asciiTheme="majorBidi" w:hAnsiTheme="majorBidi" w:cstheme="majorBidi"/>
        </w:rPr>
        <w:t>been</w:t>
      </w:r>
      <w:r w:rsidR="00765B5F" w:rsidRPr="00D5151B">
        <w:rPr>
          <w:rFonts w:asciiTheme="majorBidi" w:hAnsiTheme="majorBidi" w:cstheme="majorBidi"/>
        </w:rPr>
        <w:t xml:space="preserve"> </w:t>
      </w:r>
      <w:r w:rsidRPr="00D5151B">
        <w:rPr>
          <w:rFonts w:asciiTheme="majorBidi" w:hAnsiTheme="majorBidi" w:cstheme="majorBidi"/>
        </w:rPr>
        <w:t>discussion</w:t>
      </w:r>
      <w:r w:rsidR="00765B5F" w:rsidRPr="00D5151B">
        <w:rPr>
          <w:rFonts w:asciiTheme="majorBidi" w:hAnsiTheme="majorBidi" w:cstheme="majorBidi"/>
        </w:rPr>
        <w:t>s</w:t>
      </w:r>
      <w:r w:rsidRPr="00D5151B">
        <w:rPr>
          <w:rFonts w:asciiTheme="majorBidi" w:hAnsiTheme="majorBidi" w:cstheme="majorBidi"/>
        </w:rPr>
        <w:t xml:space="preserve"> of the opportunities </w:t>
      </w:r>
      <w:r w:rsidR="00765B5F" w:rsidRPr="00D5151B">
        <w:rPr>
          <w:rFonts w:asciiTheme="majorBidi" w:hAnsiTheme="majorBidi" w:cstheme="majorBidi"/>
        </w:rPr>
        <w:t>a</w:t>
      </w:r>
      <w:r w:rsidRPr="00D5151B">
        <w:rPr>
          <w:rFonts w:asciiTheme="majorBidi" w:hAnsiTheme="majorBidi" w:cstheme="majorBidi"/>
        </w:rPr>
        <w:t>fforded by the low interest rate</w:t>
      </w:r>
      <w:r w:rsidR="00BB741A" w:rsidRPr="00D5151B">
        <w:rPr>
          <w:rFonts w:asciiTheme="majorBidi" w:hAnsiTheme="majorBidi" w:cstheme="majorBidi"/>
        </w:rPr>
        <w:t xml:space="preserve"> environment</w:t>
      </w:r>
      <w:r w:rsidRPr="00D5151B">
        <w:rPr>
          <w:rFonts w:asciiTheme="majorBidi" w:hAnsiTheme="majorBidi" w:cstheme="majorBidi"/>
        </w:rPr>
        <w:t xml:space="preserve"> for expanding the supply of safe assets</w:t>
      </w:r>
      <w:r w:rsidR="002C5F3E" w:rsidRPr="00D5151B">
        <w:rPr>
          <w:rFonts w:asciiTheme="majorBidi" w:hAnsiTheme="majorBidi" w:cstheme="majorBidi"/>
        </w:rPr>
        <w:t>,</w:t>
      </w:r>
      <w:r w:rsidRPr="00D5151B">
        <w:rPr>
          <w:rFonts w:asciiTheme="majorBidi" w:hAnsiTheme="majorBidi" w:cstheme="majorBidi"/>
        </w:rPr>
        <w:t xml:space="preserve"> namely </w:t>
      </w:r>
      <w:r w:rsidR="00765B5F" w:rsidRPr="00D5151B">
        <w:rPr>
          <w:rFonts w:asciiTheme="majorBidi" w:hAnsiTheme="majorBidi" w:cstheme="majorBidi"/>
        </w:rPr>
        <w:lastRenderedPageBreak/>
        <w:t xml:space="preserve">government </w:t>
      </w:r>
      <w:r w:rsidRPr="00D5151B">
        <w:rPr>
          <w:rFonts w:asciiTheme="majorBidi" w:hAnsiTheme="majorBidi" w:cstheme="majorBidi"/>
        </w:rPr>
        <w:t>debt</w:t>
      </w:r>
      <w:r w:rsidR="00FA013E" w:rsidRPr="00D5151B">
        <w:rPr>
          <w:rFonts w:asciiTheme="majorBidi" w:hAnsiTheme="majorBidi" w:cstheme="majorBidi"/>
        </w:rPr>
        <w:t xml:space="preserve"> (e.g., Blanchard (2019))</w:t>
      </w:r>
      <w:r w:rsidR="00064EA5" w:rsidRPr="00D5151B">
        <w:rPr>
          <w:rFonts w:asciiTheme="majorBidi" w:hAnsiTheme="majorBidi" w:cstheme="majorBidi"/>
          <w:lang w:bidi="he-IL"/>
        </w:rPr>
        <w:t>.</w:t>
      </w:r>
      <w:r w:rsidR="00CF7D6A" w:rsidRPr="00D5151B">
        <w:rPr>
          <w:rFonts w:asciiTheme="majorBidi" w:hAnsiTheme="majorBidi" w:cstheme="majorBidi"/>
        </w:rPr>
        <w:t xml:space="preserve"> </w:t>
      </w:r>
      <w:r w:rsidR="00493070" w:rsidRPr="00D5151B">
        <w:rPr>
          <w:rFonts w:asciiTheme="majorBidi" w:hAnsiTheme="majorBidi" w:cstheme="majorBidi"/>
        </w:rPr>
        <w:t>I want to argue that t</w:t>
      </w:r>
      <w:r w:rsidR="00823B95" w:rsidRPr="00D5151B">
        <w:rPr>
          <w:rFonts w:asciiTheme="majorBidi" w:hAnsiTheme="majorBidi" w:cstheme="majorBidi"/>
        </w:rPr>
        <w:t xml:space="preserve">he virtue of safe assets is probably more nuanced. It is affected by the state of the economy as well as the form of supply. There is probably no free lunch even in this manner. </w:t>
      </w:r>
    </w:p>
    <w:p w:rsidR="00FD0F05" w:rsidRPr="00D5151B" w:rsidRDefault="00823B95" w:rsidP="00BB741A">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 xml:space="preserve">In Figure </w:t>
      </w:r>
      <w:r w:rsidR="000262F9" w:rsidRPr="00D5151B">
        <w:rPr>
          <w:rFonts w:asciiTheme="majorBidi" w:hAnsiTheme="majorBidi" w:cstheme="majorBidi"/>
        </w:rPr>
        <w:t>6</w:t>
      </w:r>
      <w:r w:rsidR="00FD713F" w:rsidRPr="00D5151B">
        <w:rPr>
          <w:rFonts w:asciiTheme="majorBidi" w:hAnsiTheme="majorBidi" w:cstheme="majorBidi"/>
        </w:rPr>
        <w:t xml:space="preserve"> </w:t>
      </w:r>
      <w:r w:rsidRPr="00D5151B">
        <w:rPr>
          <w:rFonts w:asciiTheme="majorBidi" w:hAnsiTheme="majorBidi" w:cstheme="majorBidi"/>
        </w:rPr>
        <w:t>in the handout, which is from a recent paper with Lukas Schmid, and Yang Liu, titled “The Risks of Safe Assets”</w:t>
      </w:r>
      <w:r w:rsidR="00B12826" w:rsidRPr="00D5151B">
        <w:rPr>
          <w:rFonts w:asciiTheme="majorBidi" w:hAnsiTheme="majorBidi" w:cstheme="majorBidi"/>
        </w:rPr>
        <w:t xml:space="preserve"> (2019)</w:t>
      </w:r>
      <w:r w:rsidR="001101D5" w:rsidRPr="00D5151B">
        <w:rPr>
          <w:rFonts w:asciiTheme="majorBidi" w:hAnsiTheme="majorBidi" w:cstheme="majorBidi"/>
        </w:rPr>
        <w:t>,</w:t>
      </w:r>
      <w:r w:rsidRPr="00D5151B">
        <w:rPr>
          <w:rFonts w:asciiTheme="majorBidi" w:hAnsiTheme="majorBidi" w:cstheme="majorBidi"/>
        </w:rPr>
        <w:t xml:space="preserve"> </w:t>
      </w:r>
      <w:r w:rsidR="000B0590" w:rsidRPr="00D5151B">
        <w:rPr>
          <w:rFonts w:asciiTheme="majorBidi" w:hAnsiTheme="majorBidi" w:cstheme="majorBidi"/>
        </w:rPr>
        <w:t>it is shown</w:t>
      </w:r>
      <w:r w:rsidRPr="00D5151B">
        <w:rPr>
          <w:rFonts w:asciiTheme="majorBidi" w:hAnsiTheme="majorBidi" w:cstheme="majorBidi"/>
        </w:rPr>
        <w:t xml:space="preserve"> that while</w:t>
      </w:r>
      <w:r w:rsidR="002C5F3E" w:rsidRPr="00D5151B">
        <w:rPr>
          <w:rFonts w:asciiTheme="majorBidi" w:hAnsiTheme="majorBidi" w:cstheme="majorBidi"/>
        </w:rPr>
        <w:t xml:space="preserve"> a</w:t>
      </w:r>
      <w:r w:rsidRPr="00D5151B">
        <w:rPr>
          <w:rFonts w:asciiTheme="majorBidi" w:hAnsiTheme="majorBidi" w:cstheme="majorBidi"/>
        </w:rPr>
        <w:t xml:space="preserve"> larger debt</w:t>
      </w:r>
      <w:r w:rsidR="008C78A6" w:rsidRPr="00D5151B">
        <w:rPr>
          <w:rFonts w:asciiTheme="majorBidi" w:hAnsiTheme="majorBidi" w:cstheme="majorBidi"/>
        </w:rPr>
        <w:t>-</w:t>
      </w:r>
      <w:r w:rsidRPr="00D5151B">
        <w:rPr>
          <w:rFonts w:asciiTheme="majorBidi" w:hAnsiTheme="majorBidi" w:cstheme="majorBidi"/>
        </w:rPr>
        <w:t>to</w:t>
      </w:r>
      <w:r w:rsidR="008C78A6" w:rsidRPr="00D5151B">
        <w:rPr>
          <w:rFonts w:asciiTheme="majorBidi" w:hAnsiTheme="majorBidi" w:cstheme="majorBidi"/>
        </w:rPr>
        <w:t>-</w:t>
      </w:r>
      <w:r w:rsidRPr="00D5151B">
        <w:rPr>
          <w:rFonts w:asciiTheme="majorBidi" w:hAnsiTheme="majorBidi" w:cstheme="majorBidi"/>
        </w:rPr>
        <w:t xml:space="preserve">GDP </w:t>
      </w:r>
      <w:r w:rsidR="002C5F3E" w:rsidRPr="00D5151B">
        <w:rPr>
          <w:rFonts w:asciiTheme="majorBidi" w:hAnsiTheme="majorBidi" w:cstheme="majorBidi"/>
        </w:rPr>
        <w:t xml:space="preserve">ratio </w:t>
      </w:r>
      <w:r w:rsidRPr="00D5151B">
        <w:rPr>
          <w:rFonts w:asciiTheme="majorBidi" w:hAnsiTheme="majorBidi" w:cstheme="majorBidi"/>
        </w:rPr>
        <w:t>seem</w:t>
      </w:r>
      <w:r w:rsidR="002C5F3E" w:rsidRPr="00D5151B">
        <w:rPr>
          <w:rFonts w:asciiTheme="majorBidi" w:hAnsiTheme="majorBidi" w:cstheme="majorBidi"/>
        </w:rPr>
        <w:t>s</w:t>
      </w:r>
      <w:r w:rsidRPr="00D5151B">
        <w:rPr>
          <w:rFonts w:asciiTheme="majorBidi" w:hAnsiTheme="majorBidi" w:cstheme="majorBidi"/>
        </w:rPr>
        <w:t xml:space="preserve"> to lower liquidity spreads</w:t>
      </w:r>
      <w:r w:rsidR="00495716" w:rsidRPr="00D5151B">
        <w:rPr>
          <w:rFonts w:asciiTheme="majorBidi" w:hAnsiTheme="majorBidi" w:cstheme="majorBidi"/>
        </w:rPr>
        <w:t>,</w:t>
      </w:r>
      <w:r w:rsidRPr="00D5151B">
        <w:rPr>
          <w:rFonts w:asciiTheme="majorBidi" w:hAnsiTheme="majorBidi" w:cstheme="majorBidi"/>
        </w:rPr>
        <w:t xml:space="preserve"> it tends to be associated with larger corporate spreads. You can see</w:t>
      </w:r>
      <w:r w:rsidR="00112342" w:rsidRPr="00D5151B">
        <w:rPr>
          <w:rFonts w:asciiTheme="majorBidi" w:hAnsiTheme="majorBidi" w:cstheme="majorBidi"/>
        </w:rPr>
        <w:t xml:space="preserve"> (in the northwest subplot of </w:t>
      </w:r>
      <w:r w:rsidR="00682A6A" w:rsidRPr="00D5151B">
        <w:rPr>
          <w:rFonts w:asciiTheme="majorBidi" w:hAnsiTheme="majorBidi" w:cstheme="majorBidi"/>
        </w:rPr>
        <w:t xml:space="preserve">the </w:t>
      </w:r>
      <w:r w:rsidR="00112342" w:rsidRPr="00D5151B">
        <w:rPr>
          <w:rFonts w:asciiTheme="majorBidi" w:hAnsiTheme="majorBidi" w:cstheme="majorBidi"/>
        </w:rPr>
        <w:t>Figure),</w:t>
      </w:r>
      <w:r w:rsidRPr="00D5151B">
        <w:rPr>
          <w:rFonts w:asciiTheme="majorBidi" w:hAnsiTheme="majorBidi" w:cstheme="majorBidi"/>
        </w:rPr>
        <w:t xml:space="preserve"> that </w:t>
      </w:r>
      <w:r w:rsidR="00AF11AF" w:rsidRPr="00D5151B">
        <w:rPr>
          <w:rFonts w:asciiTheme="majorBidi" w:hAnsiTheme="majorBidi" w:cstheme="majorBidi"/>
        </w:rPr>
        <w:t>corporate bond</w:t>
      </w:r>
      <w:r w:rsidRPr="00D5151B">
        <w:rPr>
          <w:rFonts w:asciiTheme="majorBidi" w:hAnsiTheme="majorBidi" w:cstheme="majorBidi"/>
        </w:rPr>
        <w:t xml:space="preserve"> spreads </w:t>
      </w:r>
      <w:r w:rsidR="001101D5" w:rsidRPr="00D5151B">
        <w:rPr>
          <w:rFonts w:asciiTheme="majorBidi" w:hAnsiTheme="majorBidi" w:cstheme="majorBidi"/>
        </w:rPr>
        <w:t>have a positive impulse</w:t>
      </w:r>
      <w:r w:rsidRPr="00D5151B">
        <w:rPr>
          <w:rFonts w:asciiTheme="majorBidi" w:hAnsiTheme="majorBidi" w:cstheme="majorBidi"/>
        </w:rPr>
        <w:t xml:space="preserve"> response to a shock to </w:t>
      </w:r>
      <w:r w:rsidR="008C290E" w:rsidRPr="00D5151B">
        <w:rPr>
          <w:rFonts w:asciiTheme="majorBidi" w:hAnsiTheme="majorBidi" w:cstheme="majorBidi"/>
        </w:rPr>
        <w:t>d</w:t>
      </w:r>
      <w:r w:rsidRPr="00D5151B">
        <w:rPr>
          <w:rFonts w:asciiTheme="majorBidi" w:hAnsiTheme="majorBidi" w:cstheme="majorBidi"/>
        </w:rPr>
        <w:t>ebt-to-</w:t>
      </w:r>
      <w:r w:rsidR="00A57C99" w:rsidRPr="00D5151B">
        <w:rPr>
          <w:rFonts w:asciiTheme="majorBidi" w:hAnsiTheme="majorBidi" w:cstheme="majorBidi"/>
        </w:rPr>
        <w:t>GDP</w:t>
      </w:r>
      <w:r w:rsidR="00493070" w:rsidRPr="00D5151B">
        <w:rPr>
          <w:rFonts w:asciiTheme="majorBidi" w:hAnsiTheme="majorBidi" w:cstheme="majorBidi"/>
        </w:rPr>
        <w:t xml:space="preserve"> </w:t>
      </w:r>
      <w:r w:rsidRPr="00D5151B">
        <w:rPr>
          <w:rFonts w:asciiTheme="majorBidi" w:hAnsiTheme="majorBidi" w:cstheme="majorBidi"/>
        </w:rPr>
        <w:t xml:space="preserve">while there is a decline in the </w:t>
      </w:r>
      <w:r w:rsidR="00AF11AF" w:rsidRPr="00D5151B">
        <w:rPr>
          <w:rFonts w:asciiTheme="majorBidi" w:hAnsiTheme="majorBidi" w:cstheme="majorBidi"/>
        </w:rPr>
        <w:t>Repo</w:t>
      </w:r>
      <w:r w:rsidRPr="00D5151B">
        <w:rPr>
          <w:rFonts w:asciiTheme="majorBidi" w:hAnsiTheme="majorBidi" w:cstheme="majorBidi"/>
        </w:rPr>
        <w:t>-T</w:t>
      </w:r>
      <w:r w:rsidR="00A57C99" w:rsidRPr="00D5151B">
        <w:rPr>
          <w:rFonts w:asciiTheme="majorBidi" w:hAnsiTheme="majorBidi" w:cstheme="majorBidi"/>
        </w:rPr>
        <w:t>-</w:t>
      </w:r>
      <w:r w:rsidR="00AF11AF" w:rsidRPr="00D5151B">
        <w:rPr>
          <w:rFonts w:asciiTheme="majorBidi" w:hAnsiTheme="majorBidi" w:cstheme="majorBidi"/>
        </w:rPr>
        <w:t>Bill</w:t>
      </w:r>
      <w:r w:rsidRPr="00D5151B">
        <w:rPr>
          <w:rFonts w:asciiTheme="majorBidi" w:hAnsiTheme="majorBidi" w:cstheme="majorBidi"/>
        </w:rPr>
        <w:t xml:space="preserve"> spread representing more of a liquidity spread</w:t>
      </w:r>
      <w:r w:rsidR="00493070" w:rsidRPr="00D5151B">
        <w:rPr>
          <w:rFonts w:asciiTheme="majorBidi" w:hAnsiTheme="majorBidi" w:cstheme="majorBidi"/>
        </w:rPr>
        <w:t xml:space="preserve"> (in the southwest subplot)</w:t>
      </w:r>
      <w:r w:rsidRPr="00D5151B">
        <w:rPr>
          <w:rFonts w:asciiTheme="majorBidi" w:hAnsiTheme="majorBidi" w:cstheme="majorBidi"/>
        </w:rPr>
        <w:t xml:space="preserve">. </w:t>
      </w:r>
      <w:r w:rsidR="003A2C41" w:rsidRPr="00D5151B">
        <w:rPr>
          <w:rFonts w:asciiTheme="majorBidi" w:hAnsiTheme="majorBidi" w:cstheme="majorBidi"/>
        </w:rPr>
        <w:t>The southeast subplot</w:t>
      </w:r>
      <w:r w:rsidRPr="00D5151B">
        <w:rPr>
          <w:rFonts w:asciiTheme="majorBidi" w:hAnsiTheme="majorBidi" w:cstheme="majorBidi"/>
        </w:rPr>
        <w:t xml:space="preserve"> </w:t>
      </w:r>
      <w:r w:rsidR="00493070" w:rsidRPr="00D5151B">
        <w:rPr>
          <w:rFonts w:asciiTheme="majorBidi" w:hAnsiTheme="majorBidi" w:cstheme="majorBidi"/>
        </w:rPr>
        <w:t>in this figure</w:t>
      </w:r>
      <w:r w:rsidRPr="00D5151B">
        <w:rPr>
          <w:rFonts w:asciiTheme="majorBidi" w:hAnsiTheme="majorBidi" w:cstheme="majorBidi"/>
        </w:rPr>
        <w:t xml:space="preserve"> </w:t>
      </w:r>
      <w:r w:rsidR="003A2C41" w:rsidRPr="00D5151B">
        <w:rPr>
          <w:rFonts w:asciiTheme="majorBidi" w:hAnsiTheme="majorBidi" w:cstheme="majorBidi"/>
        </w:rPr>
        <w:t xml:space="preserve">shows that the quantity of corporate </w:t>
      </w:r>
      <w:r w:rsidR="00AF11AF" w:rsidRPr="00D5151B">
        <w:rPr>
          <w:rFonts w:asciiTheme="majorBidi" w:hAnsiTheme="majorBidi" w:cstheme="majorBidi"/>
        </w:rPr>
        <w:t xml:space="preserve">debt </w:t>
      </w:r>
      <w:r w:rsidR="003A2C41" w:rsidRPr="00D5151B">
        <w:rPr>
          <w:rFonts w:asciiTheme="majorBidi" w:hAnsiTheme="majorBidi" w:cstheme="majorBidi"/>
        </w:rPr>
        <w:t>issuances also seem</w:t>
      </w:r>
      <w:r w:rsidR="00A57C99" w:rsidRPr="00D5151B">
        <w:rPr>
          <w:rFonts w:asciiTheme="majorBidi" w:hAnsiTheme="majorBidi" w:cstheme="majorBidi"/>
        </w:rPr>
        <w:t>s</w:t>
      </w:r>
      <w:r w:rsidR="003A2C41" w:rsidRPr="00D5151B">
        <w:rPr>
          <w:rFonts w:asciiTheme="majorBidi" w:hAnsiTheme="majorBidi" w:cstheme="majorBidi"/>
        </w:rPr>
        <w:t xml:space="preserve"> to decline in response to positive innovations to </w:t>
      </w:r>
      <w:r w:rsidR="0014027C" w:rsidRPr="00D5151B">
        <w:rPr>
          <w:rFonts w:asciiTheme="majorBidi" w:hAnsiTheme="majorBidi" w:cstheme="majorBidi"/>
        </w:rPr>
        <w:t>d</w:t>
      </w:r>
      <w:r w:rsidR="003A2C41" w:rsidRPr="00D5151B">
        <w:rPr>
          <w:rFonts w:asciiTheme="majorBidi" w:hAnsiTheme="majorBidi" w:cstheme="majorBidi"/>
        </w:rPr>
        <w:t>ebt-to-</w:t>
      </w:r>
      <w:r w:rsidR="00A57C99" w:rsidRPr="00D5151B">
        <w:rPr>
          <w:rFonts w:asciiTheme="majorBidi" w:hAnsiTheme="majorBidi" w:cstheme="majorBidi"/>
        </w:rPr>
        <w:t>GDP</w:t>
      </w:r>
      <w:r w:rsidR="003A2C41" w:rsidRPr="00D5151B">
        <w:rPr>
          <w:rFonts w:asciiTheme="majorBidi" w:hAnsiTheme="majorBidi" w:cstheme="majorBidi"/>
        </w:rPr>
        <w:t xml:space="preserve">. These are the empirical facts. </w:t>
      </w:r>
    </w:p>
    <w:p w:rsidR="00FD0F05" w:rsidRPr="00D5151B" w:rsidRDefault="003A2C41" w:rsidP="00BB741A">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 xml:space="preserve">The channel </w:t>
      </w:r>
      <w:r w:rsidR="001101D5" w:rsidRPr="00D5151B">
        <w:rPr>
          <w:rFonts w:asciiTheme="majorBidi" w:hAnsiTheme="majorBidi" w:cstheme="majorBidi"/>
        </w:rPr>
        <w:t>that</w:t>
      </w:r>
      <w:r w:rsidR="00861D60" w:rsidRPr="00D5151B">
        <w:rPr>
          <w:rFonts w:asciiTheme="majorBidi" w:hAnsiTheme="majorBidi" w:cstheme="majorBidi"/>
        </w:rPr>
        <w:t xml:space="preserve"> </w:t>
      </w:r>
      <w:r w:rsidRPr="00D5151B">
        <w:rPr>
          <w:rFonts w:asciiTheme="majorBidi" w:hAnsiTheme="majorBidi" w:cstheme="majorBidi"/>
        </w:rPr>
        <w:t xml:space="preserve">the paper </w:t>
      </w:r>
      <w:r w:rsidR="001101D5" w:rsidRPr="00D5151B">
        <w:rPr>
          <w:rFonts w:asciiTheme="majorBidi" w:hAnsiTheme="majorBidi" w:cstheme="majorBidi"/>
        </w:rPr>
        <w:t xml:space="preserve">uses to </w:t>
      </w:r>
      <w:r w:rsidRPr="00D5151B">
        <w:rPr>
          <w:rFonts w:asciiTheme="majorBidi" w:hAnsiTheme="majorBidi" w:cstheme="majorBidi"/>
        </w:rPr>
        <w:t>explain this i</w:t>
      </w:r>
      <w:r w:rsidR="00861D60" w:rsidRPr="00D5151B">
        <w:rPr>
          <w:rFonts w:asciiTheme="majorBidi" w:hAnsiTheme="majorBidi" w:cstheme="majorBidi"/>
        </w:rPr>
        <w:t>s that government debt has to be paid through an uncertain path of distortionary taxes. The risk premi</w:t>
      </w:r>
      <w:r w:rsidR="00D72A10" w:rsidRPr="00D5151B">
        <w:rPr>
          <w:rFonts w:asciiTheme="majorBidi" w:hAnsiTheme="majorBidi" w:cstheme="majorBidi"/>
        </w:rPr>
        <w:t>um</w:t>
      </w:r>
      <w:r w:rsidR="00861D60" w:rsidRPr="00D5151B">
        <w:rPr>
          <w:rFonts w:asciiTheme="majorBidi" w:hAnsiTheme="majorBidi" w:cstheme="majorBidi"/>
        </w:rPr>
        <w:t xml:space="preserve"> associated with such financing is manifested in larger and riskier corporate spreads</w:t>
      </w:r>
      <w:r w:rsidR="001101D5" w:rsidRPr="00D5151B">
        <w:rPr>
          <w:rFonts w:asciiTheme="majorBidi" w:hAnsiTheme="majorBidi" w:cstheme="majorBidi"/>
        </w:rPr>
        <w:t>,</w:t>
      </w:r>
      <w:r w:rsidR="00861D60" w:rsidRPr="00D5151B">
        <w:rPr>
          <w:rFonts w:asciiTheme="majorBidi" w:hAnsiTheme="majorBidi" w:cstheme="majorBidi"/>
        </w:rPr>
        <w:t xml:space="preserve"> and counteracts the benefits of lowering the liquidity premium. Figure </w:t>
      </w:r>
      <w:r w:rsidR="000262F9" w:rsidRPr="00D5151B">
        <w:rPr>
          <w:rFonts w:asciiTheme="majorBidi" w:hAnsiTheme="majorBidi" w:cstheme="majorBidi"/>
        </w:rPr>
        <w:t>7</w:t>
      </w:r>
      <w:r w:rsidR="00C46F36" w:rsidRPr="00D5151B">
        <w:rPr>
          <w:rFonts w:asciiTheme="majorBidi" w:hAnsiTheme="majorBidi" w:cstheme="majorBidi"/>
        </w:rPr>
        <w:t xml:space="preserve"> </w:t>
      </w:r>
      <w:r w:rsidR="00861D60" w:rsidRPr="00D5151B">
        <w:rPr>
          <w:rFonts w:asciiTheme="majorBidi" w:hAnsiTheme="majorBidi" w:cstheme="majorBidi"/>
        </w:rPr>
        <w:t>shows the output from the model</w:t>
      </w:r>
      <w:r w:rsidR="001101D5" w:rsidRPr="00D5151B">
        <w:rPr>
          <w:rFonts w:asciiTheme="majorBidi" w:hAnsiTheme="majorBidi" w:cstheme="majorBidi"/>
        </w:rPr>
        <w:t>,</w:t>
      </w:r>
      <w:r w:rsidR="00861D60" w:rsidRPr="00D5151B">
        <w:rPr>
          <w:rFonts w:asciiTheme="majorBidi" w:hAnsiTheme="majorBidi" w:cstheme="majorBidi"/>
        </w:rPr>
        <w:t xml:space="preserve"> which contains liquidity shocks in the financial markets</w:t>
      </w:r>
      <w:r w:rsidR="00493070" w:rsidRPr="00D5151B">
        <w:rPr>
          <w:rFonts w:asciiTheme="majorBidi" w:hAnsiTheme="majorBidi" w:cstheme="majorBidi"/>
        </w:rPr>
        <w:t xml:space="preserve">, </w:t>
      </w:r>
      <w:r w:rsidR="00A219C9" w:rsidRPr="00D5151B">
        <w:rPr>
          <w:rFonts w:asciiTheme="majorBidi" w:hAnsiTheme="majorBidi" w:cstheme="majorBidi"/>
        </w:rPr>
        <w:t xml:space="preserve">firms with risky fairly priced debt, and government that services its actions via debt and taxes. The figure </w:t>
      </w:r>
      <w:r w:rsidR="00861D60" w:rsidRPr="00D5151B">
        <w:rPr>
          <w:rFonts w:asciiTheme="majorBidi" w:hAnsiTheme="majorBidi" w:cstheme="majorBidi"/>
        </w:rPr>
        <w:t xml:space="preserve">demonstrates the </w:t>
      </w:r>
      <w:r w:rsidR="00A219C9" w:rsidRPr="00D5151B">
        <w:rPr>
          <w:rFonts w:asciiTheme="majorBidi" w:hAnsiTheme="majorBidi" w:cstheme="majorBidi"/>
        </w:rPr>
        <w:t xml:space="preserve">improvements in the liquidity </w:t>
      </w:r>
      <w:r w:rsidR="00861D60" w:rsidRPr="00D5151B">
        <w:rPr>
          <w:rFonts w:asciiTheme="majorBidi" w:hAnsiTheme="majorBidi" w:cstheme="majorBidi"/>
        </w:rPr>
        <w:t>premia</w:t>
      </w:r>
      <w:r w:rsidR="00A219C9" w:rsidRPr="00D5151B">
        <w:rPr>
          <w:rFonts w:asciiTheme="majorBidi" w:hAnsiTheme="majorBidi" w:cstheme="majorBidi"/>
        </w:rPr>
        <w:t xml:space="preserve"> in response to a rise in </w:t>
      </w:r>
      <w:r w:rsidR="0014027C" w:rsidRPr="00D5151B">
        <w:rPr>
          <w:rFonts w:asciiTheme="majorBidi" w:hAnsiTheme="majorBidi" w:cstheme="majorBidi"/>
        </w:rPr>
        <w:t>d</w:t>
      </w:r>
      <w:r w:rsidR="00A57C99" w:rsidRPr="00D5151B">
        <w:rPr>
          <w:rFonts w:asciiTheme="majorBidi" w:hAnsiTheme="majorBidi" w:cstheme="majorBidi"/>
        </w:rPr>
        <w:t>ebt</w:t>
      </w:r>
      <w:r w:rsidR="00A219C9" w:rsidRPr="00D5151B">
        <w:rPr>
          <w:rFonts w:asciiTheme="majorBidi" w:hAnsiTheme="majorBidi" w:cstheme="majorBidi"/>
        </w:rPr>
        <w:t>-to-</w:t>
      </w:r>
      <w:r w:rsidR="00A57C99" w:rsidRPr="00D5151B">
        <w:rPr>
          <w:rFonts w:asciiTheme="majorBidi" w:hAnsiTheme="majorBidi" w:cstheme="majorBidi"/>
        </w:rPr>
        <w:t>GDP</w:t>
      </w:r>
      <w:r w:rsidR="00861D60" w:rsidRPr="00D5151B">
        <w:rPr>
          <w:rFonts w:asciiTheme="majorBidi" w:hAnsiTheme="majorBidi" w:cstheme="majorBidi"/>
        </w:rPr>
        <w:t xml:space="preserve">, with </w:t>
      </w:r>
      <w:r w:rsidR="00A219C9" w:rsidRPr="00D5151B">
        <w:rPr>
          <w:rFonts w:asciiTheme="majorBidi" w:hAnsiTheme="majorBidi" w:cstheme="majorBidi"/>
        </w:rPr>
        <w:t xml:space="preserve">the corresponding </w:t>
      </w:r>
      <w:r w:rsidR="00861D60" w:rsidRPr="00D5151B">
        <w:rPr>
          <w:rFonts w:asciiTheme="majorBidi" w:hAnsiTheme="majorBidi" w:cstheme="majorBidi"/>
        </w:rPr>
        <w:t xml:space="preserve">increase in corporate spreads. </w:t>
      </w:r>
      <w:r w:rsidR="00555DAF" w:rsidRPr="00D5151B">
        <w:rPr>
          <w:rFonts w:asciiTheme="majorBidi" w:hAnsiTheme="majorBidi" w:cstheme="majorBidi"/>
        </w:rPr>
        <w:t>As alluded to in the panel, countries will likely differ in how much they will benefit from a</w:t>
      </w:r>
      <w:r w:rsidR="00BB741A" w:rsidRPr="00D5151B">
        <w:rPr>
          <w:rFonts w:asciiTheme="majorBidi" w:hAnsiTheme="majorBidi" w:cstheme="majorBidi"/>
        </w:rPr>
        <w:t>n</w:t>
      </w:r>
      <w:r w:rsidR="00555DAF" w:rsidRPr="00D5151B">
        <w:rPr>
          <w:rFonts w:asciiTheme="majorBidi" w:hAnsiTheme="majorBidi" w:cstheme="majorBidi"/>
        </w:rPr>
        <w:t xml:space="preserve"> improved safety and liquidity premi</w:t>
      </w:r>
      <w:r w:rsidR="001101D5" w:rsidRPr="00D5151B">
        <w:rPr>
          <w:rFonts w:asciiTheme="majorBidi" w:hAnsiTheme="majorBidi" w:cstheme="majorBidi"/>
        </w:rPr>
        <w:t>a</w:t>
      </w:r>
      <w:r w:rsidR="00555DAF" w:rsidRPr="00D5151B">
        <w:rPr>
          <w:rFonts w:asciiTheme="majorBidi" w:hAnsiTheme="majorBidi" w:cstheme="majorBidi"/>
        </w:rPr>
        <w:t xml:space="preserve"> relative to increased riskiness via the corporate spread component. </w:t>
      </w:r>
      <w:r w:rsidR="00532C5B" w:rsidRPr="00D5151B">
        <w:rPr>
          <w:rFonts w:asciiTheme="majorBidi" w:hAnsiTheme="majorBidi" w:cstheme="majorBidi"/>
        </w:rPr>
        <w:t>The data here reflect the US</w:t>
      </w:r>
      <w:r w:rsidR="00D72A10" w:rsidRPr="00D5151B">
        <w:rPr>
          <w:rFonts w:asciiTheme="majorBidi" w:hAnsiTheme="majorBidi" w:cstheme="majorBidi"/>
        </w:rPr>
        <w:t>,</w:t>
      </w:r>
      <w:r w:rsidR="00532C5B" w:rsidRPr="00D5151B">
        <w:rPr>
          <w:rFonts w:asciiTheme="majorBidi" w:hAnsiTheme="majorBidi" w:cstheme="majorBidi"/>
        </w:rPr>
        <w:t xml:space="preserve"> which is unique, and </w:t>
      </w:r>
      <w:r w:rsidR="004779BA" w:rsidRPr="00D5151B">
        <w:rPr>
          <w:rFonts w:asciiTheme="majorBidi" w:hAnsiTheme="majorBidi" w:cstheme="majorBidi"/>
        </w:rPr>
        <w:t>the relative safetyness of the dollar might contribute to its convenience yield as documented in Krishnamurthy and Lustig (2019). T</w:t>
      </w:r>
      <w:r w:rsidR="00064EA5" w:rsidRPr="00D5151B">
        <w:rPr>
          <w:rFonts w:asciiTheme="majorBidi" w:hAnsiTheme="majorBidi" w:cstheme="majorBidi"/>
        </w:rPr>
        <w:t>herefore</w:t>
      </w:r>
      <w:r w:rsidR="004779BA" w:rsidRPr="00D5151B">
        <w:rPr>
          <w:rFonts w:asciiTheme="majorBidi" w:hAnsiTheme="majorBidi" w:cstheme="majorBidi"/>
        </w:rPr>
        <w:t>,</w:t>
      </w:r>
      <w:r w:rsidR="00064EA5" w:rsidRPr="00D5151B">
        <w:rPr>
          <w:rFonts w:asciiTheme="majorBidi" w:hAnsiTheme="majorBidi" w:cstheme="majorBidi"/>
        </w:rPr>
        <w:t xml:space="preserve"> </w:t>
      </w:r>
      <w:r w:rsidR="00532C5B" w:rsidRPr="00D5151B">
        <w:rPr>
          <w:rFonts w:asciiTheme="majorBidi" w:hAnsiTheme="majorBidi" w:cstheme="majorBidi"/>
        </w:rPr>
        <w:t xml:space="preserve">the tradeoff between increased corporate premia and reduced liquidity </w:t>
      </w:r>
      <w:r w:rsidR="00167AED" w:rsidRPr="00D5151B">
        <w:rPr>
          <w:rFonts w:asciiTheme="majorBidi" w:hAnsiTheme="majorBidi" w:cstheme="majorBidi"/>
        </w:rPr>
        <w:t xml:space="preserve">premia </w:t>
      </w:r>
      <w:r w:rsidR="00532C5B" w:rsidRPr="00D5151B">
        <w:rPr>
          <w:rFonts w:asciiTheme="majorBidi" w:hAnsiTheme="majorBidi" w:cstheme="majorBidi"/>
        </w:rPr>
        <w:t xml:space="preserve">is likely to be much </w:t>
      </w:r>
      <w:r w:rsidR="005C6BC4" w:rsidRPr="00D5151B">
        <w:rPr>
          <w:rFonts w:asciiTheme="majorBidi" w:hAnsiTheme="majorBidi" w:cstheme="majorBidi"/>
        </w:rPr>
        <w:t>less favorable</w:t>
      </w:r>
      <w:r w:rsidR="00532C5B" w:rsidRPr="00D5151B">
        <w:rPr>
          <w:rFonts w:asciiTheme="majorBidi" w:hAnsiTheme="majorBidi" w:cstheme="majorBidi"/>
        </w:rPr>
        <w:t xml:space="preserve"> in </w:t>
      </w:r>
      <w:r w:rsidR="00167AED" w:rsidRPr="00D5151B">
        <w:rPr>
          <w:rFonts w:asciiTheme="majorBidi" w:hAnsiTheme="majorBidi" w:cstheme="majorBidi"/>
        </w:rPr>
        <w:t>small</w:t>
      </w:r>
      <w:r w:rsidR="001101D5" w:rsidRPr="00D5151B">
        <w:rPr>
          <w:rFonts w:asciiTheme="majorBidi" w:hAnsiTheme="majorBidi" w:cstheme="majorBidi"/>
        </w:rPr>
        <w:t>,</w:t>
      </w:r>
      <w:r w:rsidR="00167AED" w:rsidRPr="00D5151B">
        <w:rPr>
          <w:rFonts w:asciiTheme="majorBidi" w:hAnsiTheme="majorBidi" w:cstheme="majorBidi"/>
        </w:rPr>
        <w:t xml:space="preserve"> less developed</w:t>
      </w:r>
      <w:r w:rsidR="001101D5" w:rsidRPr="00D5151B">
        <w:rPr>
          <w:rFonts w:asciiTheme="majorBidi" w:hAnsiTheme="majorBidi" w:cstheme="majorBidi"/>
        </w:rPr>
        <w:t>,</w:t>
      </w:r>
      <w:r w:rsidR="00167AED" w:rsidRPr="00D5151B">
        <w:rPr>
          <w:rFonts w:asciiTheme="majorBidi" w:hAnsiTheme="majorBidi" w:cstheme="majorBidi"/>
        </w:rPr>
        <w:t xml:space="preserve"> open econom</w:t>
      </w:r>
      <w:r w:rsidR="00BB741A" w:rsidRPr="00D5151B">
        <w:rPr>
          <w:rFonts w:asciiTheme="majorBidi" w:hAnsiTheme="majorBidi" w:cstheme="majorBidi"/>
        </w:rPr>
        <w:t>ies</w:t>
      </w:r>
      <w:r w:rsidR="00167AED" w:rsidRPr="00D5151B">
        <w:rPr>
          <w:rFonts w:asciiTheme="majorBidi" w:hAnsiTheme="majorBidi" w:cstheme="majorBidi"/>
        </w:rPr>
        <w:t>.</w:t>
      </w:r>
      <w:r w:rsidR="00224527" w:rsidRPr="00D5151B">
        <w:rPr>
          <w:rFonts w:asciiTheme="majorBidi" w:hAnsiTheme="majorBidi" w:cstheme="majorBidi"/>
        </w:rPr>
        <w:t xml:space="preserve"> </w:t>
      </w:r>
      <w:r w:rsidR="004779BA" w:rsidRPr="00D5151B">
        <w:rPr>
          <w:rFonts w:asciiTheme="majorBidi" w:hAnsiTheme="majorBidi" w:cstheme="majorBidi"/>
        </w:rPr>
        <w:t xml:space="preserve">That is, beyond </w:t>
      </w:r>
      <w:r w:rsidR="007461A5" w:rsidRPr="00D5151B">
        <w:rPr>
          <w:rFonts w:asciiTheme="majorBidi" w:hAnsiTheme="majorBidi" w:cstheme="majorBidi"/>
        </w:rPr>
        <w:t xml:space="preserve">fiscal consolidation, sovereign default and inflation are two additional risk factors that cannot be ignored in many small countries. </w:t>
      </w:r>
      <w:r w:rsidR="00224527" w:rsidRPr="00D5151B">
        <w:rPr>
          <w:rFonts w:asciiTheme="majorBidi" w:hAnsiTheme="majorBidi" w:cstheme="majorBidi"/>
        </w:rPr>
        <w:t>Moreover, there is an inherent asymmetry – the reduced liquidity premium has an obvious downside floor while in principle the increased risk premia do not.</w:t>
      </w:r>
      <w:r w:rsidR="007461A5" w:rsidRPr="00D5151B">
        <w:rPr>
          <w:rFonts w:asciiTheme="majorBidi" w:hAnsiTheme="majorBidi" w:cstheme="majorBidi"/>
        </w:rPr>
        <w:t xml:space="preserve"> </w:t>
      </w:r>
    </w:p>
    <w:p w:rsidR="00FD0F05" w:rsidRPr="00D5151B" w:rsidRDefault="00FD0F05" w:rsidP="00FD0F05">
      <w:pPr>
        <w:widowControl w:val="0"/>
        <w:autoSpaceDE w:val="0"/>
        <w:autoSpaceDN w:val="0"/>
        <w:adjustRightInd w:val="0"/>
        <w:spacing w:after="240" w:line="360" w:lineRule="auto"/>
        <w:jc w:val="both"/>
        <w:rPr>
          <w:rFonts w:asciiTheme="majorBidi" w:hAnsiTheme="majorBidi" w:cstheme="majorBidi"/>
        </w:rPr>
      </w:pPr>
    </w:p>
    <w:p w:rsidR="00504A82" w:rsidRPr="00D5151B" w:rsidRDefault="00861D60" w:rsidP="00B046A9">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These tradeoff</w:t>
      </w:r>
      <w:r w:rsidR="00A605B2" w:rsidRPr="00D5151B">
        <w:rPr>
          <w:rFonts w:asciiTheme="majorBidi" w:hAnsiTheme="majorBidi" w:cstheme="majorBidi"/>
        </w:rPr>
        <w:t>s</w:t>
      </w:r>
      <w:r w:rsidRPr="00D5151B">
        <w:rPr>
          <w:rFonts w:asciiTheme="majorBidi" w:hAnsiTheme="majorBidi" w:cstheme="majorBidi"/>
        </w:rPr>
        <w:t xml:space="preserve"> also have something to say </w:t>
      </w:r>
      <w:r w:rsidR="00FF4B75" w:rsidRPr="00D5151B">
        <w:rPr>
          <w:rFonts w:asciiTheme="majorBidi" w:hAnsiTheme="majorBidi" w:cstheme="majorBidi"/>
        </w:rPr>
        <w:t>about the recent discussions</w:t>
      </w:r>
      <w:r w:rsidR="001101D5" w:rsidRPr="00D5151B">
        <w:rPr>
          <w:rFonts w:asciiTheme="majorBidi" w:hAnsiTheme="majorBidi" w:cstheme="majorBidi"/>
        </w:rPr>
        <w:t xml:space="preserve"> of</w:t>
      </w:r>
      <w:r w:rsidR="00FF4B75" w:rsidRPr="00D5151B">
        <w:rPr>
          <w:rFonts w:asciiTheme="majorBidi" w:hAnsiTheme="majorBidi" w:cstheme="majorBidi"/>
        </w:rPr>
        <w:t xml:space="preserve"> the viability of </w:t>
      </w:r>
      <w:r w:rsidR="00FF4B75" w:rsidRPr="00D5151B">
        <w:rPr>
          <w:rFonts w:asciiTheme="majorBidi" w:hAnsiTheme="majorBidi" w:cstheme="majorBidi"/>
        </w:rPr>
        <w:lastRenderedPageBreak/>
        <w:t xml:space="preserve">increasing or rolling over debt without fiscal costs. </w:t>
      </w:r>
      <w:r w:rsidR="00D62458" w:rsidRPr="00D5151B">
        <w:rPr>
          <w:rFonts w:asciiTheme="majorBidi" w:hAnsiTheme="majorBidi" w:cstheme="majorBidi"/>
        </w:rPr>
        <w:t xml:space="preserve">Interestingly, </w:t>
      </w:r>
      <w:r w:rsidR="00A219C9" w:rsidRPr="00D5151B">
        <w:rPr>
          <w:rFonts w:asciiTheme="majorBidi" w:hAnsiTheme="majorBidi" w:cstheme="majorBidi"/>
        </w:rPr>
        <w:t>F</w:t>
      </w:r>
      <w:r w:rsidR="00D62458" w:rsidRPr="00D5151B">
        <w:rPr>
          <w:rFonts w:asciiTheme="majorBidi" w:hAnsiTheme="majorBidi" w:cstheme="majorBidi"/>
        </w:rPr>
        <w:t xml:space="preserve">igure </w:t>
      </w:r>
      <w:r w:rsidR="000262F9" w:rsidRPr="00D5151B">
        <w:rPr>
          <w:rFonts w:asciiTheme="majorBidi" w:hAnsiTheme="majorBidi" w:cstheme="majorBidi"/>
        </w:rPr>
        <w:t>8</w:t>
      </w:r>
      <w:r w:rsidR="00B90A47" w:rsidRPr="00D5151B">
        <w:rPr>
          <w:rFonts w:asciiTheme="majorBidi" w:hAnsiTheme="majorBidi" w:cstheme="majorBidi"/>
        </w:rPr>
        <w:t xml:space="preserve"> </w:t>
      </w:r>
      <w:r w:rsidR="00A219C9" w:rsidRPr="00D5151B">
        <w:rPr>
          <w:rFonts w:asciiTheme="majorBidi" w:hAnsiTheme="majorBidi" w:cstheme="majorBidi"/>
        </w:rPr>
        <w:t xml:space="preserve">in the handout </w:t>
      </w:r>
      <w:r w:rsidR="00D62458" w:rsidRPr="00D5151B">
        <w:rPr>
          <w:rFonts w:asciiTheme="majorBidi" w:hAnsiTheme="majorBidi" w:cstheme="majorBidi"/>
        </w:rPr>
        <w:t>shows that beyond a certain debt-to-</w:t>
      </w:r>
      <w:r w:rsidR="007461A5" w:rsidRPr="00D5151B">
        <w:rPr>
          <w:rFonts w:asciiTheme="majorBidi" w:hAnsiTheme="majorBidi" w:cstheme="majorBidi"/>
        </w:rPr>
        <w:t>GDP</w:t>
      </w:r>
      <w:r w:rsidR="001101D5" w:rsidRPr="00D5151B">
        <w:rPr>
          <w:rFonts w:asciiTheme="majorBidi" w:hAnsiTheme="majorBidi" w:cstheme="majorBidi"/>
        </w:rPr>
        <w:t xml:space="preserve"> level</w:t>
      </w:r>
      <w:r w:rsidR="00A219C9" w:rsidRPr="00D5151B">
        <w:rPr>
          <w:rFonts w:asciiTheme="majorBidi" w:hAnsiTheme="majorBidi" w:cstheme="majorBidi"/>
        </w:rPr>
        <w:t xml:space="preserve"> (</w:t>
      </w:r>
      <w:r w:rsidR="001101D5" w:rsidRPr="00D5151B">
        <w:rPr>
          <w:rFonts w:asciiTheme="majorBidi" w:hAnsiTheme="majorBidi" w:cstheme="majorBidi"/>
        </w:rPr>
        <w:t xml:space="preserve">which </w:t>
      </w:r>
      <w:r w:rsidR="00AE53A6">
        <w:rPr>
          <w:rFonts w:asciiTheme="majorBidi" w:hAnsiTheme="majorBidi" w:cstheme="majorBidi"/>
        </w:rPr>
        <w:t xml:space="preserve">for example, </w:t>
      </w:r>
      <w:r w:rsidR="00112342" w:rsidRPr="00D5151B">
        <w:rPr>
          <w:rFonts w:asciiTheme="majorBidi" w:hAnsiTheme="majorBidi" w:cstheme="majorBidi"/>
        </w:rPr>
        <w:t>in the model</w:t>
      </w:r>
      <w:r w:rsidR="00AE53A6">
        <w:rPr>
          <w:rFonts w:asciiTheme="majorBidi" w:hAnsiTheme="majorBidi" w:cstheme="majorBidi"/>
        </w:rPr>
        <w:t>,</w:t>
      </w:r>
      <w:bookmarkStart w:id="4" w:name="_GoBack"/>
      <w:bookmarkEnd w:id="4"/>
      <w:r w:rsidR="00112342" w:rsidRPr="00D5151B">
        <w:rPr>
          <w:rFonts w:asciiTheme="majorBidi" w:hAnsiTheme="majorBidi" w:cstheme="majorBidi"/>
        </w:rPr>
        <w:t xml:space="preserve"> </w:t>
      </w:r>
      <w:r w:rsidR="00A219C9" w:rsidRPr="00D5151B">
        <w:rPr>
          <w:rFonts w:asciiTheme="majorBidi" w:hAnsiTheme="majorBidi" w:cstheme="majorBidi"/>
        </w:rPr>
        <w:t>surprisingly came out to be 60%)</w:t>
      </w:r>
      <w:r w:rsidR="00D62458" w:rsidRPr="00D5151B">
        <w:rPr>
          <w:rFonts w:asciiTheme="majorBidi" w:hAnsiTheme="majorBidi" w:cstheme="majorBidi"/>
        </w:rPr>
        <w:t>, R</w:t>
      </w:r>
      <w:r w:rsidR="00D3715A" w:rsidRPr="00D5151B">
        <w:rPr>
          <w:rFonts w:asciiTheme="majorBidi" w:hAnsiTheme="majorBidi" w:cstheme="majorBidi"/>
        </w:rPr>
        <w:t xml:space="preserve"> (real interest rate)</w:t>
      </w:r>
      <w:r w:rsidR="00D62458" w:rsidRPr="00D5151B">
        <w:rPr>
          <w:rFonts w:asciiTheme="majorBidi" w:hAnsiTheme="majorBidi" w:cstheme="majorBidi"/>
        </w:rPr>
        <w:t xml:space="preserve"> is greater than G</w:t>
      </w:r>
      <w:r w:rsidR="00D3715A" w:rsidRPr="00D5151B">
        <w:rPr>
          <w:rFonts w:asciiTheme="majorBidi" w:hAnsiTheme="majorBidi" w:cstheme="majorBidi"/>
        </w:rPr>
        <w:t xml:space="preserve"> (growth rate)</w:t>
      </w:r>
      <w:r w:rsidR="005C6BC4" w:rsidRPr="00D5151B">
        <w:rPr>
          <w:rFonts w:asciiTheme="majorBidi" w:hAnsiTheme="majorBidi" w:cstheme="majorBidi"/>
        </w:rPr>
        <w:t>,</w:t>
      </w:r>
      <w:r w:rsidR="00D62458" w:rsidRPr="00D5151B">
        <w:rPr>
          <w:rFonts w:asciiTheme="majorBidi" w:hAnsiTheme="majorBidi" w:cstheme="majorBidi"/>
        </w:rPr>
        <w:t xml:space="preserve"> a critical aspect for arguing that increasing the debt can be costless. This comes from the fact that both the equilibrium </w:t>
      </w:r>
      <w:r w:rsidR="00D3715A" w:rsidRPr="00D5151B">
        <w:rPr>
          <w:rFonts w:asciiTheme="majorBidi" w:hAnsiTheme="majorBidi" w:cstheme="majorBidi"/>
        </w:rPr>
        <w:t xml:space="preserve">real </w:t>
      </w:r>
      <w:r w:rsidR="00D62458" w:rsidRPr="00D5151B">
        <w:rPr>
          <w:rFonts w:asciiTheme="majorBidi" w:hAnsiTheme="majorBidi" w:cstheme="majorBidi"/>
        </w:rPr>
        <w:t xml:space="preserve">rate </w:t>
      </w:r>
      <w:r w:rsidR="001101D5" w:rsidRPr="00D5151B">
        <w:rPr>
          <w:rFonts w:asciiTheme="majorBidi" w:hAnsiTheme="majorBidi" w:cstheme="majorBidi"/>
        </w:rPr>
        <w:t>and</w:t>
      </w:r>
      <w:r w:rsidR="00D62458" w:rsidRPr="00D5151B">
        <w:rPr>
          <w:rFonts w:asciiTheme="majorBidi" w:hAnsiTheme="majorBidi" w:cstheme="majorBidi"/>
        </w:rPr>
        <w:t xml:space="preserve"> the growth rate adjust endogenously and differentially to the </w:t>
      </w:r>
      <w:r w:rsidR="00A57C99" w:rsidRPr="00D5151B">
        <w:rPr>
          <w:rFonts w:asciiTheme="majorBidi" w:hAnsiTheme="majorBidi" w:cstheme="majorBidi"/>
        </w:rPr>
        <w:t>d</w:t>
      </w:r>
      <w:r w:rsidR="00D62458" w:rsidRPr="00D5151B">
        <w:rPr>
          <w:rFonts w:asciiTheme="majorBidi" w:hAnsiTheme="majorBidi" w:cstheme="majorBidi"/>
        </w:rPr>
        <w:t>ebt-to-</w:t>
      </w:r>
      <w:r w:rsidR="00A57C99" w:rsidRPr="00D5151B">
        <w:rPr>
          <w:rFonts w:asciiTheme="majorBidi" w:hAnsiTheme="majorBidi" w:cstheme="majorBidi"/>
        </w:rPr>
        <w:t>GDP</w:t>
      </w:r>
      <w:r w:rsidR="00D62458" w:rsidRPr="00D5151B">
        <w:rPr>
          <w:rFonts w:asciiTheme="majorBidi" w:hAnsiTheme="majorBidi" w:cstheme="majorBidi"/>
        </w:rPr>
        <w:t xml:space="preserve">. </w:t>
      </w:r>
      <w:r w:rsidR="00781B35" w:rsidRPr="00D5151B">
        <w:rPr>
          <w:rFonts w:asciiTheme="majorBidi" w:hAnsiTheme="majorBidi" w:cstheme="majorBidi"/>
        </w:rPr>
        <w:t>Beyond</w:t>
      </w:r>
      <w:r w:rsidR="003435C7" w:rsidRPr="00D5151B">
        <w:rPr>
          <w:rFonts w:asciiTheme="majorBidi" w:hAnsiTheme="majorBidi" w:cstheme="majorBidi"/>
        </w:rPr>
        <w:t xml:space="preserve"> </w:t>
      </w:r>
      <w:r w:rsidR="00D62458" w:rsidRPr="00D5151B">
        <w:rPr>
          <w:rFonts w:asciiTheme="majorBidi" w:hAnsiTheme="majorBidi" w:cstheme="majorBidi"/>
        </w:rPr>
        <w:t>the model</w:t>
      </w:r>
      <w:r w:rsidR="003435C7" w:rsidRPr="00D5151B">
        <w:rPr>
          <w:rFonts w:asciiTheme="majorBidi" w:hAnsiTheme="majorBidi" w:cstheme="majorBidi"/>
        </w:rPr>
        <w:t>,</w:t>
      </w:r>
      <w:r w:rsidR="00D62458" w:rsidRPr="00D5151B">
        <w:rPr>
          <w:rFonts w:asciiTheme="majorBidi" w:hAnsiTheme="majorBidi" w:cstheme="majorBidi"/>
        </w:rPr>
        <w:t xml:space="preserve"> </w:t>
      </w:r>
      <w:r w:rsidR="003435C7" w:rsidRPr="00D5151B">
        <w:rPr>
          <w:rFonts w:asciiTheme="majorBidi" w:hAnsiTheme="majorBidi" w:cstheme="majorBidi"/>
        </w:rPr>
        <w:t xml:space="preserve">it is important to recall that financial markets are forward looking and </w:t>
      </w:r>
      <w:r w:rsidR="00D3715A" w:rsidRPr="00D5151B">
        <w:rPr>
          <w:rFonts w:asciiTheme="majorBidi" w:hAnsiTheme="majorBidi" w:cstheme="majorBidi"/>
        </w:rPr>
        <w:t>might be telling</w:t>
      </w:r>
      <w:r w:rsidR="003435C7" w:rsidRPr="00D5151B">
        <w:rPr>
          <w:rFonts w:asciiTheme="majorBidi" w:hAnsiTheme="majorBidi" w:cstheme="majorBidi"/>
        </w:rPr>
        <w:t xml:space="preserve"> us something about future growth. Thus, in a stochastic environment, when </w:t>
      </w:r>
      <w:r w:rsidR="001101D5" w:rsidRPr="00D5151B">
        <w:rPr>
          <w:rFonts w:asciiTheme="majorBidi" w:hAnsiTheme="majorBidi" w:cstheme="majorBidi"/>
        </w:rPr>
        <w:t>assessing</w:t>
      </w:r>
      <w:r w:rsidR="003435C7" w:rsidRPr="00D5151B">
        <w:rPr>
          <w:rFonts w:asciiTheme="majorBidi" w:hAnsiTheme="majorBidi" w:cstheme="majorBidi"/>
        </w:rPr>
        <w:t xml:space="preserve"> whether R is greater than </w:t>
      </w:r>
      <w:r w:rsidR="00070766" w:rsidRPr="00D5151B">
        <w:rPr>
          <w:rFonts w:asciiTheme="majorBidi" w:hAnsiTheme="majorBidi" w:cstheme="majorBidi"/>
        </w:rPr>
        <w:t>G</w:t>
      </w:r>
      <w:r w:rsidR="003435C7" w:rsidRPr="00D5151B">
        <w:rPr>
          <w:rFonts w:asciiTheme="majorBidi" w:hAnsiTheme="majorBidi" w:cstheme="majorBidi"/>
        </w:rPr>
        <w:t xml:space="preserve">, it is important to compare the current rate to </w:t>
      </w:r>
      <w:r w:rsidR="005C6BC4" w:rsidRPr="00D5151B">
        <w:rPr>
          <w:rFonts w:asciiTheme="majorBidi" w:hAnsiTheme="majorBidi" w:cstheme="majorBidi"/>
        </w:rPr>
        <w:t>forward-looking</w:t>
      </w:r>
      <w:r w:rsidR="003435C7" w:rsidRPr="00D5151B">
        <w:rPr>
          <w:rFonts w:asciiTheme="majorBidi" w:hAnsiTheme="majorBidi" w:cstheme="majorBidi"/>
        </w:rPr>
        <w:t xml:space="preserve"> growth. Figure </w:t>
      </w:r>
      <w:r w:rsidR="000262F9" w:rsidRPr="00D5151B">
        <w:rPr>
          <w:rFonts w:asciiTheme="majorBidi" w:hAnsiTheme="majorBidi" w:cstheme="majorBidi"/>
        </w:rPr>
        <w:t>9</w:t>
      </w:r>
      <w:r w:rsidR="00070766" w:rsidRPr="00D5151B">
        <w:rPr>
          <w:rFonts w:asciiTheme="majorBidi" w:hAnsiTheme="majorBidi" w:cstheme="majorBidi"/>
        </w:rPr>
        <w:t xml:space="preserve"> </w:t>
      </w:r>
      <w:r w:rsidR="003435C7" w:rsidRPr="00D5151B">
        <w:rPr>
          <w:rFonts w:asciiTheme="majorBidi" w:hAnsiTheme="majorBidi" w:cstheme="majorBidi"/>
        </w:rPr>
        <w:t>shows the 10</w:t>
      </w:r>
      <w:r w:rsidR="001101D5" w:rsidRPr="00D5151B">
        <w:rPr>
          <w:rFonts w:asciiTheme="majorBidi" w:hAnsiTheme="majorBidi" w:cstheme="majorBidi"/>
        </w:rPr>
        <w:t>-</w:t>
      </w:r>
      <w:r w:rsidR="003435C7" w:rsidRPr="00D5151B">
        <w:rPr>
          <w:rFonts w:asciiTheme="majorBidi" w:hAnsiTheme="majorBidi" w:cstheme="majorBidi"/>
        </w:rPr>
        <w:t xml:space="preserve">year bond </w:t>
      </w:r>
      <w:r w:rsidR="00A219C9" w:rsidRPr="00D5151B">
        <w:rPr>
          <w:rFonts w:asciiTheme="majorBidi" w:hAnsiTheme="majorBidi" w:cstheme="majorBidi"/>
        </w:rPr>
        <w:t xml:space="preserve">rate </w:t>
      </w:r>
      <w:r w:rsidR="003435C7" w:rsidRPr="00D5151B">
        <w:rPr>
          <w:rFonts w:asciiTheme="majorBidi" w:hAnsiTheme="majorBidi" w:cstheme="majorBidi"/>
        </w:rPr>
        <w:t xml:space="preserve">and the subsequent realized 10 year growth (as a proxy to what should have been the expected growth). One can see that after Bretton Woods, the rate is almost always greater than </w:t>
      </w:r>
      <w:r w:rsidR="000D2554" w:rsidRPr="00D5151B">
        <w:rPr>
          <w:rFonts w:asciiTheme="majorBidi" w:hAnsiTheme="majorBidi" w:cstheme="majorBidi"/>
        </w:rPr>
        <w:t xml:space="preserve">the relevant corresponding </w:t>
      </w:r>
      <w:r w:rsidR="003435C7" w:rsidRPr="00D5151B">
        <w:rPr>
          <w:rFonts w:asciiTheme="majorBidi" w:hAnsiTheme="majorBidi" w:cstheme="majorBidi"/>
        </w:rPr>
        <w:t>growth</w:t>
      </w:r>
      <w:r w:rsidR="000B15C8" w:rsidRPr="00D5151B">
        <w:rPr>
          <w:rFonts w:asciiTheme="majorBidi" w:hAnsiTheme="majorBidi" w:cstheme="majorBidi"/>
        </w:rPr>
        <w:t xml:space="preserve">. </w:t>
      </w:r>
      <w:r w:rsidR="000B0590" w:rsidRPr="00D5151B">
        <w:rPr>
          <w:rFonts w:asciiTheme="majorBidi" w:hAnsiTheme="majorBidi" w:cstheme="majorBidi"/>
        </w:rPr>
        <w:t xml:space="preserve">Although </w:t>
      </w:r>
      <w:r w:rsidR="00D365A7" w:rsidRPr="00D5151B">
        <w:rPr>
          <w:rFonts w:asciiTheme="majorBidi" w:hAnsiTheme="majorBidi" w:cstheme="majorBidi"/>
        </w:rPr>
        <w:t xml:space="preserve">in certain short term circumstances </w:t>
      </w:r>
      <w:r w:rsidR="00DA36C5" w:rsidRPr="00D5151B">
        <w:rPr>
          <w:rFonts w:asciiTheme="majorBidi" w:hAnsiTheme="majorBidi" w:cstheme="majorBidi"/>
        </w:rPr>
        <w:t>the cyclical benefits may justify the costs, t</w:t>
      </w:r>
      <w:r w:rsidR="000B15C8" w:rsidRPr="00D5151B">
        <w:rPr>
          <w:rFonts w:asciiTheme="majorBidi" w:hAnsiTheme="majorBidi" w:cstheme="majorBidi"/>
        </w:rPr>
        <w:t>aken together, th</w:t>
      </w:r>
      <w:r w:rsidR="006E325A" w:rsidRPr="00D5151B">
        <w:rPr>
          <w:rFonts w:asciiTheme="majorBidi" w:hAnsiTheme="majorBidi" w:cstheme="majorBidi"/>
        </w:rPr>
        <w:t>is discussion suggest</w:t>
      </w:r>
      <w:r w:rsidR="00A219C9" w:rsidRPr="00D5151B">
        <w:rPr>
          <w:rFonts w:asciiTheme="majorBidi" w:hAnsiTheme="majorBidi" w:cstheme="majorBidi"/>
        </w:rPr>
        <w:t>s</w:t>
      </w:r>
      <w:r w:rsidR="006E325A" w:rsidRPr="00D5151B">
        <w:rPr>
          <w:rFonts w:asciiTheme="majorBidi" w:hAnsiTheme="majorBidi" w:cstheme="majorBidi"/>
        </w:rPr>
        <w:t xml:space="preserve"> there are risks embedded in safe assets</w:t>
      </w:r>
      <w:r w:rsidR="001101D5" w:rsidRPr="00D5151B">
        <w:rPr>
          <w:rFonts w:asciiTheme="majorBidi" w:hAnsiTheme="majorBidi" w:cstheme="majorBidi"/>
        </w:rPr>
        <w:t>,</w:t>
      </w:r>
      <w:r w:rsidR="006E325A" w:rsidRPr="00D5151B">
        <w:rPr>
          <w:rFonts w:asciiTheme="majorBidi" w:hAnsiTheme="majorBidi" w:cstheme="majorBidi"/>
        </w:rPr>
        <w:t xml:space="preserve"> and that increasing their quantity in the form of increased debt </w:t>
      </w:r>
      <w:r w:rsidR="00B046A9" w:rsidRPr="00D5151B">
        <w:rPr>
          <w:rFonts w:asciiTheme="majorBidi" w:hAnsiTheme="majorBidi" w:cstheme="majorBidi"/>
        </w:rPr>
        <w:t xml:space="preserve">questions whether it can </w:t>
      </w:r>
      <w:r w:rsidR="006E325A" w:rsidRPr="00D5151B">
        <w:rPr>
          <w:rFonts w:asciiTheme="majorBidi" w:hAnsiTheme="majorBidi" w:cstheme="majorBidi"/>
        </w:rPr>
        <w:t>be done without fiscal costs</w:t>
      </w:r>
      <w:r w:rsidR="00B046A9" w:rsidRPr="00D5151B">
        <w:rPr>
          <w:rFonts w:asciiTheme="majorBidi" w:hAnsiTheme="majorBidi" w:cstheme="majorBidi"/>
        </w:rPr>
        <w:t>.</w:t>
      </w:r>
      <w:r w:rsidR="003E18E1" w:rsidRPr="00D5151B">
        <w:rPr>
          <w:rFonts w:asciiTheme="majorBidi" w:hAnsiTheme="majorBidi" w:cstheme="majorBidi"/>
        </w:rPr>
        <w:t xml:space="preserve"> </w:t>
      </w:r>
    </w:p>
    <w:p w:rsidR="00552A2F" w:rsidRPr="00D5151B" w:rsidRDefault="00552A2F" w:rsidP="004779BA">
      <w:pPr>
        <w:widowControl w:val="0"/>
        <w:autoSpaceDE w:val="0"/>
        <w:autoSpaceDN w:val="0"/>
        <w:adjustRightInd w:val="0"/>
        <w:spacing w:after="240" w:line="360" w:lineRule="auto"/>
        <w:jc w:val="both"/>
        <w:rPr>
          <w:rFonts w:asciiTheme="majorBidi" w:hAnsiTheme="majorBidi" w:cstheme="majorBidi"/>
        </w:rPr>
      </w:pPr>
    </w:p>
    <w:p w:rsidR="003E18E1" w:rsidRPr="00D5151B" w:rsidRDefault="003E18E1" w:rsidP="002D4887">
      <w:pPr>
        <w:widowControl w:val="0"/>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Thank you!</w:t>
      </w:r>
    </w:p>
    <w:p w:rsidR="004D285F" w:rsidRPr="00D5151B" w:rsidRDefault="004D285F" w:rsidP="007C5289">
      <w:pPr>
        <w:widowControl w:val="0"/>
        <w:autoSpaceDE w:val="0"/>
        <w:autoSpaceDN w:val="0"/>
        <w:adjustRightInd w:val="0"/>
        <w:spacing w:after="240" w:line="360" w:lineRule="auto"/>
        <w:jc w:val="both"/>
        <w:rPr>
          <w:rFonts w:asciiTheme="majorBidi" w:hAnsiTheme="majorBidi" w:cstheme="majorBidi"/>
        </w:rPr>
      </w:pPr>
    </w:p>
    <w:p w:rsidR="003435C7" w:rsidRPr="00D5151B" w:rsidRDefault="003435C7" w:rsidP="00D62A1A">
      <w:pPr>
        <w:widowControl w:val="0"/>
        <w:autoSpaceDE w:val="0"/>
        <w:autoSpaceDN w:val="0"/>
        <w:adjustRightInd w:val="0"/>
        <w:spacing w:after="240" w:line="360" w:lineRule="auto"/>
        <w:jc w:val="both"/>
        <w:rPr>
          <w:rFonts w:ascii="Times" w:hAnsi="Times" w:cs="Times"/>
        </w:rPr>
      </w:pPr>
    </w:p>
    <w:p w:rsidR="00C03EF4" w:rsidRPr="00D5151B" w:rsidRDefault="00C03EF4">
      <w:pPr>
        <w:rPr>
          <w:rFonts w:ascii="Times" w:hAnsi="Times" w:cs="Times"/>
        </w:rPr>
      </w:pPr>
      <w:r w:rsidRPr="00D5151B">
        <w:rPr>
          <w:rFonts w:ascii="Times" w:hAnsi="Times" w:cs="Times"/>
        </w:rPr>
        <w:br w:type="page"/>
      </w:r>
    </w:p>
    <w:p w:rsidR="00B12826" w:rsidRPr="00D5151B" w:rsidRDefault="00B12826" w:rsidP="00B12826">
      <w:pPr>
        <w:pStyle w:val="ad"/>
        <w:widowControl w:val="0"/>
        <w:autoSpaceDE w:val="0"/>
        <w:autoSpaceDN w:val="0"/>
        <w:adjustRightInd w:val="0"/>
        <w:spacing w:after="240" w:line="360" w:lineRule="auto"/>
        <w:jc w:val="both"/>
        <w:rPr>
          <w:rFonts w:ascii="Times" w:hAnsi="Times" w:cs="Times"/>
          <w:b/>
          <w:bCs/>
        </w:rPr>
      </w:pPr>
      <w:r w:rsidRPr="00D5151B">
        <w:rPr>
          <w:rFonts w:ascii="Times" w:hAnsi="Times" w:cs="Times"/>
          <w:b/>
          <w:bCs/>
        </w:rPr>
        <w:lastRenderedPageBreak/>
        <w:t>REFERENCES</w:t>
      </w:r>
    </w:p>
    <w:p w:rsidR="008D7C0B" w:rsidRPr="00D5151B" w:rsidRDefault="00B12826" w:rsidP="008D7C0B">
      <w:pPr>
        <w:pStyle w:val="ae"/>
        <w:numPr>
          <w:ilvl w:val="0"/>
          <w:numId w:val="2"/>
        </w:numPr>
        <w:tabs>
          <w:tab w:val="left" w:pos="4410"/>
        </w:tabs>
        <w:spacing w:line="360" w:lineRule="auto"/>
        <w:rPr>
          <w:rFonts w:asciiTheme="majorBidi" w:hAnsiTheme="majorBidi" w:cstheme="majorBidi"/>
          <w:sz w:val="24"/>
          <w:szCs w:val="24"/>
          <w:lang w:bidi="he-IL"/>
        </w:rPr>
      </w:pPr>
      <w:r w:rsidRPr="00D5151B">
        <w:rPr>
          <w:rFonts w:asciiTheme="majorBidi" w:hAnsiTheme="majorBidi" w:cstheme="majorBidi"/>
          <w:sz w:val="24"/>
          <w:szCs w:val="24"/>
          <w:lang w:bidi="he-IL"/>
        </w:rPr>
        <w:t>Brender</w:t>
      </w:r>
      <w:r w:rsidR="00BA1F89" w:rsidRPr="00D5151B">
        <w:rPr>
          <w:rFonts w:asciiTheme="majorBidi" w:hAnsiTheme="majorBidi" w:cstheme="majorBidi"/>
          <w:sz w:val="24"/>
          <w:szCs w:val="24"/>
          <w:lang w:bidi="he-IL"/>
        </w:rPr>
        <w:t xml:space="preserve"> Adi</w:t>
      </w:r>
      <w:r w:rsidRPr="00D5151B">
        <w:rPr>
          <w:rFonts w:asciiTheme="majorBidi" w:hAnsiTheme="majorBidi" w:cstheme="majorBidi"/>
          <w:sz w:val="24"/>
          <w:szCs w:val="24"/>
          <w:lang w:bidi="he-IL"/>
        </w:rPr>
        <w:t xml:space="preserve"> &amp; Sigal Ribon, 2015. "</w:t>
      </w:r>
      <w:hyperlink r:id="rId9" w:history="1">
        <w:r w:rsidRPr="00D5151B">
          <w:rPr>
            <w:rFonts w:asciiTheme="majorBidi" w:hAnsiTheme="majorBidi" w:cstheme="majorBidi"/>
            <w:sz w:val="24"/>
            <w:szCs w:val="24"/>
            <w:lang w:bidi="he-IL"/>
          </w:rPr>
          <w:t>The Effect of Fiscal and Monetary Policies and the Global Economy on Real Yields of Israel Government Bonds</w:t>
        </w:r>
      </w:hyperlink>
      <w:r w:rsidRPr="00D5151B">
        <w:rPr>
          <w:rFonts w:asciiTheme="majorBidi" w:hAnsiTheme="majorBidi" w:cstheme="majorBidi"/>
          <w:sz w:val="24"/>
          <w:szCs w:val="24"/>
          <w:lang w:bidi="he-IL"/>
        </w:rPr>
        <w:t>," </w:t>
      </w:r>
      <w:hyperlink r:id="rId10" w:history="1">
        <w:r w:rsidRPr="00D5151B">
          <w:rPr>
            <w:rFonts w:asciiTheme="majorBidi" w:hAnsiTheme="majorBidi" w:cstheme="majorBidi"/>
            <w:sz w:val="24"/>
            <w:szCs w:val="24"/>
            <w:lang w:bidi="he-IL"/>
          </w:rPr>
          <w:t>Bank of Israel Working Papers</w:t>
        </w:r>
      </w:hyperlink>
      <w:r w:rsidRPr="00D5151B">
        <w:rPr>
          <w:rFonts w:asciiTheme="majorBidi" w:hAnsiTheme="majorBidi" w:cstheme="majorBidi"/>
          <w:sz w:val="24"/>
          <w:szCs w:val="24"/>
          <w:lang w:bidi="he-IL"/>
        </w:rPr>
        <w:t> 2015.02, Bank of Israel.</w:t>
      </w:r>
    </w:p>
    <w:p w:rsidR="008D7C0B" w:rsidRPr="00D5151B" w:rsidRDefault="008D7C0B" w:rsidP="008D7C0B">
      <w:pPr>
        <w:pStyle w:val="ae"/>
        <w:numPr>
          <w:ilvl w:val="0"/>
          <w:numId w:val="2"/>
        </w:numPr>
        <w:tabs>
          <w:tab w:val="left" w:pos="4410"/>
        </w:tabs>
        <w:spacing w:line="360" w:lineRule="auto"/>
        <w:rPr>
          <w:rFonts w:asciiTheme="majorBidi" w:hAnsiTheme="majorBidi" w:cstheme="majorBidi"/>
          <w:sz w:val="24"/>
          <w:szCs w:val="24"/>
          <w:lang w:bidi="he-IL"/>
        </w:rPr>
      </w:pPr>
      <w:r w:rsidRPr="00D5151B">
        <w:rPr>
          <w:rFonts w:asciiTheme="majorBidi" w:hAnsiTheme="majorBidi" w:cstheme="majorBidi"/>
          <w:sz w:val="24"/>
          <w:szCs w:val="24"/>
          <w:lang w:bidi="he-IL"/>
        </w:rPr>
        <w:t xml:space="preserve">Blanchard Olivier, 2019, “Public Debt and Low Interest Rates,” American Economic Review,” Vol 109, 4, 1197-1229. </w:t>
      </w:r>
    </w:p>
    <w:p w:rsidR="0002513F" w:rsidRPr="00D5151B" w:rsidRDefault="00112342"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lang w:bidi="he-IL"/>
        </w:rPr>
        <w:t>Du, Wenxin, and Jesse Schreger. "Local currency sovereign risk." The Journal of Finance 71.3 (2016): 1027-1070.</w:t>
      </w:r>
    </w:p>
    <w:p w:rsidR="0002513F" w:rsidRPr="00D5151B" w:rsidRDefault="0002513F"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imes" w:hAnsi="Times" w:cs="Times"/>
        </w:rPr>
        <w:t>Kalemli-Ozcan Sebnem</w:t>
      </w:r>
      <w:r w:rsidRPr="00D5151B">
        <w:rPr>
          <w:rFonts w:asciiTheme="majorBidi" w:hAnsiTheme="majorBidi" w:cstheme="majorBidi"/>
          <w:lang w:bidi="he-IL"/>
        </w:rPr>
        <w:t>, 2019 “U.S. Monetary Policy and International Risk Spillovers”. JH Symposium.</w:t>
      </w:r>
    </w:p>
    <w:p w:rsidR="0002513F" w:rsidRPr="00D5151B" w:rsidRDefault="00112342"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lang w:bidi="he-IL"/>
        </w:rPr>
        <w:t>Krishnamurthy Arvind and Hanno Lustig, 2019, “Mind the Gap in Sovereign Debt Markets: The U.S. Treasury basis and the Dollar Risk Factor” Stanford GSB, working paper.</w:t>
      </w:r>
    </w:p>
    <w:p w:rsidR="0002513F" w:rsidRPr="00D5151B" w:rsidRDefault="002C71D6"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rPr>
        <w:t>K</w:t>
      </w:r>
      <w:r w:rsidR="00596739" w:rsidRPr="00D5151B">
        <w:rPr>
          <w:rFonts w:asciiTheme="majorBidi" w:hAnsiTheme="majorBidi" w:cstheme="majorBidi"/>
        </w:rPr>
        <w:t>r</w:t>
      </w:r>
      <w:r w:rsidRPr="00D5151B">
        <w:rPr>
          <w:rFonts w:asciiTheme="majorBidi" w:hAnsiTheme="majorBidi" w:cstheme="majorBidi"/>
        </w:rPr>
        <w:t>ishnamurthy Arvind</w:t>
      </w:r>
      <w:r w:rsidR="008D7C0B" w:rsidRPr="00D5151B">
        <w:rPr>
          <w:rFonts w:asciiTheme="majorBidi" w:hAnsiTheme="majorBidi" w:cstheme="majorBidi"/>
        </w:rPr>
        <w:t xml:space="preserve"> </w:t>
      </w:r>
      <w:r w:rsidRPr="00D5151B">
        <w:rPr>
          <w:rFonts w:asciiTheme="majorBidi" w:hAnsiTheme="majorBidi" w:cstheme="majorBidi"/>
        </w:rPr>
        <w:t>and</w:t>
      </w:r>
      <w:r w:rsidR="008D7C0B" w:rsidRPr="00D5151B">
        <w:rPr>
          <w:rFonts w:asciiTheme="majorBidi" w:hAnsiTheme="majorBidi" w:cstheme="majorBidi"/>
        </w:rPr>
        <w:t xml:space="preserve"> </w:t>
      </w:r>
      <w:r w:rsidRPr="00D5151B">
        <w:rPr>
          <w:rFonts w:asciiTheme="majorBidi" w:hAnsiTheme="majorBidi" w:cstheme="majorBidi"/>
        </w:rPr>
        <w:t>Annette Vissing-Jorgensen, 2012, “The Aggregate Demand for Treasury Debt,” Journal of Political Economy, Vol. 120, No.2, pp. 233-267.</w:t>
      </w:r>
    </w:p>
    <w:p w:rsidR="0002513F" w:rsidRPr="00D5151B" w:rsidRDefault="00BA1F89"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lang w:bidi="he-IL"/>
        </w:rPr>
        <w:t xml:space="preserve">Law </w:t>
      </w:r>
      <w:r w:rsidR="00B12826" w:rsidRPr="00D5151B">
        <w:rPr>
          <w:rFonts w:asciiTheme="majorBidi" w:hAnsiTheme="majorBidi" w:cstheme="majorBidi"/>
          <w:lang w:bidi="he-IL"/>
        </w:rPr>
        <w:t>Tzuo, Dongho Song, and Amir Yaron, 2016, “Fearing the Fed: How Wall Street Reads Main Street”, The Wharton School, working paper, revised 2019.</w:t>
      </w:r>
    </w:p>
    <w:p w:rsidR="0002513F" w:rsidRPr="00D5151B" w:rsidRDefault="00B12826"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lang w:bidi="he-IL"/>
        </w:rPr>
        <w:t>Liu</w:t>
      </w:r>
      <w:r w:rsidR="00BA1F89" w:rsidRPr="00D5151B">
        <w:rPr>
          <w:rFonts w:asciiTheme="majorBidi" w:hAnsiTheme="majorBidi" w:cstheme="majorBidi"/>
          <w:lang w:bidi="he-IL"/>
        </w:rPr>
        <w:t xml:space="preserve"> Yang</w:t>
      </w:r>
      <w:r w:rsidRPr="00D5151B">
        <w:rPr>
          <w:rFonts w:asciiTheme="majorBidi" w:hAnsiTheme="majorBidi" w:cstheme="majorBidi"/>
          <w:lang w:bidi="he-IL"/>
        </w:rPr>
        <w:t>, Lukas Schmid, and Amir Yaron, 201</w:t>
      </w:r>
      <w:r w:rsidR="00B40969" w:rsidRPr="00D5151B">
        <w:rPr>
          <w:rFonts w:asciiTheme="majorBidi" w:hAnsiTheme="majorBidi" w:cstheme="majorBidi"/>
          <w:lang w:bidi="he-IL"/>
        </w:rPr>
        <w:t>9</w:t>
      </w:r>
      <w:r w:rsidRPr="00D5151B">
        <w:rPr>
          <w:rFonts w:asciiTheme="majorBidi" w:hAnsiTheme="majorBidi" w:cstheme="majorBidi"/>
          <w:lang w:bidi="he-IL"/>
        </w:rPr>
        <w:t>, “The Risks in Safe Assets,” Fuqua School of Business, working paper</w:t>
      </w:r>
      <w:r w:rsidR="008D7C0B" w:rsidRPr="00D5151B">
        <w:rPr>
          <w:rFonts w:asciiTheme="majorBidi" w:hAnsiTheme="majorBidi" w:cstheme="majorBidi"/>
          <w:lang w:bidi="he-IL"/>
        </w:rPr>
        <w:t>.</w:t>
      </w:r>
    </w:p>
    <w:p w:rsidR="0002513F" w:rsidRPr="00D5151B" w:rsidRDefault="00112342"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lang w:bidi="he-IL"/>
        </w:rPr>
        <w:t>Rey Helene, 201</w:t>
      </w:r>
      <w:r w:rsidR="00B40969" w:rsidRPr="00D5151B">
        <w:rPr>
          <w:rFonts w:asciiTheme="majorBidi" w:hAnsiTheme="majorBidi" w:cstheme="majorBidi"/>
          <w:lang w:bidi="he-IL"/>
        </w:rPr>
        <w:t>8</w:t>
      </w:r>
      <w:r w:rsidRPr="00D5151B">
        <w:rPr>
          <w:rFonts w:asciiTheme="majorBidi" w:hAnsiTheme="majorBidi" w:cstheme="majorBidi"/>
          <w:lang w:bidi="he-IL"/>
        </w:rPr>
        <w:t xml:space="preserve">, </w:t>
      </w:r>
      <w:r w:rsidR="008E3972" w:rsidRPr="00D5151B">
        <w:rPr>
          <w:rFonts w:asciiTheme="majorBidi" w:hAnsiTheme="majorBidi" w:cstheme="majorBidi"/>
          <w:lang w:bidi="he-IL"/>
        </w:rPr>
        <w:t>“</w:t>
      </w:r>
      <w:r w:rsidRPr="00D5151B">
        <w:rPr>
          <w:rFonts w:asciiTheme="majorBidi" w:hAnsiTheme="majorBidi" w:cstheme="majorBidi"/>
          <w:lang w:bidi="he-IL"/>
        </w:rPr>
        <w:t>Dilemma not Trilemma: The Global Financial Cycle and Monetary Policy Independence,” NBER Working Paper No. 21162</w:t>
      </w:r>
      <w:r w:rsidR="00B40969" w:rsidRPr="00D5151B">
        <w:rPr>
          <w:rFonts w:asciiTheme="majorBidi" w:hAnsiTheme="majorBidi" w:cstheme="majorBidi"/>
          <w:lang w:bidi="he-IL"/>
        </w:rPr>
        <w:t>.</w:t>
      </w:r>
    </w:p>
    <w:p w:rsidR="00112342" w:rsidRPr="00D5151B" w:rsidRDefault="00112342" w:rsidP="0002513F">
      <w:pPr>
        <w:pStyle w:val="ad"/>
        <w:widowControl w:val="0"/>
        <w:numPr>
          <w:ilvl w:val="0"/>
          <w:numId w:val="2"/>
        </w:numPr>
        <w:tabs>
          <w:tab w:val="left" w:pos="4410"/>
        </w:tabs>
        <w:autoSpaceDE w:val="0"/>
        <w:autoSpaceDN w:val="0"/>
        <w:adjustRightInd w:val="0"/>
        <w:spacing w:after="240" w:line="360" w:lineRule="auto"/>
        <w:jc w:val="both"/>
        <w:rPr>
          <w:rFonts w:asciiTheme="majorBidi" w:hAnsiTheme="majorBidi" w:cstheme="majorBidi"/>
        </w:rPr>
      </w:pPr>
      <w:r w:rsidRPr="00D5151B">
        <w:rPr>
          <w:rFonts w:asciiTheme="majorBidi" w:hAnsiTheme="majorBidi" w:cstheme="majorBidi"/>
          <w:lang w:bidi="he-IL"/>
        </w:rPr>
        <w:t>Shalom Gilad, 2019, "The Impact of Yields Abroad and the Public Debt on Real Yields of Israeli Government Bonds: A Reexamination", Selected Research and Policy Analysis Notes, February 2019, Bank of Israel.</w:t>
      </w:r>
    </w:p>
    <w:p w:rsidR="00FC187E" w:rsidRPr="00D5151B" w:rsidRDefault="00FC187E" w:rsidP="00CE391A">
      <w:pPr>
        <w:widowControl w:val="0"/>
        <w:autoSpaceDE w:val="0"/>
        <w:autoSpaceDN w:val="0"/>
        <w:adjustRightInd w:val="0"/>
        <w:spacing w:after="240" w:line="360" w:lineRule="auto"/>
        <w:jc w:val="both"/>
        <w:rPr>
          <w:rFonts w:ascii="Times" w:hAnsi="Times" w:cs="Times"/>
        </w:rPr>
      </w:pPr>
    </w:p>
    <w:sectPr w:rsidR="00FC187E" w:rsidRPr="00D5151B" w:rsidSect="006D36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A2" w:rsidRDefault="00260AA2" w:rsidP="009D7775">
      <w:r>
        <w:separator/>
      </w:r>
    </w:p>
  </w:endnote>
  <w:endnote w:type="continuationSeparator" w:id="0">
    <w:p w:rsidR="00260AA2" w:rsidRDefault="00260AA2" w:rsidP="009D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4D" w:rsidRDefault="00CB354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56823"/>
      <w:docPartObj>
        <w:docPartGallery w:val="Page Numbers (Bottom of Page)"/>
        <w:docPartUnique/>
      </w:docPartObj>
    </w:sdtPr>
    <w:sdtEndPr>
      <w:rPr>
        <w:cs/>
      </w:rPr>
    </w:sdtEndPr>
    <w:sdtContent>
      <w:p w:rsidR="00B75BAD" w:rsidRDefault="00B75BAD">
        <w:pPr>
          <w:pStyle w:val="af4"/>
          <w:jc w:val="center"/>
          <w:rPr>
            <w:rtl/>
            <w:cs/>
          </w:rPr>
        </w:pPr>
        <w:r>
          <w:fldChar w:fldCharType="begin"/>
        </w:r>
        <w:r>
          <w:rPr>
            <w:rtl/>
            <w:cs/>
          </w:rPr>
          <w:instrText>PAGE   \* MERGEFORMAT</w:instrText>
        </w:r>
        <w:r>
          <w:fldChar w:fldCharType="separate"/>
        </w:r>
        <w:r w:rsidR="00AE53A6" w:rsidRPr="00AE53A6">
          <w:rPr>
            <w:rFonts w:cs="Calibri"/>
            <w:noProof/>
            <w:lang w:val="he-IL" w:bidi="he-IL"/>
          </w:rPr>
          <w:t>8</w:t>
        </w:r>
        <w:r>
          <w:fldChar w:fldCharType="end"/>
        </w:r>
      </w:p>
    </w:sdtContent>
  </w:sdt>
  <w:p w:rsidR="00B75BAD" w:rsidRDefault="00B75BA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4D" w:rsidRDefault="00CB354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A2" w:rsidRDefault="00260AA2" w:rsidP="009D7775">
      <w:r>
        <w:separator/>
      </w:r>
    </w:p>
  </w:footnote>
  <w:footnote w:type="continuationSeparator" w:id="0">
    <w:p w:rsidR="00260AA2" w:rsidRDefault="00260AA2" w:rsidP="009D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4D" w:rsidRDefault="00CB354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4D" w:rsidRDefault="00CB354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4D" w:rsidRDefault="00CB354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155EA"/>
    <w:multiLevelType w:val="hybridMultilevel"/>
    <w:tmpl w:val="9672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05F4C"/>
    <w:multiLevelType w:val="hybridMultilevel"/>
    <w:tmpl w:val="7D10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A54EF"/>
    <w:multiLevelType w:val="hybridMultilevel"/>
    <w:tmpl w:val="D9E4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302BB"/>
    <w:multiLevelType w:val="hybridMultilevel"/>
    <w:tmpl w:val="D9E4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23853"/>
    <w:multiLevelType w:val="hybridMultilevel"/>
    <w:tmpl w:val="DD466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0D"/>
    <w:rsid w:val="00006D7A"/>
    <w:rsid w:val="00013BEE"/>
    <w:rsid w:val="00020AD3"/>
    <w:rsid w:val="000233D7"/>
    <w:rsid w:val="00024D6A"/>
    <w:rsid w:val="0002513F"/>
    <w:rsid w:val="000262F9"/>
    <w:rsid w:val="00026EFA"/>
    <w:rsid w:val="00027EAD"/>
    <w:rsid w:val="000327BD"/>
    <w:rsid w:val="0003438B"/>
    <w:rsid w:val="00040AAA"/>
    <w:rsid w:val="00041426"/>
    <w:rsid w:val="00045A26"/>
    <w:rsid w:val="000549C2"/>
    <w:rsid w:val="0006273F"/>
    <w:rsid w:val="00064EA5"/>
    <w:rsid w:val="00070766"/>
    <w:rsid w:val="00071724"/>
    <w:rsid w:val="00082D64"/>
    <w:rsid w:val="0009245D"/>
    <w:rsid w:val="000A2CFA"/>
    <w:rsid w:val="000A49BD"/>
    <w:rsid w:val="000A771C"/>
    <w:rsid w:val="000B0590"/>
    <w:rsid w:val="000B15C8"/>
    <w:rsid w:val="000B72E9"/>
    <w:rsid w:val="000C535C"/>
    <w:rsid w:val="000D1A69"/>
    <w:rsid w:val="000D2554"/>
    <w:rsid w:val="000F2363"/>
    <w:rsid w:val="000F7B2C"/>
    <w:rsid w:val="001101D5"/>
    <w:rsid w:val="00112342"/>
    <w:rsid w:val="00113323"/>
    <w:rsid w:val="00115EDE"/>
    <w:rsid w:val="00125C6E"/>
    <w:rsid w:val="00126D0C"/>
    <w:rsid w:val="00131CA1"/>
    <w:rsid w:val="0014027C"/>
    <w:rsid w:val="001432B0"/>
    <w:rsid w:val="00144A63"/>
    <w:rsid w:val="00147EE7"/>
    <w:rsid w:val="00151226"/>
    <w:rsid w:val="001533A2"/>
    <w:rsid w:val="00153BF5"/>
    <w:rsid w:val="00153CFE"/>
    <w:rsid w:val="00165E97"/>
    <w:rsid w:val="00167902"/>
    <w:rsid w:val="00167AED"/>
    <w:rsid w:val="00175329"/>
    <w:rsid w:val="001761D8"/>
    <w:rsid w:val="00183A16"/>
    <w:rsid w:val="0018673C"/>
    <w:rsid w:val="001A1735"/>
    <w:rsid w:val="001A1DDB"/>
    <w:rsid w:val="001B2405"/>
    <w:rsid w:val="001B6C9E"/>
    <w:rsid w:val="001C5E88"/>
    <w:rsid w:val="001C7284"/>
    <w:rsid w:val="001F5D58"/>
    <w:rsid w:val="00220A88"/>
    <w:rsid w:val="00224527"/>
    <w:rsid w:val="002270BA"/>
    <w:rsid w:val="00231625"/>
    <w:rsid w:val="0024530D"/>
    <w:rsid w:val="00251A38"/>
    <w:rsid w:val="00253965"/>
    <w:rsid w:val="00256EE2"/>
    <w:rsid w:val="002575DF"/>
    <w:rsid w:val="00257B1A"/>
    <w:rsid w:val="00260AA2"/>
    <w:rsid w:val="002622C8"/>
    <w:rsid w:val="0026541B"/>
    <w:rsid w:val="00274225"/>
    <w:rsid w:val="00275792"/>
    <w:rsid w:val="00283FDA"/>
    <w:rsid w:val="002B3CCB"/>
    <w:rsid w:val="002B759A"/>
    <w:rsid w:val="002C0F2F"/>
    <w:rsid w:val="002C2CF4"/>
    <w:rsid w:val="002C3019"/>
    <w:rsid w:val="002C5F3E"/>
    <w:rsid w:val="002C71D6"/>
    <w:rsid w:val="002D4887"/>
    <w:rsid w:val="002D6ED8"/>
    <w:rsid w:val="002D7C1F"/>
    <w:rsid w:val="002E006D"/>
    <w:rsid w:val="002E154A"/>
    <w:rsid w:val="002F3965"/>
    <w:rsid w:val="00306435"/>
    <w:rsid w:val="00307BF8"/>
    <w:rsid w:val="00313ED7"/>
    <w:rsid w:val="00314C4D"/>
    <w:rsid w:val="00317257"/>
    <w:rsid w:val="003207CC"/>
    <w:rsid w:val="00324A12"/>
    <w:rsid w:val="003404F0"/>
    <w:rsid w:val="003435C7"/>
    <w:rsid w:val="00352F0B"/>
    <w:rsid w:val="003550E8"/>
    <w:rsid w:val="00355129"/>
    <w:rsid w:val="003562AB"/>
    <w:rsid w:val="00367500"/>
    <w:rsid w:val="003776E4"/>
    <w:rsid w:val="0038293F"/>
    <w:rsid w:val="0038464E"/>
    <w:rsid w:val="00384654"/>
    <w:rsid w:val="00386B2D"/>
    <w:rsid w:val="003939FC"/>
    <w:rsid w:val="00396D95"/>
    <w:rsid w:val="003A2C41"/>
    <w:rsid w:val="003A5616"/>
    <w:rsid w:val="003A583E"/>
    <w:rsid w:val="003A6BD8"/>
    <w:rsid w:val="003A6C34"/>
    <w:rsid w:val="003B5629"/>
    <w:rsid w:val="003D7A3C"/>
    <w:rsid w:val="003E18E1"/>
    <w:rsid w:val="003F0D51"/>
    <w:rsid w:val="00404246"/>
    <w:rsid w:val="00431841"/>
    <w:rsid w:val="00434F41"/>
    <w:rsid w:val="004363DB"/>
    <w:rsid w:val="00443704"/>
    <w:rsid w:val="00451C1C"/>
    <w:rsid w:val="00472632"/>
    <w:rsid w:val="004779BA"/>
    <w:rsid w:val="00493070"/>
    <w:rsid w:val="00495716"/>
    <w:rsid w:val="004A5ABE"/>
    <w:rsid w:val="004B0BD9"/>
    <w:rsid w:val="004B34DD"/>
    <w:rsid w:val="004D285F"/>
    <w:rsid w:val="004E383C"/>
    <w:rsid w:val="004E3FA9"/>
    <w:rsid w:val="004E56F0"/>
    <w:rsid w:val="004F33E2"/>
    <w:rsid w:val="00500EC5"/>
    <w:rsid w:val="0050438E"/>
    <w:rsid w:val="00504A82"/>
    <w:rsid w:val="00512CF5"/>
    <w:rsid w:val="00522B2F"/>
    <w:rsid w:val="00522F0A"/>
    <w:rsid w:val="00532C5B"/>
    <w:rsid w:val="005363FB"/>
    <w:rsid w:val="005423F4"/>
    <w:rsid w:val="00552260"/>
    <w:rsid w:val="00552A2F"/>
    <w:rsid w:val="00554603"/>
    <w:rsid w:val="00555DAF"/>
    <w:rsid w:val="00557580"/>
    <w:rsid w:val="00560697"/>
    <w:rsid w:val="00562566"/>
    <w:rsid w:val="00565D05"/>
    <w:rsid w:val="00576624"/>
    <w:rsid w:val="00587DAD"/>
    <w:rsid w:val="00593F0E"/>
    <w:rsid w:val="00596739"/>
    <w:rsid w:val="005B169C"/>
    <w:rsid w:val="005B3C42"/>
    <w:rsid w:val="005C09AB"/>
    <w:rsid w:val="005C2181"/>
    <w:rsid w:val="005C6052"/>
    <w:rsid w:val="005C6BC4"/>
    <w:rsid w:val="005E5389"/>
    <w:rsid w:val="005F1592"/>
    <w:rsid w:val="005F5220"/>
    <w:rsid w:val="005F6A4C"/>
    <w:rsid w:val="005F7A10"/>
    <w:rsid w:val="00602F70"/>
    <w:rsid w:val="00605C9D"/>
    <w:rsid w:val="00616BCE"/>
    <w:rsid w:val="006221FF"/>
    <w:rsid w:val="0063183A"/>
    <w:rsid w:val="00631FFF"/>
    <w:rsid w:val="00632214"/>
    <w:rsid w:val="0064165B"/>
    <w:rsid w:val="00641751"/>
    <w:rsid w:val="006420F9"/>
    <w:rsid w:val="0065597C"/>
    <w:rsid w:val="00656FE6"/>
    <w:rsid w:val="00671CE7"/>
    <w:rsid w:val="00675780"/>
    <w:rsid w:val="00677E1A"/>
    <w:rsid w:val="00682A6A"/>
    <w:rsid w:val="0069224C"/>
    <w:rsid w:val="006A48B0"/>
    <w:rsid w:val="006B0688"/>
    <w:rsid w:val="006C5CBF"/>
    <w:rsid w:val="006D36C0"/>
    <w:rsid w:val="006D590D"/>
    <w:rsid w:val="006E325A"/>
    <w:rsid w:val="006E449B"/>
    <w:rsid w:val="006E75E8"/>
    <w:rsid w:val="006F0A21"/>
    <w:rsid w:val="006F286E"/>
    <w:rsid w:val="006F5E22"/>
    <w:rsid w:val="006F6301"/>
    <w:rsid w:val="00702C9B"/>
    <w:rsid w:val="00704D99"/>
    <w:rsid w:val="007111B7"/>
    <w:rsid w:val="007245D9"/>
    <w:rsid w:val="00726325"/>
    <w:rsid w:val="007461A5"/>
    <w:rsid w:val="00754C78"/>
    <w:rsid w:val="00762762"/>
    <w:rsid w:val="0076323A"/>
    <w:rsid w:val="00763437"/>
    <w:rsid w:val="00765B5F"/>
    <w:rsid w:val="00771E64"/>
    <w:rsid w:val="00771ECB"/>
    <w:rsid w:val="00780F8B"/>
    <w:rsid w:val="00781B35"/>
    <w:rsid w:val="0078787D"/>
    <w:rsid w:val="00791DFB"/>
    <w:rsid w:val="00793F1C"/>
    <w:rsid w:val="0079401E"/>
    <w:rsid w:val="007A0487"/>
    <w:rsid w:val="007A0DC7"/>
    <w:rsid w:val="007A37DA"/>
    <w:rsid w:val="007B5BC9"/>
    <w:rsid w:val="007B71D2"/>
    <w:rsid w:val="007C285E"/>
    <w:rsid w:val="007C5289"/>
    <w:rsid w:val="007D3A37"/>
    <w:rsid w:val="007D5271"/>
    <w:rsid w:val="007E377D"/>
    <w:rsid w:val="007E4887"/>
    <w:rsid w:val="007F5942"/>
    <w:rsid w:val="008000C6"/>
    <w:rsid w:val="00800851"/>
    <w:rsid w:val="00801265"/>
    <w:rsid w:val="00802B71"/>
    <w:rsid w:val="00806950"/>
    <w:rsid w:val="00811D5B"/>
    <w:rsid w:val="0081479A"/>
    <w:rsid w:val="00814DD0"/>
    <w:rsid w:val="008224B3"/>
    <w:rsid w:val="008234D8"/>
    <w:rsid w:val="00823B95"/>
    <w:rsid w:val="008441FF"/>
    <w:rsid w:val="00851A3A"/>
    <w:rsid w:val="0085282D"/>
    <w:rsid w:val="0085303A"/>
    <w:rsid w:val="00853178"/>
    <w:rsid w:val="00861D60"/>
    <w:rsid w:val="008851D7"/>
    <w:rsid w:val="008908FE"/>
    <w:rsid w:val="008924E5"/>
    <w:rsid w:val="008C290E"/>
    <w:rsid w:val="008C78A6"/>
    <w:rsid w:val="008C7E11"/>
    <w:rsid w:val="008D208B"/>
    <w:rsid w:val="008D367E"/>
    <w:rsid w:val="008D7C0B"/>
    <w:rsid w:val="008E3972"/>
    <w:rsid w:val="008F0D5B"/>
    <w:rsid w:val="008F14BF"/>
    <w:rsid w:val="008F574A"/>
    <w:rsid w:val="008F7C2E"/>
    <w:rsid w:val="00906FB5"/>
    <w:rsid w:val="00916345"/>
    <w:rsid w:val="009235B9"/>
    <w:rsid w:val="0094391C"/>
    <w:rsid w:val="00944008"/>
    <w:rsid w:val="009471DE"/>
    <w:rsid w:val="00951D97"/>
    <w:rsid w:val="00964FC8"/>
    <w:rsid w:val="00970F42"/>
    <w:rsid w:val="00980D85"/>
    <w:rsid w:val="00982973"/>
    <w:rsid w:val="00984B33"/>
    <w:rsid w:val="00985346"/>
    <w:rsid w:val="00990D10"/>
    <w:rsid w:val="009A70B7"/>
    <w:rsid w:val="009B2DB0"/>
    <w:rsid w:val="009B31E6"/>
    <w:rsid w:val="009D1CCD"/>
    <w:rsid w:val="009D2809"/>
    <w:rsid w:val="009D7775"/>
    <w:rsid w:val="009F06B7"/>
    <w:rsid w:val="009F28DB"/>
    <w:rsid w:val="00A01CD7"/>
    <w:rsid w:val="00A03374"/>
    <w:rsid w:val="00A07254"/>
    <w:rsid w:val="00A14C15"/>
    <w:rsid w:val="00A219C9"/>
    <w:rsid w:val="00A30D8F"/>
    <w:rsid w:val="00A36584"/>
    <w:rsid w:val="00A409A6"/>
    <w:rsid w:val="00A55B40"/>
    <w:rsid w:val="00A569A1"/>
    <w:rsid w:val="00A57C99"/>
    <w:rsid w:val="00A605B2"/>
    <w:rsid w:val="00A6107B"/>
    <w:rsid w:val="00A7172B"/>
    <w:rsid w:val="00A866AB"/>
    <w:rsid w:val="00A90BF0"/>
    <w:rsid w:val="00A926D9"/>
    <w:rsid w:val="00A935F2"/>
    <w:rsid w:val="00A94BD4"/>
    <w:rsid w:val="00AA572C"/>
    <w:rsid w:val="00AB6560"/>
    <w:rsid w:val="00AC075F"/>
    <w:rsid w:val="00AD09F6"/>
    <w:rsid w:val="00AE3171"/>
    <w:rsid w:val="00AE53A6"/>
    <w:rsid w:val="00AF11AF"/>
    <w:rsid w:val="00AF21A0"/>
    <w:rsid w:val="00AF3DFF"/>
    <w:rsid w:val="00B046A9"/>
    <w:rsid w:val="00B10673"/>
    <w:rsid w:val="00B10927"/>
    <w:rsid w:val="00B12826"/>
    <w:rsid w:val="00B23CBA"/>
    <w:rsid w:val="00B2506A"/>
    <w:rsid w:val="00B2776B"/>
    <w:rsid w:val="00B311D0"/>
    <w:rsid w:val="00B3125F"/>
    <w:rsid w:val="00B35DB1"/>
    <w:rsid w:val="00B378A7"/>
    <w:rsid w:val="00B40969"/>
    <w:rsid w:val="00B45422"/>
    <w:rsid w:val="00B5049C"/>
    <w:rsid w:val="00B52B34"/>
    <w:rsid w:val="00B5511A"/>
    <w:rsid w:val="00B648C0"/>
    <w:rsid w:val="00B73ACC"/>
    <w:rsid w:val="00B75749"/>
    <w:rsid w:val="00B75BAD"/>
    <w:rsid w:val="00B819A3"/>
    <w:rsid w:val="00B82D31"/>
    <w:rsid w:val="00B87708"/>
    <w:rsid w:val="00B90A47"/>
    <w:rsid w:val="00BA1192"/>
    <w:rsid w:val="00BA1F89"/>
    <w:rsid w:val="00BB0A7C"/>
    <w:rsid w:val="00BB34DA"/>
    <w:rsid w:val="00BB41EF"/>
    <w:rsid w:val="00BB741A"/>
    <w:rsid w:val="00BD3E33"/>
    <w:rsid w:val="00BE5DA4"/>
    <w:rsid w:val="00BF5441"/>
    <w:rsid w:val="00C03EF4"/>
    <w:rsid w:val="00C20742"/>
    <w:rsid w:val="00C23A83"/>
    <w:rsid w:val="00C23C26"/>
    <w:rsid w:val="00C24944"/>
    <w:rsid w:val="00C24B34"/>
    <w:rsid w:val="00C44816"/>
    <w:rsid w:val="00C45E59"/>
    <w:rsid w:val="00C46F36"/>
    <w:rsid w:val="00C54BF7"/>
    <w:rsid w:val="00C57D68"/>
    <w:rsid w:val="00C65DD8"/>
    <w:rsid w:val="00C72197"/>
    <w:rsid w:val="00C73159"/>
    <w:rsid w:val="00C73D50"/>
    <w:rsid w:val="00C747DA"/>
    <w:rsid w:val="00C75C60"/>
    <w:rsid w:val="00C964CC"/>
    <w:rsid w:val="00CA2AFA"/>
    <w:rsid w:val="00CA2CBE"/>
    <w:rsid w:val="00CB1820"/>
    <w:rsid w:val="00CB354D"/>
    <w:rsid w:val="00CC4291"/>
    <w:rsid w:val="00CD1316"/>
    <w:rsid w:val="00CD42F3"/>
    <w:rsid w:val="00CD7271"/>
    <w:rsid w:val="00CE22C1"/>
    <w:rsid w:val="00CE2EC0"/>
    <w:rsid w:val="00CE391A"/>
    <w:rsid w:val="00CE598A"/>
    <w:rsid w:val="00CE67E5"/>
    <w:rsid w:val="00CF1AF5"/>
    <w:rsid w:val="00CF38DB"/>
    <w:rsid w:val="00CF7D6A"/>
    <w:rsid w:val="00D01978"/>
    <w:rsid w:val="00D221AE"/>
    <w:rsid w:val="00D23A14"/>
    <w:rsid w:val="00D31D77"/>
    <w:rsid w:val="00D365A7"/>
    <w:rsid w:val="00D3715A"/>
    <w:rsid w:val="00D5151B"/>
    <w:rsid w:val="00D54330"/>
    <w:rsid w:val="00D56AF5"/>
    <w:rsid w:val="00D61EFF"/>
    <w:rsid w:val="00D62458"/>
    <w:rsid w:val="00D62A1A"/>
    <w:rsid w:val="00D72A10"/>
    <w:rsid w:val="00D84964"/>
    <w:rsid w:val="00DA00D4"/>
    <w:rsid w:val="00DA206A"/>
    <w:rsid w:val="00DA36C5"/>
    <w:rsid w:val="00DC2D07"/>
    <w:rsid w:val="00DC7388"/>
    <w:rsid w:val="00DE30BB"/>
    <w:rsid w:val="00DE6CC2"/>
    <w:rsid w:val="00DF223C"/>
    <w:rsid w:val="00DF48BE"/>
    <w:rsid w:val="00DF7F94"/>
    <w:rsid w:val="00E022D5"/>
    <w:rsid w:val="00E02E8E"/>
    <w:rsid w:val="00E03502"/>
    <w:rsid w:val="00E0418D"/>
    <w:rsid w:val="00E05D94"/>
    <w:rsid w:val="00E1211C"/>
    <w:rsid w:val="00E17063"/>
    <w:rsid w:val="00E31CD4"/>
    <w:rsid w:val="00E32AFD"/>
    <w:rsid w:val="00E334C4"/>
    <w:rsid w:val="00E3465D"/>
    <w:rsid w:val="00E41557"/>
    <w:rsid w:val="00E4688E"/>
    <w:rsid w:val="00E46BF8"/>
    <w:rsid w:val="00E51099"/>
    <w:rsid w:val="00E53ECC"/>
    <w:rsid w:val="00E67917"/>
    <w:rsid w:val="00E76313"/>
    <w:rsid w:val="00EB7024"/>
    <w:rsid w:val="00EB7E66"/>
    <w:rsid w:val="00EC0E9E"/>
    <w:rsid w:val="00EC2B43"/>
    <w:rsid w:val="00EC6D95"/>
    <w:rsid w:val="00EE0775"/>
    <w:rsid w:val="00EE17E0"/>
    <w:rsid w:val="00EE1AB6"/>
    <w:rsid w:val="00EF37A1"/>
    <w:rsid w:val="00EF4E67"/>
    <w:rsid w:val="00EF74FB"/>
    <w:rsid w:val="00F03F44"/>
    <w:rsid w:val="00F10492"/>
    <w:rsid w:val="00F1204F"/>
    <w:rsid w:val="00F1355A"/>
    <w:rsid w:val="00F14CF1"/>
    <w:rsid w:val="00F177B7"/>
    <w:rsid w:val="00F2355D"/>
    <w:rsid w:val="00F2531B"/>
    <w:rsid w:val="00F313D4"/>
    <w:rsid w:val="00F3571A"/>
    <w:rsid w:val="00F36509"/>
    <w:rsid w:val="00F43798"/>
    <w:rsid w:val="00F44786"/>
    <w:rsid w:val="00F5119E"/>
    <w:rsid w:val="00F671BA"/>
    <w:rsid w:val="00F7139A"/>
    <w:rsid w:val="00F80AEC"/>
    <w:rsid w:val="00F81D24"/>
    <w:rsid w:val="00F84335"/>
    <w:rsid w:val="00F84AD4"/>
    <w:rsid w:val="00F96A35"/>
    <w:rsid w:val="00FA013E"/>
    <w:rsid w:val="00FA1E1D"/>
    <w:rsid w:val="00FA4863"/>
    <w:rsid w:val="00FA618D"/>
    <w:rsid w:val="00FA69EF"/>
    <w:rsid w:val="00FB1BB1"/>
    <w:rsid w:val="00FC187E"/>
    <w:rsid w:val="00FC4D2E"/>
    <w:rsid w:val="00FC4DFA"/>
    <w:rsid w:val="00FC7E4B"/>
    <w:rsid w:val="00FD0F05"/>
    <w:rsid w:val="00FD4805"/>
    <w:rsid w:val="00FD713F"/>
    <w:rsid w:val="00FF4B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49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30D"/>
  </w:style>
  <w:style w:type="paragraph" w:styleId="1">
    <w:name w:val="heading 1"/>
    <w:basedOn w:val="a"/>
    <w:link w:val="10"/>
    <w:uiPriority w:val="9"/>
    <w:qFormat/>
    <w:rsid w:val="00275792"/>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paragraph" w:styleId="3">
    <w:name w:val="heading 3"/>
    <w:basedOn w:val="a"/>
    <w:next w:val="a"/>
    <w:link w:val="30"/>
    <w:uiPriority w:val="9"/>
    <w:unhideWhenUsed/>
    <w:qFormat/>
    <w:rsid w:val="002C71D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4530D"/>
    <w:rPr>
      <w:i/>
      <w:iCs/>
    </w:rPr>
  </w:style>
  <w:style w:type="paragraph" w:styleId="a4">
    <w:name w:val="Balloon Text"/>
    <w:basedOn w:val="a"/>
    <w:link w:val="a5"/>
    <w:uiPriority w:val="99"/>
    <w:semiHidden/>
    <w:unhideWhenUsed/>
    <w:rsid w:val="003776E4"/>
    <w:rPr>
      <w:rFonts w:ascii="Times New Roman" w:hAnsi="Times New Roman" w:cs="Times New Roman"/>
      <w:sz w:val="18"/>
      <w:szCs w:val="18"/>
    </w:rPr>
  </w:style>
  <w:style w:type="character" w:customStyle="1" w:styleId="a5">
    <w:name w:val="טקסט בלונים תו"/>
    <w:basedOn w:val="a0"/>
    <w:link w:val="a4"/>
    <w:uiPriority w:val="99"/>
    <w:semiHidden/>
    <w:rsid w:val="003776E4"/>
    <w:rPr>
      <w:rFonts w:ascii="Times New Roman" w:hAnsi="Times New Roman" w:cs="Times New Roman"/>
      <w:sz w:val="18"/>
      <w:szCs w:val="18"/>
    </w:rPr>
  </w:style>
  <w:style w:type="paragraph" w:styleId="a6">
    <w:name w:val="Body Text"/>
    <w:basedOn w:val="a"/>
    <w:link w:val="a7"/>
    <w:uiPriority w:val="99"/>
    <w:semiHidden/>
    <w:unhideWhenUsed/>
    <w:rsid w:val="005423F4"/>
    <w:pPr>
      <w:spacing w:after="120"/>
    </w:pPr>
  </w:style>
  <w:style w:type="character" w:customStyle="1" w:styleId="a7">
    <w:name w:val="גוף טקסט תו"/>
    <w:basedOn w:val="a0"/>
    <w:link w:val="a6"/>
    <w:uiPriority w:val="99"/>
    <w:semiHidden/>
    <w:rsid w:val="005423F4"/>
  </w:style>
  <w:style w:type="character" w:styleId="a8">
    <w:name w:val="annotation reference"/>
    <w:basedOn w:val="a0"/>
    <w:uiPriority w:val="99"/>
    <w:semiHidden/>
    <w:unhideWhenUsed/>
    <w:rsid w:val="007F5942"/>
    <w:rPr>
      <w:sz w:val="16"/>
      <w:szCs w:val="16"/>
    </w:rPr>
  </w:style>
  <w:style w:type="paragraph" w:styleId="a9">
    <w:name w:val="annotation text"/>
    <w:basedOn w:val="a"/>
    <w:link w:val="aa"/>
    <w:uiPriority w:val="99"/>
    <w:semiHidden/>
    <w:unhideWhenUsed/>
    <w:rsid w:val="007F5942"/>
    <w:rPr>
      <w:sz w:val="20"/>
      <w:szCs w:val="20"/>
    </w:rPr>
  </w:style>
  <w:style w:type="character" w:customStyle="1" w:styleId="aa">
    <w:name w:val="טקסט הערה תו"/>
    <w:basedOn w:val="a0"/>
    <w:link w:val="a9"/>
    <w:uiPriority w:val="99"/>
    <w:semiHidden/>
    <w:rsid w:val="007F5942"/>
    <w:rPr>
      <w:sz w:val="20"/>
      <w:szCs w:val="20"/>
    </w:rPr>
  </w:style>
  <w:style w:type="paragraph" w:styleId="ab">
    <w:name w:val="annotation subject"/>
    <w:basedOn w:val="a9"/>
    <w:next w:val="a9"/>
    <w:link w:val="ac"/>
    <w:uiPriority w:val="99"/>
    <w:semiHidden/>
    <w:unhideWhenUsed/>
    <w:rsid w:val="007F5942"/>
    <w:rPr>
      <w:b/>
      <w:bCs/>
    </w:rPr>
  </w:style>
  <w:style w:type="character" w:customStyle="1" w:styleId="ac">
    <w:name w:val="נושא הערה תו"/>
    <w:basedOn w:val="aa"/>
    <w:link w:val="ab"/>
    <w:uiPriority w:val="99"/>
    <w:semiHidden/>
    <w:rsid w:val="007F5942"/>
    <w:rPr>
      <w:b/>
      <w:bCs/>
      <w:sz w:val="20"/>
      <w:szCs w:val="20"/>
    </w:rPr>
  </w:style>
  <w:style w:type="paragraph" w:styleId="ad">
    <w:name w:val="List Paragraph"/>
    <w:basedOn w:val="a"/>
    <w:uiPriority w:val="34"/>
    <w:qFormat/>
    <w:rsid w:val="00A57C99"/>
    <w:pPr>
      <w:ind w:left="720"/>
      <w:contextualSpacing/>
    </w:pPr>
  </w:style>
  <w:style w:type="paragraph" w:customStyle="1" w:styleId="Default">
    <w:name w:val="Default"/>
    <w:rsid w:val="00167902"/>
    <w:pPr>
      <w:autoSpaceDE w:val="0"/>
      <w:autoSpaceDN w:val="0"/>
      <w:adjustRightInd w:val="0"/>
    </w:pPr>
    <w:rPr>
      <w:rFonts w:ascii="Times New Roman" w:hAnsi="Times New Roman" w:cs="Times New Roman"/>
      <w:color w:val="000000"/>
    </w:rPr>
  </w:style>
  <w:style w:type="paragraph" w:styleId="ae">
    <w:name w:val="footnote text"/>
    <w:basedOn w:val="a"/>
    <w:link w:val="af"/>
    <w:uiPriority w:val="99"/>
    <w:unhideWhenUsed/>
    <w:rsid w:val="009D7775"/>
    <w:rPr>
      <w:sz w:val="20"/>
      <w:szCs w:val="20"/>
    </w:rPr>
  </w:style>
  <w:style w:type="character" w:customStyle="1" w:styleId="af">
    <w:name w:val="טקסט הערת שוליים תו"/>
    <w:basedOn w:val="a0"/>
    <w:link w:val="ae"/>
    <w:uiPriority w:val="99"/>
    <w:rsid w:val="009D7775"/>
    <w:rPr>
      <w:sz w:val="20"/>
      <w:szCs w:val="20"/>
    </w:rPr>
  </w:style>
  <w:style w:type="character" w:styleId="af0">
    <w:name w:val="footnote reference"/>
    <w:basedOn w:val="a0"/>
    <w:uiPriority w:val="99"/>
    <w:semiHidden/>
    <w:unhideWhenUsed/>
    <w:rsid w:val="009D7775"/>
    <w:rPr>
      <w:vertAlign w:val="superscript"/>
    </w:rPr>
  </w:style>
  <w:style w:type="paragraph" w:styleId="NormalWeb">
    <w:name w:val="Normal (Web)"/>
    <w:basedOn w:val="a"/>
    <w:uiPriority w:val="99"/>
    <w:semiHidden/>
    <w:unhideWhenUsed/>
    <w:rsid w:val="009D7775"/>
    <w:pPr>
      <w:spacing w:before="100" w:beforeAutospacing="1" w:after="100" w:afterAutospacing="1"/>
    </w:pPr>
    <w:rPr>
      <w:rFonts w:ascii="Times New Roman" w:eastAsia="Times New Roman" w:hAnsi="Times New Roman" w:cs="Times New Roman"/>
      <w:lang w:bidi="he-IL"/>
    </w:rPr>
  </w:style>
  <w:style w:type="character" w:styleId="Hyperlink">
    <w:name w:val="Hyperlink"/>
    <w:basedOn w:val="a0"/>
    <w:uiPriority w:val="99"/>
    <w:semiHidden/>
    <w:unhideWhenUsed/>
    <w:rsid w:val="00C23A83"/>
    <w:rPr>
      <w:color w:val="0000FF"/>
      <w:u w:val="single"/>
    </w:rPr>
  </w:style>
  <w:style w:type="character" w:customStyle="1" w:styleId="10">
    <w:name w:val="כותרת 1 תו"/>
    <w:basedOn w:val="a0"/>
    <w:link w:val="1"/>
    <w:uiPriority w:val="9"/>
    <w:rsid w:val="00275792"/>
    <w:rPr>
      <w:rFonts w:ascii="Times New Roman" w:eastAsia="Times New Roman" w:hAnsi="Times New Roman" w:cs="Times New Roman"/>
      <w:b/>
      <w:bCs/>
      <w:kern w:val="36"/>
      <w:sz w:val="48"/>
      <w:szCs w:val="48"/>
      <w:lang w:bidi="he-IL"/>
    </w:rPr>
  </w:style>
  <w:style w:type="paragraph" w:styleId="af1">
    <w:name w:val="Revision"/>
    <w:hidden/>
    <w:uiPriority w:val="99"/>
    <w:semiHidden/>
    <w:rsid w:val="009A70B7"/>
  </w:style>
  <w:style w:type="paragraph" w:styleId="af2">
    <w:name w:val="header"/>
    <w:basedOn w:val="a"/>
    <w:link w:val="af3"/>
    <w:uiPriority w:val="99"/>
    <w:unhideWhenUsed/>
    <w:rsid w:val="00B12826"/>
    <w:pPr>
      <w:tabs>
        <w:tab w:val="center" w:pos="4153"/>
        <w:tab w:val="right" w:pos="8306"/>
      </w:tabs>
    </w:pPr>
  </w:style>
  <w:style w:type="character" w:customStyle="1" w:styleId="af3">
    <w:name w:val="כותרת עליונה תו"/>
    <w:basedOn w:val="a0"/>
    <w:link w:val="af2"/>
    <w:uiPriority w:val="99"/>
    <w:rsid w:val="00B12826"/>
  </w:style>
  <w:style w:type="paragraph" w:styleId="af4">
    <w:name w:val="footer"/>
    <w:basedOn w:val="a"/>
    <w:link w:val="af5"/>
    <w:uiPriority w:val="99"/>
    <w:unhideWhenUsed/>
    <w:rsid w:val="00B12826"/>
    <w:pPr>
      <w:tabs>
        <w:tab w:val="center" w:pos="4153"/>
        <w:tab w:val="right" w:pos="8306"/>
      </w:tabs>
    </w:pPr>
  </w:style>
  <w:style w:type="character" w:customStyle="1" w:styleId="af5">
    <w:name w:val="כותרת תחתונה תו"/>
    <w:basedOn w:val="a0"/>
    <w:link w:val="af4"/>
    <w:uiPriority w:val="99"/>
    <w:rsid w:val="00B12826"/>
  </w:style>
  <w:style w:type="character" w:styleId="HTMLCite">
    <w:name w:val="HTML Cite"/>
    <w:basedOn w:val="a0"/>
    <w:uiPriority w:val="99"/>
    <w:semiHidden/>
    <w:unhideWhenUsed/>
    <w:rsid w:val="002C71D6"/>
    <w:rPr>
      <w:i/>
      <w:iCs/>
    </w:rPr>
  </w:style>
  <w:style w:type="character" w:customStyle="1" w:styleId="30">
    <w:name w:val="כותרת 3 תו"/>
    <w:basedOn w:val="a0"/>
    <w:link w:val="3"/>
    <w:uiPriority w:val="9"/>
    <w:rsid w:val="002C71D6"/>
    <w:rPr>
      <w:rFonts w:asciiTheme="majorHAnsi" w:eastAsiaTheme="majorEastAsia" w:hAnsiTheme="majorHAnsi" w:cstheme="majorBidi"/>
      <w:color w:val="1F4D78" w:themeColor="accent1" w:themeShade="7F"/>
    </w:rPr>
  </w:style>
  <w:style w:type="paragraph" w:customStyle="1" w:styleId="regpar">
    <w:name w:val="regpar"/>
    <w:basedOn w:val="a"/>
    <w:rsid w:val="00306435"/>
    <w:pPr>
      <w:spacing w:line="300" w:lineRule="exact"/>
      <w:ind w:firstLine="240"/>
      <w:jc w:val="both"/>
    </w:pPr>
    <w:rPr>
      <w:rFonts w:ascii="Times" w:eastAsia="Times New Roman" w:hAnsi="Times" w:cs="Time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3570">
      <w:bodyDiv w:val="1"/>
      <w:marLeft w:val="0"/>
      <w:marRight w:val="0"/>
      <w:marTop w:val="0"/>
      <w:marBottom w:val="0"/>
      <w:divBdr>
        <w:top w:val="none" w:sz="0" w:space="0" w:color="auto"/>
        <w:left w:val="none" w:sz="0" w:space="0" w:color="auto"/>
        <w:bottom w:val="none" w:sz="0" w:space="0" w:color="auto"/>
        <w:right w:val="none" w:sz="0" w:space="0" w:color="auto"/>
      </w:divBdr>
      <w:divsChild>
        <w:div w:id="853609802">
          <w:marLeft w:val="0"/>
          <w:marRight w:val="0"/>
          <w:marTop w:val="0"/>
          <w:marBottom w:val="0"/>
          <w:divBdr>
            <w:top w:val="none" w:sz="0" w:space="0" w:color="auto"/>
            <w:left w:val="none" w:sz="0" w:space="0" w:color="auto"/>
            <w:bottom w:val="none" w:sz="0" w:space="0" w:color="auto"/>
            <w:right w:val="none" w:sz="0" w:space="0" w:color="auto"/>
          </w:divBdr>
        </w:div>
        <w:div w:id="1570534405">
          <w:marLeft w:val="0"/>
          <w:marRight w:val="0"/>
          <w:marTop w:val="0"/>
          <w:marBottom w:val="0"/>
          <w:divBdr>
            <w:top w:val="none" w:sz="0" w:space="0" w:color="auto"/>
            <w:left w:val="none" w:sz="0" w:space="0" w:color="auto"/>
            <w:bottom w:val="none" w:sz="0" w:space="0" w:color="auto"/>
            <w:right w:val="none" w:sz="0" w:space="0" w:color="auto"/>
          </w:divBdr>
        </w:div>
      </w:divsChild>
    </w:div>
    <w:div w:id="548613696">
      <w:bodyDiv w:val="1"/>
      <w:marLeft w:val="0"/>
      <w:marRight w:val="0"/>
      <w:marTop w:val="0"/>
      <w:marBottom w:val="0"/>
      <w:divBdr>
        <w:top w:val="none" w:sz="0" w:space="0" w:color="auto"/>
        <w:left w:val="none" w:sz="0" w:space="0" w:color="auto"/>
        <w:bottom w:val="none" w:sz="0" w:space="0" w:color="auto"/>
        <w:right w:val="none" w:sz="0" w:space="0" w:color="auto"/>
      </w:divBdr>
    </w:div>
    <w:div w:id="607662774">
      <w:bodyDiv w:val="1"/>
      <w:marLeft w:val="0"/>
      <w:marRight w:val="0"/>
      <w:marTop w:val="0"/>
      <w:marBottom w:val="0"/>
      <w:divBdr>
        <w:top w:val="none" w:sz="0" w:space="0" w:color="auto"/>
        <w:left w:val="none" w:sz="0" w:space="0" w:color="auto"/>
        <w:bottom w:val="none" w:sz="0" w:space="0" w:color="auto"/>
        <w:right w:val="none" w:sz="0" w:space="0" w:color="auto"/>
      </w:divBdr>
    </w:div>
    <w:div w:id="943415196">
      <w:bodyDiv w:val="1"/>
      <w:marLeft w:val="0"/>
      <w:marRight w:val="0"/>
      <w:marTop w:val="0"/>
      <w:marBottom w:val="0"/>
      <w:divBdr>
        <w:top w:val="none" w:sz="0" w:space="0" w:color="auto"/>
        <w:left w:val="none" w:sz="0" w:space="0" w:color="auto"/>
        <w:bottom w:val="none" w:sz="0" w:space="0" w:color="auto"/>
        <w:right w:val="none" w:sz="0" w:space="0" w:color="auto"/>
      </w:divBdr>
    </w:div>
    <w:div w:id="1223760175">
      <w:bodyDiv w:val="1"/>
      <w:marLeft w:val="0"/>
      <w:marRight w:val="0"/>
      <w:marTop w:val="0"/>
      <w:marBottom w:val="0"/>
      <w:divBdr>
        <w:top w:val="none" w:sz="0" w:space="0" w:color="auto"/>
        <w:left w:val="none" w:sz="0" w:space="0" w:color="auto"/>
        <w:bottom w:val="none" w:sz="0" w:space="0" w:color="auto"/>
        <w:right w:val="none" w:sz="0" w:space="0" w:color="auto"/>
      </w:divBdr>
    </w:div>
    <w:div w:id="1254708954">
      <w:bodyDiv w:val="1"/>
      <w:marLeft w:val="0"/>
      <w:marRight w:val="0"/>
      <w:marTop w:val="0"/>
      <w:marBottom w:val="0"/>
      <w:divBdr>
        <w:top w:val="none" w:sz="0" w:space="0" w:color="auto"/>
        <w:left w:val="none" w:sz="0" w:space="0" w:color="auto"/>
        <w:bottom w:val="none" w:sz="0" w:space="0" w:color="auto"/>
        <w:right w:val="none" w:sz="0" w:space="0" w:color="auto"/>
      </w:divBdr>
    </w:div>
    <w:div w:id="1724480090">
      <w:bodyDiv w:val="1"/>
      <w:marLeft w:val="0"/>
      <w:marRight w:val="0"/>
      <w:marTop w:val="0"/>
      <w:marBottom w:val="0"/>
      <w:divBdr>
        <w:top w:val="none" w:sz="0" w:space="0" w:color="auto"/>
        <w:left w:val="none" w:sz="0" w:space="0" w:color="auto"/>
        <w:bottom w:val="none" w:sz="0" w:space="0" w:color="auto"/>
        <w:right w:val="none" w:sz="0" w:space="0" w:color="auto"/>
      </w:divBdr>
    </w:div>
    <w:div w:id="2084570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deas.repec.org/s/boi/wpaper.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ideas.repec.org/p/boi/wpaper/2015.02.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BCC196D-3DF2-4FFE-8FC1-52EB4E015FBB}"/>
</file>

<file path=customXml/itemProps2.xml><?xml version="1.0" encoding="utf-8"?>
<ds:datastoreItem xmlns:ds="http://schemas.openxmlformats.org/officeDocument/2006/customXml" ds:itemID="{F50E0CB1-B050-488B-B27C-69EC9ED7AA16}"/>
</file>

<file path=customXml/itemProps3.xml><?xml version="1.0" encoding="utf-8"?>
<ds:datastoreItem xmlns:ds="http://schemas.openxmlformats.org/officeDocument/2006/customXml" ds:itemID="{F9168056-AEE8-41DA-A382-36D975265AC0}"/>
</file>

<file path=customXml/itemProps4.xml><?xml version="1.0" encoding="utf-8"?>
<ds:datastoreItem xmlns:ds="http://schemas.openxmlformats.org/officeDocument/2006/customXml" ds:itemID="{C294262A-C5D9-49A9-A216-CB5A49752B62}"/>
</file>

<file path=docProps/app.xml><?xml version="1.0" encoding="utf-8"?>
<Properties xmlns="http://schemas.openxmlformats.org/officeDocument/2006/extended-properties" xmlns:vt="http://schemas.openxmlformats.org/officeDocument/2006/docPropsVTypes">
  <Template>Normal.dotm</Template>
  <TotalTime>0</TotalTime>
  <Pages>9</Pages>
  <Words>3149</Words>
  <Characters>15748</Characters>
  <Application>Microsoft Office Word</Application>
  <DocSecurity>0</DocSecurity>
  <Lines>131</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מיטל רולניצקי</cp:lastModifiedBy>
  <cp:revision>3</cp:revision>
  <dcterms:created xsi:type="dcterms:W3CDTF">2019-08-25T05:11:00Z</dcterms:created>
  <dcterms:modified xsi:type="dcterms:W3CDTF">2019-08-25T05:22:00Z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