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5" w:rsidRDefault="009A4855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1D5835" w:rsidP="00D7330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50DF24A" wp14:editId="331503C9">
                  <wp:extent cx="749935" cy="749935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006A96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8B5EE0">
              <w:rPr>
                <w:rFonts w:cs="David" w:hint="cs"/>
                <w:rtl/>
              </w:rPr>
              <w:t>ט</w:t>
            </w:r>
            <w:r w:rsidR="00492A66">
              <w:rPr>
                <w:rFonts w:cs="David" w:hint="cs"/>
                <w:rtl/>
              </w:rPr>
              <w:t>"</w:t>
            </w:r>
            <w:r w:rsidR="00006A96">
              <w:rPr>
                <w:rFonts w:cs="David" w:hint="cs"/>
                <w:rtl/>
              </w:rPr>
              <w:t>ו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492A66">
              <w:rPr>
                <w:rFonts w:cs="David" w:hint="cs"/>
                <w:rtl/>
              </w:rPr>
              <w:t>סיוון</w:t>
            </w:r>
            <w:r w:rsidR="008B5EE0"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תשע"</w:t>
            </w:r>
            <w:r w:rsidR="004346C1">
              <w:rPr>
                <w:rFonts w:cs="David" w:hint="cs"/>
                <w:rtl/>
              </w:rPr>
              <w:t>ט</w:t>
            </w:r>
          </w:p>
          <w:p w:rsidR="000150C4" w:rsidRPr="006702C1" w:rsidRDefault="000150C4" w:rsidP="00006A96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006A96">
              <w:rPr>
                <w:rFonts w:cs="David" w:hint="cs"/>
                <w:rtl/>
              </w:rPr>
              <w:t>18</w:t>
            </w:r>
            <w:r w:rsidRPr="006702C1">
              <w:rPr>
                <w:rFonts w:cs="David"/>
                <w:rtl/>
              </w:rPr>
              <w:t xml:space="preserve"> </w:t>
            </w:r>
            <w:r w:rsidR="000D5045">
              <w:rPr>
                <w:rFonts w:cs="David" w:hint="cs"/>
                <w:rtl/>
              </w:rPr>
              <w:t>ב</w:t>
            </w:r>
            <w:r w:rsidR="00492A66">
              <w:rPr>
                <w:rFonts w:cs="David" w:hint="cs"/>
                <w:rtl/>
              </w:rPr>
              <w:t>יוני</w:t>
            </w:r>
            <w:r w:rsidRPr="006702C1">
              <w:rPr>
                <w:rFonts w:cs="David"/>
                <w:rtl/>
              </w:rPr>
              <w:t xml:space="preserve"> 201</w:t>
            </w:r>
            <w:r w:rsidR="008B5EE0">
              <w:rPr>
                <w:rFonts w:cs="David" w:hint="cs"/>
                <w:rtl/>
              </w:rPr>
              <w:t>9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492A66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492A66">
        <w:rPr>
          <w:rFonts w:hint="cs"/>
          <w:u w:val="none"/>
          <w:rtl/>
        </w:rPr>
        <w:t>ראשון</w:t>
      </w:r>
      <w:r w:rsidR="008B5EE0" w:rsidRPr="00FE10AB">
        <w:rPr>
          <w:rFonts w:hint="cs"/>
          <w:u w:val="none"/>
          <w:rtl/>
        </w:rPr>
        <w:t xml:space="preserve"> </w:t>
      </w:r>
      <w:r w:rsidR="00492A66">
        <w:rPr>
          <w:rFonts w:hint="cs"/>
          <w:u w:val="none"/>
          <w:rtl/>
        </w:rPr>
        <w:t>2019</w:t>
      </w:r>
    </w:p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316734" w:rsidRPr="00316734" w:rsidRDefault="002F5DFE" w:rsidP="0091695B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2F5DFE">
        <w:rPr>
          <w:rFonts w:ascii="Arial" w:hAnsi="Arial" w:cs="David" w:hint="cs"/>
          <w:b/>
          <w:bCs/>
          <w:rtl/>
        </w:rPr>
        <w:t xml:space="preserve">יתרת הנכסים של תושבי ישראל בחו"ל עלתה ברביע </w:t>
      </w:r>
      <w:r w:rsidR="008A4EAA" w:rsidRPr="002F5DFE">
        <w:rPr>
          <w:rFonts w:ascii="Arial" w:hAnsi="Arial" w:cs="David" w:hint="cs"/>
          <w:b/>
          <w:bCs/>
          <w:rtl/>
        </w:rPr>
        <w:t>הראשו</w:t>
      </w:r>
      <w:r w:rsidR="008A4EAA">
        <w:rPr>
          <w:rFonts w:ascii="Arial" w:hAnsi="Arial" w:cs="David" w:hint="cs"/>
          <w:b/>
          <w:bCs/>
          <w:rtl/>
        </w:rPr>
        <w:t>ן</w:t>
      </w:r>
      <w:r w:rsidR="008A4EAA" w:rsidRPr="002F5DFE">
        <w:rPr>
          <w:rFonts w:ascii="Arial" w:hAnsi="Arial" w:cs="David" w:hint="cs"/>
          <w:b/>
          <w:bCs/>
          <w:rtl/>
        </w:rPr>
        <w:t xml:space="preserve"> </w:t>
      </w:r>
      <w:r w:rsidRPr="002F5DFE">
        <w:rPr>
          <w:rFonts w:ascii="Arial" w:hAnsi="Arial" w:cs="David" w:hint="cs"/>
          <w:b/>
          <w:bCs/>
          <w:rtl/>
        </w:rPr>
        <w:t>של שנת 2019 בכ-17.8 מיליארדי דולרים (</w:t>
      </w:r>
      <w:r w:rsidR="0091695B">
        <w:rPr>
          <w:rFonts w:ascii="Arial" w:hAnsi="Arial" w:cs="David" w:hint="cs"/>
          <w:b/>
          <w:bCs/>
          <w:rtl/>
        </w:rPr>
        <w:t>4.1</w:t>
      </w:r>
      <w:r w:rsidRPr="002F5DFE">
        <w:rPr>
          <w:rFonts w:ascii="Arial" w:hAnsi="Arial" w:cs="David" w:hint="cs"/>
          <w:b/>
          <w:bCs/>
          <w:rtl/>
        </w:rPr>
        <w:t>%) ועמדה בסוף מרץ על כ-455 מיליארדי דולרים. העליי</w:t>
      </w:r>
      <w:r w:rsidRPr="002F5DFE">
        <w:rPr>
          <w:rFonts w:ascii="Arial" w:hAnsi="Arial" w:cs="David" w:hint="eastAsia"/>
          <w:b/>
          <w:bCs/>
          <w:rtl/>
        </w:rPr>
        <w:t>ה</w:t>
      </w:r>
      <w:r w:rsidRPr="002F5DFE">
        <w:rPr>
          <w:rFonts w:ascii="Arial" w:hAnsi="Arial" w:cs="David" w:hint="cs"/>
          <w:b/>
          <w:bCs/>
          <w:rtl/>
        </w:rPr>
        <w:t xml:space="preserve"> ביתרה נבעה ברובה מעליה במחירי </w:t>
      </w:r>
      <w:r w:rsidRPr="002F5DFE">
        <w:rPr>
          <w:rFonts w:ascii="Arial" w:hAnsi="Arial" w:cs="David" w:hint="eastAsia"/>
          <w:b/>
          <w:bCs/>
          <w:rtl/>
        </w:rPr>
        <w:t>המניות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הזרות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שמחזיקים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תושבי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ישראל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בתיק</w:t>
      </w:r>
      <w:r w:rsidRPr="002F5DFE">
        <w:rPr>
          <w:rFonts w:ascii="Arial" w:hAnsi="Arial" w:cs="David"/>
          <w:b/>
          <w:bCs/>
          <w:rtl/>
        </w:rPr>
        <w:t xml:space="preserve"> </w:t>
      </w:r>
      <w:r w:rsidRPr="002F5DFE">
        <w:rPr>
          <w:rFonts w:ascii="Arial" w:hAnsi="Arial" w:cs="David" w:hint="eastAsia"/>
          <w:b/>
          <w:bCs/>
          <w:rtl/>
        </w:rPr>
        <w:t>ני</w:t>
      </w:r>
      <w:r w:rsidRPr="002F5DFE">
        <w:rPr>
          <w:rFonts w:ascii="Arial" w:hAnsi="Arial" w:cs="David"/>
          <w:b/>
          <w:bCs/>
          <w:rtl/>
        </w:rPr>
        <w:t xml:space="preserve">"ע </w:t>
      </w:r>
      <w:r w:rsidRPr="002F5DFE">
        <w:rPr>
          <w:rFonts w:ascii="Arial" w:hAnsi="Arial" w:cs="David" w:hint="eastAsia"/>
          <w:b/>
          <w:bCs/>
          <w:rtl/>
        </w:rPr>
        <w:t>למסחר</w:t>
      </w:r>
      <w:r w:rsidRPr="002F5DFE">
        <w:rPr>
          <w:rFonts w:ascii="Arial" w:hAnsi="Arial" w:cs="David" w:hint="cs"/>
          <w:b/>
          <w:bCs/>
          <w:rtl/>
        </w:rPr>
        <w:t>.</w:t>
      </w:r>
      <w:bookmarkStart w:id="0" w:name="_GoBack"/>
      <w:bookmarkEnd w:id="0"/>
    </w:p>
    <w:p w:rsidR="00D45BF1" w:rsidRDefault="002F5DFE" w:rsidP="00CA3BE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2F5DFE">
        <w:rPr>
          <w:rFonts w:ascii="Arial" w:hAnsi="Arial" w:cs="David" w:hint="cs"/>
          <w:b/>
          <w:bCs/>
          <w:rtl/>
        </w:rPr>
        <w:t xml:space="preserve">יתרת ההתחייבויות של המשק לחו"ל עלתה במהלך הרביע הראשון בכ-16.1 מיליארדי דולרים (5.3%) ועמדה בסוף </w:t>
      </w:r>
      <w:r w:rsidR="00CA3BEF">
        <w:rPr>
          <w:rFonts w:ascii="Arial" w:hAnsi="Arial" w:cs="David" w:hint="cs"/>
          <w:b/>
          <w:bCs/>
          <w:rtl/>
        </w:rPr>
        <w:t>מרץ</w:t>
      </w:r>
      <w:r w:rsidRPr="002F5DFE">
        <w:rPr>
          <w:rFonts w:ascii="Arial" w:hAnsi="Arial" w:cs="David" w:hint="cs"/>
          <w:b/>
          <w:bCs/>
          <w:rtl/>
        </w:rPr>
        <w:t xml:space="preserve"> כ-320 מיליארדים</w:t>
      </w:r>
      <w:r w:rsidR="003912C6" w:rsidRPr="002F5DFE">
        <w:rPr>
          <w:rFonts w:ascii="Arial" w:hAnsi="Arial" w:cs="David" w:hint="cs"/>
          <w:b/>
          <w:bCs/>
          <w:rtl/>
        </w:rPr>
        <w:t xml:space="preserve">. עיקר </w:t>
      </w:r>
      <w:r w:rsidR="001D5835">
        <w:rPr>
          <w:rFonts w:ascii="Arial" w:hAnsi="Arial" w:cs="David" w:hint="cs"/>
          <w:b/>
          <w:bCs/>
          <w:rtl/>
        </w:rPr>
        <w:t>העליי</w:t>
      </w:r>
      <w:r w:rsidR="001D5835">
        <w:rPr>
          <w:rFonts w:ascii="Arial" w:hAnsi="Arial" w:cs="David" w:hint="eastAsia"/>
          <w:b/>
          <w:bCs/>
          <w:rtl/>
        </w:rPr>
        <w:t>ה</w:t>
      </w:r>
      <w:r w:rsidR="003912C6" w:rsidRPr="002F5DFE">
        <w:rPr>
          <w:rFonts w:ascii="Arial" w:hAnsi="Arial" w:cs="David" w:hint="cs"/>
          <w:b/>
          <w:bCs/>
          <w:rtl/>
        </w:rPr>
        <w:t xml:space="preserve"> נבעה מ</w:t>
      </w:r>
      <w:r>
        <w:rPr>
          <w:rFonts w:ascii="Arial" w:hAnsi="Arial" w:cs="David" w:hint="cs"/>
          <w:b/>
          <w:bCs/>
          <w:rtl/>
        </w:rPr>
        <w:t>עליה</w:t>
      </w:r>
      <w:r w:rsidR="003912C6" w:rsidRPr="002F5DFE">
        <w:rPr>
          <w:rFonts w:ascii="Arial" w:hAnsi="Arial" w:cs="David" w:hint="cs"/>
          <w:b/>
          <w:bCs/>
          <w:rtl/>
        </w:rPr>
        <w:t xml:space="preserve"> במחירי המניות הישראליות (</w:t>
      </w:r>
      <w:r w:rsidR="00357E84">
        <w:rPr>
          <w:rFonts w:ascii="Arial" w:hAnsi="Arial" w:cs="David" w:hint="cs"/>
          <w:b/>
          <w:bCs/>
          <w:rtl/>
        </w:rPr>
        <w:t>בהשקעות ה</w:t>
      </w:r>
      <w:r w:rsidR="003912C6" w:rsidRPr="002F5DFE">
        <w:rPr>
          <w:rFonts w:ascii="Arial" w:hAnsi="Arial" w:cs="David" w:hint="cs"/>
          <w:b/>
          <w:bCs/>
          <w:rtl/>
        </w:rPr>
        <w:t xml:space="preserve">ישירות </w:t>
      </w:r>
      <w:r w:rsidR="00F70B47" w:rsidRPr="002F5DFE">
        <w:rPr>
          <w:rFonts w:ascii="Arial" w:hAnsi="Arial" w:cs="David" w:hint="cs"/>
          <w:b/>
          <w:bCs/>
          <w:rtl/>
        </w:rPr>
        <w:t>ובתיק ני"ע למסחר</w:t>
      </w:r>
      <w:r w:rsidR="003912C6" w:rsidRPr="002F5DFE">
        <w:rPr>
          <w:rFonts w:ascii="Arial" w:hAnsi="Arial" w:cs="David" w:hint="cs"/>
          <w:b/>
          <w:bCs/>
          <w:rtl/>
        </w:rPr>
        <w:t>) ו</w:t>
      </w:r>
      <w:r w:rsidR="0091695B">
        <w:rPr>
          <w:rFonts w:ascii="Arial" w:hAnsi="Arial" w:cs="David" w:hint="cs"/>
          <w:b/>
          <w:bCs/>
          <w:rtl/>
        </w:rPr>
        <w:t>מ</w:t>
      </w:r>
      <w:r>
        <w:rPr>
          <w:rFonts w:ascii="Arial" w:hAnsi="Arial" w:cs="David" w:hint="cs"/>
          <w:b/>
          <w:bCs/>
          <w:rtl/>
        </w:rPr>
        <w:t xml:space="preserve">זרם השקעות </w:t>
      </w:r>
      <w:r w:rsidR="0091695B">
        <w:rPr>
          <w:rFonts w:ascii="Arial" w:hAnsi="Arial" w:cs="David" w:hint="cs"/>
          <w:b/>
          <w:bCs/>
          <w:rtl/>
        </w:rPr>
        <w:t xml:space="preserve">ישירות </w:t>
      </w:r>
      <w:r>
        <w:rPr>
          <w:rFonts w:ascii="Arial" w:hAnsi="Arial" w:cs="David" w:hint="cs"/>
          <w:b/>
          <w:bCs/>
          <w:rtl/>
        </w:rPr>
        <w:t>של תושבי חוץ בישראל</w:t>
      </w:r>
      <w:r w:rsidR="003912C6" w:rsidRPr="002F5DFE">
        <w:rPr>
          <w:rFonts w:ascii="Arial" w:hAnsi="Arial" w:cs="David" w:hint="cs"/>
          <w:b/>
          <w:bCs/>
          <w:rtl/>
        </w:rPr>
        <w:t xml:space="preserve">. </w:t>
      </w:r>
    </w:p>
    <w:p w:rsidR="00A272AE" w:rsidRPr="00A272AE" w:rsidRDefault="00A272AE" w:rsidP="00CA3BE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A272AE">
        <w:rPr>
          <w:rFonts w:ascii="Arial" w:hAnsi="Arial" w:cs="David" w:hint="cs"/>
          <w:b/>
          <w:bCs/>
          <w:rtl/>
        </w:rPr>
        <w:t>עודף הנכסים על ההתחייבויות של המשק מול חו"ל עלה במהלך הרביע הראשון ב-1.7 מיליארדי דולרים (</w:t>
      </w:r>
      <w:r w:rsidR="0091695B">
        <w:rPr>
          <w:rFonts w:ascii="Arial" w:hAnsi="Arial" w:cs="David" w:hint="cs"/>
          <w:b/>
          <w:bCs/>
          <w:rtl/>
        </w:rPr>
        <w:t xml:space="preserve">1.3%) </w:t>
      </w:r>
      <w:r w:rsidRPr="00A272AE">
        <w:rPr>
          <w:rFonts w:ascii="Arial" w:hAnsi="Arial" w:cs="David" w:hint="cs"/>
          <w:b/>
          <w:bCs/>
          <w:rtl/>
        </w:rPr>
        <w:t xml:space="preserve">ועמד בסוף </w:t>
      </w:r>
      <w:r w:rsidR="00CA3BEF">
        <w:rPr>
          <w:rFonts w:ascii="Arial" w:hAnsi="Arial" w:cs="David" w:hint="cs"/>
          <w:b/>
          <w:bCs/>
          <w:rtl/>
        </w:rPr>
        <w:t>מרץ</w:t>
      </w:r>
      <w:r w:rsidRPr="00A272AE">
        <w:rPr>
          <w:rFonts w:ascii="Arial" w:hAnsi="Arial" w:cs="David" w:hint="cs"/>
          <w:b/>
          <w:bCs/>
          <w:rtl/>
        </w:rPr>
        <w:t xml:space="preserve"> על 135 מיליארדים. העלייה בעודף הנכסים התרחשה כתוצאה מעלי</w:t>
      </w:r>
      <w:r w:rsidR="0091695B">
        <w:rPr>
          <w:rFonts w:ascii="Arial" w:hAnsi="Arial" w:cs="David" w:hint="cs"/>
          <w:b/>
          <w:bCs/>
          <w:rtl/>
        </w:rPr>
        <w:t>י</w:t>
      </w:r>
      <w:r w:rsidRPr="00A272AE">
        <w:rPr>
          <w:rFonts w:ascii="Arial" w:hAnsi="Arial" w:cs="David" w:hint="cs"/>
          <w:b/>
          <w:bCs/>
          <w:rtl/>
        </w:rPr>
        <w:t xml:space="preserve">ה ביתרת </w:t>
      </w:r>
      <w:r w:rsidR="000D4952">
        <w:rPr>
          <w:rFonts w:ascii="Arial" w:hAnsi="Arial" w:cs="David" w:hint="cs"/>
          <w:b/>
          <w:bCs/>
          <w:rtl/>
        </w:rPr>
        <w:t>הנכסים</w:t>
      </w:r>
      <w:r w:rsidRPr="00A272AE">
        <w:rPr>
          <w:rFonts w:ascii="Arial" w:hAnsi="Arial" w:cs="David" w:hint="cs"/>
          <w:b/>
          <w:bCs/>
          <w:rtl/>
        </w:rPr>
        <w:t xml:space="preserve"> בהיקף </w:t>
      </w:r>
      <w:r w:rsidR="000D4952">
        <w:rPr>
          <w:rFonts w:ascii="Arial" w:hAnsi="Arial" w:cs="David" w:hint="cs"/>
          <w:b/>
          <w:bCs/>
          <w:rtl/>
        </w:rPr>
        <w:t>גבוה</w:t>
      </w:r>
      <w:r w:rsidRPr="00A272AE">
        <w:rPr>
          <w:rFonts w:ascii="Arial" w:hAnsi="Arial" w:cs="David" w:hint="cs"/>
          <w:b/>
          <w:bCs/>
          <w:rtl/>
        </w:rPr>
        <w:t xml:space="preserve"> מהעלייה ביתרת </w:t>
      </w:r>
      <w:r w:rsidR="000D4952">
        <w:rPr>
          <w:rFonts w:ascii="Arial" w:hAnsi="Arial" w:cs="David" w:hint="cs"/>
          <w:b/>
          <w:bCs/>
          <w:rtl/>
        </w:rPr>
        <w:t>ההתחייבויות</w:t>
      </w:r>
      <w:r w:rsidRPr="00A272AE">
        <w:rPr>
          <w:rFonts w:ascii="Arial" w:hAnsi="Arial" w:cs="David" w:hint="cs"/>
          <w:b/>
          <w:bCs/>
          <w:rtl/>
        </w:rPr>
        <w:t>.</w:t>
      </w:r>
    </w:p>
    <w:p w:rsidR="00F70B47" w:rsidRPr="003624A8" w:rsidRDefault="00A272AE" w:rsidP="0091695B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A272AE">
        <w:rPr>
          <w:rFonts w:ascii="Arial" w:hAnsi="Arial" w:cs="David" w:hint="cs"/>
          <w:b/>
          <w:bCs/>
          <w:rtl/>
        </w:rPr>
        <w:t xml:space="preserve">עודף הנכסים על ההתחייבויות במכשירי חוב בלבד (החוב חיצוני השלילי נטו), עלה במהלך הרביע הראשון ב-0.8 מיליארד דולר </w:t>
      </w:r>
      <w:r w:rsidR="0091695B">
        <w:rPr>
          <w:rFonts w:ascii="Arial" w:hAnsi="Arial" w:cs="David" w:hint="cs"/>
          <w:b/>
          <w:bCs/>
          <w:rtl/>
        </w:rPr>
        <w:t>ו</w:t>
      </w:r>
      <w:r w:rsidR="0091695B" w:rsidRPr="00A272AE">
        <w:rPr>
          <w:rFonts w:ascii="Arial" w:hAnsi="Arial" w:cs="David" w:hint="cs"/>
          <w:b/>
          <w:bCs/>
          <w:rtl/>
        </w:rPr>
        <w:t xml:space="preserve">הגיע </w:t>
      </w:r>
      <w:r w:rsidRPr="00A272AE">
        <w:rPr>
          <w:rFonts w:ascii="Arial" w:hAnsi="Arial" w:cs="David" w:hint="cs"/>
          <w:b/>
          <w:bCs/>
          <w:rtl/>
        </w:rPr>
        <w:t>בסוף מרץ לרמה של 156 מיליארדי דולרים</w:t>
      </w:r>
      <w:r w:rsidR="00FF6C44">
        <w:rPr>
          <w:rFonts w:ascii="Arial" w:hAnsi="Arial" w:cs="David" w:hint="cs"/>
          <w:b/>
          <w:bCs/>
          <w:rtl/>
        </w:rPr>
        <w:t>.</w:t>
      </w:r>
    </w:p>
    <w:p w:rsidR="002D5576" w:rsidRPr="005E24F4" w:rsidRDefault="00A272AE" w:rsidP="00CA3BE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A272AE">
        <w:rPr>
          <w:rFonts w:ascii="Arial" w:hAnsi="Arial" w:cs="David" w:hint="cs"/>
          <w:b/>
          <w:bCs/>
          <w:rtl/>
        </w:rPr>
        <w:t xml:space="preserve"> </w:t>
      </w:r>
      <w:r w:rsidR="0091695B">
        <w:rPr>
          <w:rFonts w:ascii="Arial" w:hAnsi="Arial" w:cs="David" w:hint="cs"/>
          <w:b/>
          <w:bCs/>
          <w:rtl/>
        </w:rPr>
        <w:t>עלה</w:t>
      </w:r>
      <w:r w:rsidR="0091695B" w:rsidRPr="00A272AE">
        <w:rPr>
          <w:rFonts w:ascii="Arial" w:hAnsi="Arial" w:cs="David" w:hint="cs"/>
          <w:b/>
          <w:bCs/>
          <w:rtl/>
        </w:rPr>
        <w:t xml:space="preserve"> </w:t>
      </w:r>
      <w:r w:rsidRPr="00A272AE">
        <w:rPr>
          <w:rFonts w:ascii="Arial" w:hAnsi="Arial" w:cs="David" w:hint="cs"/>
          <w:b/>
          <w:bCs/>
          <w:rtl/>
        </w:rPr>
        <w:t xml:space="preserve">במהלך הרביע הראשון ב-1.2 נקודות האחוז ועמד בסוף </w:t>
      </w:r>
      <w:r w:rsidR="00CA3BEF">
        <w:rPr>
          <w:rFonts w:ascii="Arial" w:hAnsi="Arial" w:cs="David" w:hint="cs"/>
          <w:b/>
          <w:bCs/>
          <w:rtl/>
        </w:rPr>
        <w:t>מרץ</w:t>
      </w:r>
      <w:r w:rsidRPr="00A272AE">
        <w:rPr>
          <w:rFonts w:ascii="Arial" w:hAnsi="Arial" w:cs="David" w:hint="cs"/>
          <w:b/>
          <w:bCs/>
          <w:rtl/>
        </w:rPr>
        <w:t xml:space="preserve"> על 26.6%. העלייה ביחס החוב לתוצר שיקפה עליה ביתרת החוב החיצוני ברוטו בשיעור גבוה מהעלייה  בתוצר במונחים דולריים</w:t>
      </w:r>
      <w:r w:rsidR="00F70B47">
        <w:rPr>
          <w:rFonts w:ascii="Arial" w:hAnsi="Arial" w:cs="David" w:hint="cs"/>
          <w:b/>
          <w:bCs/>
          <w:rtl/>
        </w:rPr>
        <w:t>.</w:t>
      </w:r>
      <w:r w:rsidR="00FF6C44">
        <w:rPr>
          <w:rFonts w:ascii="Arial" w:hAnsi="Arial" w:cs="David" w:hint="cs"/>
          <w:rtl/>
        </w:rPr>
        <w:t xml:space="preserve"> </w:t>
      </w:r>
      <w:r w:rsidR="002D5576" w:rsidRPr="005E24F4">
        <w:rPr>
          <w:rFonts w:ascii="Arial" w:hAnsi="Arial" w:cs="David"/>
          <w:b/>
          <w:bCs/>
          <w:rtl/>
        </w:rPr>
        <w:br w:type="page"/>
      </w:r>
    </w:p>
    <w:p w:rsidR="004D208E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 xml:space="preserve">יתרות הנכסים וההתחייבויות </w:t>
      </w:r>
      <w:r w:rsidR="00DD2C6C">
        <w:rPr>
          <w:rFonts w:hint="cs"/>
          <w:u w:val="none"/>
          <w:rtl/>
        </w:rPr>
        <w:t xml:space="preserve">של המשק מול חו"ל </w:t>
      </w:r>
      <w:r w:rsidR="00054C99" w:rsidRPr="00FE10AB">
        <w:rPr>
          <w:rFonts w:hint="cs"/>
          <w:u w:val="none"/>
          <w:rtl/>
        </w:rPr>
        <w:t>והשינויים בהם</w:t>
      </w:r>
    </w:p>
    <w:p w:rsidR="00AE1217" w:rsidRPr="00FE10AB" w:rsidRDefault="00AE1217" w:rsidP="005921B0">
      <w:pPr>
        <w:pStyle w:val="af"/>
        <w:rPr>
          <w:u w:val="none"/>
          <w:rtl/>
        </w:rPr>
      </w:pPr>
    </w:p>
    <w:p w:rsidR="008B17A5" w:rsidRPr="00041FB7" w:rsidRDefault="00AE1217" w:rsidP="008964DB">
      <w:pPr>
        <w:spacing w:after="360" w:line="360" w:lineRule="auto"/>
        <w:jc w:val="center"/>
        <w:rPr>
          <w:rtl/>
        </w:rPr>
      </w:pPr>
      <w:r w:rsidRPr="00AE1217">
        <w:rPr>
          <w:noProof/>
          <w:rtl/>
          <w:lang w:eastAsia="en-US"/>
        </w:rPr>
        <w:drawing>
          <wp:inline distT="0" distB="0" distL="0" distR="0">
            <wp:extent cx="6210300" cy="2729480"/>
            <wp:effectExtent l="0" t="0" r="0" b="0"/>
            <wp:docPr id="3" name="תמונה 3" title="יתרות הנכסים וההתחייבויות של המשק מול חו&quot;ל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04" w:rsidRPr="00FE10AB" w:rsidRDefault="000447A6" w:rsidP="00E95D04">
      <w:pPr>
        <w:pStyle w:val="1"/>
        <w:rPr>
          <w:rStyle w:val="12"/>
          <w:b/>
          <w:bCs/>
          <w:u w:val="none"/>
          <w:rtl/>
        </w:rPr>
      </w:pPr>
      <w:r>
        <w:rPr>
          <w:rStyle w:val="12"/>
          <w:rFonts w:hint="cs"/>
          <w:b/>
          <w:bCs/>
          <w:u w:val="none"/>
          <w:rtl/>
        </w:rPr>
        <w:t>יתרת</w:t>
      </w:r>
      <w:r w:rsidR="00E95D04" w:rsidRPr="00FE10AB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95D04" w:rsidRDefault="000447A6" w:rsidP="0091695B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>יתרת</w:t>
      </w:r>
      <w:r w:rsidR="00E95D04">
        <w:rPr>
          <w:rFonts w:ascii="Arial" w:hAnsi="Arial" w:cs="David" w:hint="cs"/>
          <w:rtl/>
        </w:rPr>
        <w:t xml:space="preserve"> הנכסים של תושבי ישראל בחו"ל </w:t>
      </w:r>
      <w:r w:rsidR="00802A1A">
        <w:rPr>
          <w:rFonts w:ascii="Arial" w:hAnsi="Arial" w:cs="David" w:hint="cs"/>
          <w:rtl/>
        </w:rPr>
        <w:t>עלתה</w:t>
      </w:r>
      <w:r w:rsidR="00E95D04" w:rsidRPr="00AF6E37">
        <w:rPr>
          <w:rFonts w:ascii="Arial" w:hAnsi="Arial" w:cs="David" w:hint="cs"/>
          <w:rtl/>
        </w:rPr>
        <w:t xml:space="preserve"> </w:t>
      </w:r>
      <w:r w:rsidR="00E95D04">
        <w:rPr>
          <w:rFonts w:ascii="Arial" w:hAnsi="Arial" w:cs="David" w:hint="cs"/>
          <w:rtl/>
        </w:rPr>
        <w:t xml:space="preserve">ברביע </w:t>
      </w:r>
      <w:r w:rsidR="0091695B">
        <w:rPr>
          <w:rFonts w:ascii="Arial" w:hAnsi="Arial" w:cs="David" w:hint="cs"/>
          <w:rtl/>
        </w:rPr>
        <w:t xml:space="preserve">הראשון </w:t>
      </w:r>
      <w:r w:rsidR="00E95D04">
        <w:rPr>
          <w:rFonts w:ascii="Arial" w:hAnsi="Arial" w:cs="David" w:hint="cs"/>
          <w:rtl/>
        </w:rPr>
        <w:t xml:space="preserve">של </w:t>
      </w:r>
      <w:r w:rsidR="00E95D04" w:rsidRPr="00AF6E37">
        <w:rPr>
          <w:rFonts w:ascii="Arial" w:hAnsi="Arial" w:cs="David" w:hint="cs"/>
          <w:rtl/>
        </w:rPr>
        <w:t xml:space="preserve">שנת </w:t>
      </w:r>
      <w:r w:rsidR="00E95D04">
        <w:rPr>
          <w:rFonts w:ascii="Arial" w:hAnsi="Arial" w:cs="David" w:hint="cs"/>
          <w:rtl/>
        </w:rPr>
        <w:t>201</w:t>
      </w:r>
      <w:r w:rsidR="00802A1A">
        <w:rPr>
          <w:rFonts w:ascii="Arial" w:hAnsi="Arial" w:cs="David" w:hint="cs"/>
          <w:rtl/>
        </w:rPr>
        <w:t>9</w:t>
      </w:r>
      <w:r w:rsidR="00886D95">
        <w:rPr>
          <w:rFonts w:ascii="Arial" w:hAnsi="Arial" w:cs="David" w:hint="cs"/>
          <w:rtl/>
        </w:rPr>
        <w:t xml:space="preserve"> </w:t>
      </w:r>
      <w:r w:rsidR="00E95D04" w:rsidRPr="00AF6E37">
        <w:rPr>
          <w:rFonts w:ascii="Arial" w:hAnsi="Arial" w:cs="David" w:hint="cs"/>
          <w:rtl/>
        </w:rPr>
        <w:t>ב</w:t>
      </w:r>
      <w:r w:rsidR="00214AB0">
        <w:rPr>
          <w:rFonts w:ascii="Arial" w:hAnsi="Arial" w:cs="David" w:hint="cs"/>
          <w:rtl/>
        </w:rPr>
        <w:t>כ</w:t>
      </w:r>
      <w:r w:rsidR="00B34352">
        <w:rPr>
          <w:rFonts w:ascii="Arial" w:hAnsi="Arial" w:cs="David" w:hint="cs"/>
          <w:rtl/>
        </w:rPr>
        <w:t>-</w:t>
      </w:r>
      <w:r w:rsidR="00802A1A">
        <w:rPr>
          <w:rFonts w:ascii="Arial" w:hAnsi="Arial" w:cs="David" w:hint="cs"/>
          <w:rtl/>
        </w:rPr>
        <w:t>17.8</w:t>
      </w:r>
      <w:r w:rsidR="00B34352">
        <w:rPr>
          <w:rFonts w:ascii="Arial" w:hAnsi="Arial" w:cs="David" w:hint="cs"/>
          <w:rtl/>
        </w:rPr>
        <w:t xml:space="preserve"> </w:t>
      </w:r>
      <w:r w:rsidR="00E95D04" w:rsidRPr="00AF6E37">
        <w:rPr>
          <w:rFonts w:ascii="Arial" w:hAnsi="Arial" w:cs="David" w:hint="cs"/>
          <w:rtl/>
        </w:rPr>
        <w:t>מיליארד</w:t>
      </w:r>
      <w:r w:rsidR="00B34352">
        <w:rPr>
          <w:rFonts w:ascii="Arial" w:hAnsi="Arial" w:cs="David" w:hint="cs"/>
          <w:rtl/>
        </w:rPr>
        <w:t>י</w:t>
      </w:r>
      <w:r w:rsidR="00E95D04" w:rsidRPr="00AF6E37">
        <w:rPr>
          <w:rFonts w:ascii="Arial" w:hAnsi="Arial" w:cs="David" w:hint="cs"/>
          <w:rtl/>
        </w:rPr>
        <w:t xml:space="preserve"> דולרים (</w:t>
      </w:r>
      <w:r w:rsidR="0091695B">
        <w:rPr>
          <w:rFonts w:ascii="Arial" w:hAnsi="Arial" w:cs="David" w:hint="cs"/>
          <w:rtl/>
        </w:rPr>
        <w:t>4.1</w:t>
      </w:r>
      <w:r w:rsidR="0076000D" w:rsidRPr="00AF6E37">
        <w:rPr>
          <w:rFonts w:ascii="Arial" w:hAnsi="Arial" w:cs="David" w:hint="cs"/>
          <w:rtl/>
        </w:rPr>
        <w:t>%)</w:t>
      </w:r>
      <w:r w:rsidR="00E95D04" w:rsidRPr="00AF6E37">
        <w:rPr>
          <w:rFonts w:ascii="Arial" w:hAnsi="Arial" w:cs="David" w:hint="cs"/>
          <w:rtl/>
        </w:rPr>
        <w:t xml:space="preserve"> ועמד</w:t>
      </w:r>
      <w:r>
        <w:rPr>
          <w:rFonts w:ascii="Arial" w:hAnsi="Arial" w:cs="David" w:hint="cs"/>
          <w:rtl/>
        </w:rPr>
        <w:t>ה</w:t>
      </w:r>
      <w:r w:rsidR="00E95D04" w:rsidRPr="00AF6E37">
        <w:rPr>
          <w:rFonts w:ascii="Arial" w:hAnsi="Arial" w:cs="David" w:hint="cs"/>
          <w:rtl/>
        </w:rPr>
        <w:t xml:space="preserve"> בסוף </w:t>
      </w:r>
      <w:r w:rsidR="00802A1A">
        <w:rPr>
          <w:rFonts w:ascii="Arial" w:hAnsi="Arial" w:cs="David" w:hint="cs"/>
          <w:rtl/>
        </w:rPr>
        <w:t>מרץ</w:t>
      </w:r>
      <w:r w:rsidR="00E95D04" w:rsidRPr="00AF6E37">
        <w:rPr>
          <w:rFonts w:ascii="Arial" w:hAnsi="Arial" w:cs="David" w:hint="cs"/>
          <w:rtl/>
        </w:rPr>
        <w:t xml:space="preserve"> על כ-</w:t>
      </w:r>
      <w:r w:rsidR="00802A1A">
        <w:rPr>
          <w:rFonts w:ascii="Arial" w:hAnsi="Arial" w:cs="David" w:hint="cs"/>
          <w:rtl/>
        </w:rPr>
        <w:t>455</w:t>
      </w:r>
      <w:r w:rsidR="00E95D04" w:rsidRPr="00AF6E37">
        <w:rPr>
          <w:rFonts w:ascii="Arial" w:hAnsi="Arial" w:cs="David" w:hint="cs"/>
          <w:rtl/>
        </w:rPr>
        <w:t xml:space="preserve"> מיליארדי דולרים. </w:t>
      </w:r>
      <w:r w:rsidR="0031331F" w:rsidRPr="000E79EF">
        <w:rPr>
          <w:rFonts w:ascii="Arial" w:hAnsi="Arial" w:cs="David" w:hint="cs"/>
          <w:rtl/>
        </w:rPr>
        <w:t>ה</w:t>
      </w:r>
      <w:r w:rsidR="0031331F">
        <w:rPr>
          <w:rFonts w:ascii="Arial" w:hAnsi="Arial" w:cs="David" w:hint="cs"/>
          <w:rtl/>
        </w:rPr>
        <w:t>עליי</w:t>
      </w:r>
      <w:r w:rsidR="0031331F">
        <w:rPr>
          <w:rFonts w:ascii="Arial" w:hAnsi="Arial" w:cs="David" w:hint="eastAsia"/>
          <w:rtl/>
        </w:rPr>
        <w:t>ה</w:t>
      </w:r>
      <w:r w:rsidR="00E95D04" w:rsidRPr="000E79EF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ביתרה</w:t>
      </w:r>
      <w:r w:rsidR="00E95D04" w:rsidRPr="000E79EF">
        <w:rPr>
          <w:rFonts w:ascii="Arial" w:hAnsi="Arial" w:cs="David" w:hint="cs"/>
          <w:rtl/>
        </w:rPr>
        <w:t xml:space="preserve"> </w:t>
      </w:r>
      <w:r w:rsidR="00D46F81">
        <w:rPr>
          <w:rFonts w:ascii="Arial" w:hAnsi="Arial" w:cs="David" w:hint="cs"/>
          <w:rtl/>
        </w:rPr>
        <w:t>נבע</w:t>
      </w:r>
      <w:r w:rsidR="00240AFA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 ב</w:t>
      </w:r>
      <w:r w:rsidR="00316734">
        <w:rPr>
          <w:rFonts w:ascii="Arial" w:hAnsi="Arial" w:cs="David" w:hint="cs"/>
          <w:rtl/>
        </w:rPr>
        <w:t>רובה</w:t>
      </w:r>
      <w:r w:rsidR="00240AFA">
        <w:rPr>
          <w:rFonts w:ascii="Arial" w:hAnsi="Arial" w:cs="David" w:hint="cs"/>
          <w:rtl/>
        </w:rPr>
        <w:t xml:space="preserve"> מ</w:t>
      </w:r>
      <w:r w:rsidR="0031331F">
        <w:rPr>
          <w:rFonts w:ascii="Arial" w:hAnsi="Arial" w:cs="David" w:hint="cs"/>
          <w:rtl/>
        </w:rPr>
        <w:t>עליה</w:t>
      </w:r>
      <w:r w:rsidR="00240AFA">
        <w:rPr>
          <w:rFonts w:ascii="Arial" w:hAnsi="Arial" w:cs="David" w:hint="cs"/>
          <w:rtl/>
        </w:rPr>
        <w:t xml:space="preserve"> במחירי </w:t>
      </w:r>
      <w:r w:rsidR="00F70B47" w:rsidRPr="003624A8">
        <w:rPr>
          <w:rFonts w:ascii="Arial" w:hAnsi="Arial" w:cs="David" w:hint="eastAsia"/>
          <w:rtl/>
        </w:rPr>
        <w:t>המניות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הזרות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שמחזיקים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תושבי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ישראל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בתיק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ני</w:t>
      </w:r>
      <w:r w:rsidR="00F70B47" w:rsidRPr="003624A8">
        <w:rPr>
          <w:rFonts w:ascii="Arial" w:hAnsi="Arial" w:cs="David"/>
          <w:rtl/>
        </w:rPr>
        <w:t xml:space="preserve">"ע </w:t>
      </w:r>
      <w:r w:rsidR="00F70B47" w:rsidRPr="003624A8">
        <w:rPr>
          <w:rFonts w:ascii="Arial" w:hAnsi="Arial" w:cs="David" w:hint="eastAsia"/>
          <w:rtl/>
        </w:rPr>
        <w:t>למסחר</w:t>
      </w:r>
      <w:r w:rsidR="00B34352">
        <w:rPr>
          <w:rFonts w:ascii="Arial" w:hAnsi="Arial" w:cs="David" w:hint="cs"/>
          <w:rtl/>
        </w:rPr>
        <w:t>.</w:t>
      </w:r>
      <w:r w:rsidR="00E95D04"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Pr="002216F2" w:rsidRDefault="00B90A51" w:rsidP="003D3D47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הישירות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 xml:space="preserve">עלה במהלך הרביע </w:t>
      </w:r>
      <w:r w:rsidR="00B34352" w:rsidRPr="002216F2">
        <w:rPr>
          <w:rFonts w:ascii="Arial" w:hAnsi="Arial" w:cs="David" w:hint="cs"/>
          <w:rtl/>
        </w:rPr>
        <w:t>ה</w:t>
      </w:r>
      <w:r w:rsidR="00020B99">
        <w:rPr>
          <w:rFonts w:ascii="Arial" w:hAnsi="Arial" w:cs="David" w:hint="cs"/>
          <w:rtl/>
        </w:rPr>
        <w:t>ר</w:t>
      </w:r>
      <w:r w:rsidR="00D06DD7">
        <w:rPr>
          <w:rFonts w:ascii="Arial" w:hAnsi="Arial" w:cs="David" w:hint="cs"/>
          <w:rtl/>
        </w:rPr>
        <w:t>אשון</w:t>
      </w:r>
      <w:r w:rsidR="00624395" w:rsidRPr="002216F2">
        <w:rPr>
          <w:rFonts w:ascii="Arial" w:hAnsi="Arial" w:cs="David" w:hint="cs"/>
          <w:rtl/>
        </w:rPr>
        <w:t xml:space="preserve"> בכ-</w:t>
      </w:r>
      <w:r w:rsidR="00D06DD7">
        <w:rPr>
          <w:rFonts w:ascii="Arial" w:hAnsi="Arial" w:cs="David" w:hint="cs"/>
          <w:rtl/>
        </w:rPr>
        <w:t>2</w:t>
      </w:r>
      <w:r w:rsidR="00624395" w:rsidRPr="002216F2">
        <w:rPr>
          <w:rFonts w:ascii="Arial" w:hAnsi="Arial" w:cs="David" w:hint="cs"/>
          <w:rtl/>
        </w:rPr>
        <w:t xml:space="preserve"> מיליארדי</w:t>
      </w:r>
      <w:r w:rsidR="00240AFA">
        <w:rPr>
          <w:rFonts w:ascii="Arial" w:hAnsi="Arial" w:cs="David" w:hint="cs"/>
          <w:rtl/>
        </w:rPr>
        <w:t xml:space="preserve"> דולרים</w:t>
      </w:r>
      <w:r w:rsidR="00624395" w:rsidRPr="002216F2">
        <w:rPr>
          <w:rFonts w:ascii="Arial" w:hAnsi="Arial" w:cs="David" w:hint="cs"/>
          <w:rtl/>
        </w:rPr>
        <w:t xml:space="preserve"> (</w:t>
      </w:r>
      <w:r w:rsidR="00D06DD7">
        <w:rPr>
          <w:rFonts w:ascii="Arial" w:hAnsi="Arial" w:cs="David" w:hint="cs"/>
          <w:rtl/>
        </w:rPr>
        <w:t>2</w:t>
      </w:r>
      <w:r w:rsidR="00240AFA">
        <w:rPr>
          <w:rFonts w:ascii="Arial" w:hAnsi="Arial" w:cs="David" w:hint="cs"/>
          <w:rtl/>
        </w:rPr>
        <w:t>.</w:t>
      </w:r>
      <w:r w:rsidR="00D06DD7">
        <w:rPr>
          <w:rFonts w:ascii="Arial" w:hAnsi="Arial" w:cs="David" w:hint="cs"/>
          <w:rtl/>
        </w:rPr>
        <w:t>0</w:t>
      </w:r>
      <w:r w:rsidR="00624395" w:rsidRPr="002216F2">
        <w:rPr>
          <w:rFonts w:ascii="Arial" w:hAnsi="Arial" w:cs="David" w:hint="cs"/>
          <w:rtl/>
        </w:rPr>
        <w:t>%) בעיקר כתוצאה מ</w:t>
      </w:r>
      <w:r w:rsidR="0018795A">
        <w:rPr>
          <w:rFonts w:ascii="Arial" w:hAnsi="Arial" w:cs="David" w:hint="cs"/>
          <w:rtl/>
        </w:rPr>
        <w:t xml:space="preserve">זרם </w:t>
      </w:r>
      <w:r w:rsidR="00624395" w:rsidRPr="002216F2">
        <w:rPr>
          <w:rFonts w:ascii="Arial" w:hAnsi="Arial" w:cs="David" w:hint="cs"/>
          <w:rtl/>
        </w:rPr>
        <w:t>השקעות ישירות נטו בהון מניות</w:t>
      </w:r>
      <w:r w:rsidR="00240AFA">
        <w:rPr>
          <w:rFonts w:ascii="Arial" w:hAnsi="Arial" w:cs="David" w:hint="cs"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 xml:space="preserve">בהיקף של </w:t>
      </w:r>
      <w:r w:rsidR="003D3D47" w:rsidRPr="002216F2">
        <w:rPr>
          <w:rFonts w:ascii="Arial" w:hAnsi="Arial" w:cs="David" w:hint="cs"/>
          <w:rtl/>
        </w:rPr>
        <w:t>כ</w:t>
      </w:r>
      <w:r w:rsidR="003D3D47">
        <w:rPr>
          <w:rFonts w:ascii="Arial" w:hAnsi="Arial" w:cs="David" w:hint="cs"/>
          <w:rtl/>
        </w:rPr>
        <w:t xml:space="preserve">-1.3 </w:t>
      </w:r>
      <w:r w:rsidR="00240AFA">
        <w:rPr>
          <w:rFonts w:ascii="Arial" w:hAnsi="Arial" w:cs="David" w:hint="cs"/>
          <w:rtl/>
        </w:rPr>
        <w:t>מיליארד</w:t>
      </w:r>
      <w:r w:rsidR="00D06DD7">
        <w:rPr>
          <w:rFonts w:ascii="Arial" w:hAnsi="Arial" w:cs="David" w:hint="cs"/>
          <w:rtl/>
        </w:rPr>
        <w:t>י</w:t>
      </w:r>
      <w:r w:rsidR="00240AFA">
        <w:rPr>
          <w:rFonts w:ascii="Arial" w:hAnsi="Arial" w:cs="David" w:hint="cs"/>
          <w:rtl/>
        </w:rPr>
        <w:t xml:space="preserve"> </w:t>
      </w:r>
      <w:r w:rsidR="00540A3F">
        <w:rPr>
          <w:rFonts w:ascii="Arial" w:hAnsi="Arial" w:cs="David" w:hint="cs"/>
          <w:rtl/>
        </w:rPr>
        <w:t xml:space="preserve">דולרים </w:t>
      </w:r>
      <w:r w:rsidR="00B34352" w:rsidRPr="002216F2">
        <w:rPr>
          <w:rFonts w:ascii="Arial" w:hAnsi="Arial" w:cs="David" w:hint="cs"/>
          <w:rtl/>
        </w:rPr>
        <w:t>(</w:t>
      </w:r>
      <w:r w:rsidR="003D3D47">
        <w:rPr>
          <w:rFonts w:ascii="Arial" w:hAnsi="Arial" w:cs="David" w:hint="cs"/>
          <w:rtl/>
        </w:rPr>
        <w:t>1.4</w:t>
      </w:r>
      <w:r w:rsidR="00B34352" w:rsidRPr="002216F2">
        <w:rPr>
          <w:rFonts w:ascii="Arial" w:hAnsi="Arial" w:cs="David" w:hint="cs"/>
          <w:rtl/>
        </w:rPr>
        <w:t>%)</w:t>
      </w:r>
      <w:r w:rsidR="00624395" w:rsidRPr="002216F2">
        <w:rPr>
          <w:rFonts w:ascii="Arial" w:hAnsi="Arial" w:cs="David" w:hint="cs"/>
          <w:rtl/>
        </w:rPr>
        <w:t>.</w:t>
      </w:r>
    </w:p>
    <w:p w:rsidR="002216F2" w:rsidRDefault="002216F2" w:rsidP="000D4952">
      <w:pPr>
        <w:pStyle w:val="2"/>
        <w:numPr>
          <w:ilvl w:val="0"/>
          <w:numId w:val="15"/>
        </w:numPr>
        <w:rPr>
          <w:rtl/>
        </w:rPr>
      </w:pPr>
      <w:r w:rsidRPr="00907615">
        <w:rPr>
          <w:rFonts w:hint="cs"/>
          <w:b/>
          <w:bCs/>
          <w:rtl/>
        </w:rPr>
        <w:t xml:space="preserve">שווי תיק </w:t>
      </w:r>
      <w:r w:rsidR="003624A8">
        <w:rPr>
          <w:rFonts w:hint="cs"/>
          <w:b/>
          <w:bCs/>
          <w:rtl/>
        </w:rPr>
        <w:t>ניירות הערך</w:t>
      </w:r>
      <w:r>
        <w:rPr>
          <w:rFonts w:hint="cs"/>
          <w:rtl/>
        </w:rPr>
        <w:t xml:space="preserve"> </w:t>
      </w:r>
      <w:r w:rsidR="004E49AE">
        <w:rPr>
          <w:rFonts w:hint="cs"/>
          <w:rtl/>
        </w:rPr>
        <w:t>עלה</w:t>
      </w:r>
      <w:r>
        <w:rPr>
          <w:rFonts w:hint="cs"/>
          <w:rtl/>
        </w:rPr>
        <w:t xml:space="preserve"> במהלך הרביע ה</w:t>
      </w:r>
      <w:r w:rsidR="00020B99">
        <w:rPr>
          <w:rFonts w:hint="cs"/>
          <w:rtl/>
        </w:rPr>
        <w:t>ר</w:t>
      </w:r>
      <w:r w:rsidR="004E49AE">
        <w:rPr>
          <w:rFonts w:hint="cs"/>
          <w:rtl/>
        </w:rPr>
        <w:t>אשון</w:t>
      </w:r>
      <w:r>
        <w:rPr>
          <w:rFonts w:hint="cs"/>
          <w:rtl/>
        </w:rPr>
        <w:t xml:space="preserve"> בכ-</w:t>
      </w:r>
      <w:r w:rsidR="00020B99">
        <w:rPr>
          <w:rFonts w:hint="cs"/>
          <w:rtl/>
        </w:rPr>
        <w:t>1</w:t>
      </w:r>
      <w:r w:rsidR="004E49AE">
        <w:rPr>
          <w:rFonts w:hint="cs"/>
          <w:rtl/>
        </w:rPr>
        <w:t>3</w:t>
      </w:r>
      <w:r w:rsidR="00020B99">
        <w:rPr>
          <w:rFonts w:hint="cs"/>
          <w:rtl/>
        </w:rPr>
        <w:t>.</w:t>
      </w:r>
      <w:r w:rsidR="004E49AE">
        <w:rPr>
          <w:rFonts w:hint="cs"/>
          <w:rtl/>
        </w:rPr>
        <w:t>7</w:t>
      </w:r>
      <w:r>
        <w:rPr>
          <w:rFonts w:hint="cs"/>
          <w:rtl/>
        </w:rPr>
        <w:t xml:space="preserve"> מיליארדי דולרים</w:t>
      </w:r>
      <w:r w:rsidRPr="003F3174">
        <w:rPr>
          <w:rFonts w:hint="cs"/>
          <w:rtl/>
        </w:rPr>
        <w:t xml:space="preserve"> (</w:t>
      </w:r>
      <w:r w:rsidR="003D3D47">
        <w:rPr>
          <w:rFonts w:hint="cs"/>
          <w:rtl/>
        </w:rPr>
        <w:t>9.7</w:t>
      </w:r>
      <w:r w:rsidRPr="003F3174">
        <w:rPr>
          <w:rFonts w:hint="cs"/>
          <w:rtl/>
        </w:rPr>
        <w:t>%</w:t>
      </w:r>
      <w:r>
        <w:rPr>
          <w:rFonts w:hint="cs"/>
          <w:rtl/>
        </w:rPr>
        <w:t>)</w:t>
      </w:r>
      <w:r w:rsidRPr="003F3174">
        <w:rPr>
          <w:rFonts w:hint="cs"/>
          <w:rtl/>
        </w:rPr>
        <w:t xml:space="preserve"> </w:t>
      </w:r>
      <w:r>
        <w:rPr>
          <w:rFonts w:hint="cs"/>
          <w:rtl/>
        </w:rPr>
        <w:t>בעיקר כתוצאה מ</w:t>
      </w:r>
      <w:r w:rsidR="004E49AE">
        <w:rPr>
          <w:rFonts w:hint="cs"/>
          <w:rtl/>
        </w:rPr>
        <w:t>עלי</w:t>
      </w:r>
      <w:r w:rsidR="003D3D47">
        <w:rPr>
          <w:rFonts w:hint="cs"/>
          <w:rtl/>
        </w:rPr>
        <w:t>ו</w:t>
      </w:r>
      <w:r w:rsidR="004E49AE">
        <w:rPr>
          <w:rFonts w:hint="cs"/>
          <w:rtl/>
        </w:rPr>
        <w:t>ת</w:t>
      </w:r>
      <w:r w:rsidR="00020B99">
        <w:rPr>
          <w:rFonts w:hint="cs"/>
          <w:rtl/>
        </w:rPr>
        <w:t xml:space="preserve"> משמעותיות</w:t>
      </w:r>
      <w:r>
        <w:rPr>
          <w:rFonts w:hint="cs"/>
          <w:rtl/>
        </w:rPr>
        <w:t xml:space="preserve"> במחירי המניות</w:t>
      </w:r>
      <w:r w:rsidR="00020B99">
        <w:rPr>
          <w:rFonts w:hint="cs"/>
          <w:rtl/>
        </w:rPr>
        <w:t xml:space="preserve"> ואג"ח</w:t>
      </w:r>
      <w:r>
        <w:rPr>
          <w:rFonts w:hint="cs"/>
          <w:rtl/>
        </w:rPr>
        <w:t xml:space="preserve"> הזרות שמחזיקים תושבי ישראל בהיקף של כ-</w:t>
      </w:r>
      <w:r w:rsidR="00FD19B3">
        <w:rPr>
          <w:rFonts w:hint="cs"/>
          <w:rtl/>
        </w:rPr>
        <w:t xml:space="preserve"> 9.9 </w:t>
      </w:r>
      <w:r>
        <w:rPr>
          <w:rFonts w:hint="cs"/>
          <w:rtl/>
        </w:rPr>
        <w:t>מיליארדים (</w:t>
      </w:r>
      <w:r w:rsidR="003D3D47">
        <w:rPr>
          <w:rFonts w:hint="cs"/>
          <w:rtl/>
        </w:rPr>
        <w:t>12.8</w:t>
      </w:r>
      <w:r>
        <w:rPr>
          <w:rFonts w:hint="cs"/>
          <w:rtl/>
        </w:rPr>
        <w:t>%)</w:t>
      </w:r>
      <w:r w:rsidR="00020B99">
        <w:rPr>
          <w:rFonts w:hint="cs"/>
          <w:rtl/>
        </w:rPr>
        <w:t xml:space="preserve"> וכ-</w:t>
      </w:r>
      <w:r w:rsidR="00FD19B3">
        <w:rPr>
          <w:rFonts w:hint="cs"/>
          <w:rtl/>
        </w:rPr>
        <w:t>2.3</w:t>
      </w:r>
      <w:r w:rsidR="00020B99">
        <w:rPr>
          <w:rFonts w:hint="cs"/>
          <w:rtl/>
        </w:rPr>
        <w:t xml:space="preserve"> מיליארדים (</w:t>
      </w:r>
      <w:r w:rsidR="003D3D47">
        <w:rPr>
          <w:rFonts w:hint="cs"/>
          <w:rtl/>
        </w:rPr>
        <w:t>3.6</w:t>
      </w:r>
      <w:r w:rsidR="00FD19B3">
        <w:rPr>
          <w:rFonts w:hint="cs"/>
          <w:rtl/>
        </w:rPr>
        <w:t>%</w:t>
      </w:r>
      <w:r w:rsidR="00020B99">
        <w:rPr>
          <w:rFonts w:hint="cs"/>
          <w:rtl/>
        </w:rPr>
        <w:t>), בהתאמה.</w:t>
      </w:r>
      <w:r>
        <w:rPr>
          <w:rFonts w:hint="cs"/>
          <w:rtl/>
        </w:rPr>
        <w:t xml:space="preserve"> </w:t>
      </w:r>
      <w:r w:rsidR="00020B99">
        <w:rPr>
          <w:rFonts w:hint="cs"/>
          <w:rtl/>
        </w:rPr>
        <w:t>כמו כן, נרשמו ברביע ה</w:t>
      </w:r>
      <w:r w:rsidR="00FD19B3">
        <w:rPr>
          <w:rFonts w:hint="cs"/>
          <w:rtl/>
        </w:rPr>
        <w:t>ראשון</w:t>
      </w:r>
      <w:r w:rsidR="00020B99">
        <w:rPr>
          <w:rFonts w:hint="cs"/>
          <w:rtl/>
        </w:rPr>
        <w:t xml:space="preserve"> </w:t>
      </w:r>
      <w:r w:rsidR="00FD19B3">
        <w:rPr>
          <w:rFonts w:hint="cs"/>
          <w:rtl/>
        </w:rPr>
        <w:t>השקעות</w:t>
      </w:r>
      <w:r w:rsidR="00020B99">
        <w:rPr>
          <w:rFonts w:hint="cs"/>
          <w:rtl/>
        </w:rPr>
        <w:t xml:space="preserve"> נטו באג"ח זרות בהיקף של כ-2.</w:t>
      </w:r>
      <w:r w:rsidR="00FD19B3">
        <w:rPr>
          <w:rFonts w:hint="cs"/>
          <w:rtl/>
        </w:rPr>
        <w:t>9</w:t>
      </w:r>
      <w:r w:rsidR="00020B99">
        <w:rPr>
          <w:rFonts w:hint="cs"/>
          <w:rtl/>
        </w:rPr>
        <w:t xml:space="preserve"> מיליארדי דולרים (</w:t>
      </w:r>
      <w:r w:rsidR="003D3D47">
        <w:rPr>
          <w:rFonts w:hint="cs"/>
          <w:rtl/>
        </w:rPr>
        <w:t>4.6</w:t>
      </w:r>
      <w:r w:rsidR="00FD19B3">
        <w:rPr>
          <w:rFonts w:hint="cs"/>
          <w:rtl/>
        </w:rPr>
        <w:t>%</w:t>
      </w:r>
      <w:r w:rsidR="00020B99">
        <w:rPr>
          <w:rFonts w:hint="cs"/>
          <w:rtl/>
        </w:rPr>
        <w:t>)</w:t>
      </w:r>
      <w:r w:rsidR="00F70B47">
        <w:rPr>
          <w:rFonts w:hint="cs"/>
          <w:rtl/>
        </w:rPr>
        <w:t>, בעיקר על ידי המגזר הבנקאי.</w:t>
      </w:r>
      <w:r w:rsidR="00020B99">
        <w:rPr>
          <w:rFonts w:hint="cs"/>
          <w:rtl/>
        </w:rPr>
        <w:t xml:space="preserve"> </w:t>
      </w:r>
      <w:r w:rsidR="00720B65">
        <w:rPr>
          <w:rFonts w:hint="cs"/>
          <w:rtl/>
        </w:rPr>
        <w:t>השקעות אלו</w:t>
      </w:r>
      <w:r w:rsidR="003D3D47">
        <w:rPr>
          <w:rFonts w:hint="cs"/>
          <w:rtl/>
        </w:rPr>
        <w:t xml:space="preserve"> קוזזו</w:t>
      </w:r>
      <w:r w:rsidR="002658CA">
        <w:rPr>
          <w:rFonts w:hint="cs"/>
          <w:rtl/>
        </w:rPr>
        <w:t xml:space="preserve"> </w:t>
      </w:r>
      <w:r w:rsidR="00F36EBE">
        <w:rPr>
          <w:rFonts w:hint="cs"/>
          <w:rtl/>
        </w:rPr>
        <w:t>בחלקם ב</w:t>
      </w:r>
      <w:r w:rsidR="00720B65">
        <w:rPr>
          <w:rFonts w:hint="cs"/>
          <w:rtl/>
        </w:rPr>
        <w:t>מימושים</w:t>
      </w:r>
      <w:r w:rsidR="00F36EBE">
        <w:rPr>
          <w:rFonts w:hint="cs"/>
          <w:rtl/>
        </w:rPr>
        <w:t xml:space="preserve"> נטו בסך של כ- </w:t>
      </w:r>
      <w:r w:rsidR="002658CA">
        <w:rPr>
          <w:rFonts w:hint="cs"/>
          <w:rtl/>
        </w:rPr>
        <w:t>0.</w:t>
      </w:r>
      <w:r w:rsidR="00720B65">
        <w:rPr>
          <w:rFonts w:hint="cs"/>
          <w:rtl/>
        </w:rPr>
        <w:t>7</w:t>
      </w:r>
      <w:r w:rsidR="002658CA">
        <w:rPr>
          <w:rFonts w:hint="cs"/>
          <w:rtl/>
        </w:rPr>
        <w:t>-</w:t>
      </w:r>
      <w:r w:rsidR="00F36EBE">
        <w:rPr>
          <w:rFonts w:hint="cs"/>
          <w:rtl/>
        </w:rPr>
        <w:t xml:space="preserve"> מיליארדים (</w:t>
      </w:r>
      <w:r w:rsidR="00720B65">
        <w:rPr>
          <w:rFonts w:hint="cs"/>
          <w:rtl/>
        </w:rPr>
        <w:t>0.8</w:t>
      </w:r>
      <w:r w:rsidR="00F36EBE">
        <w:rPr>
          <w:rFonts w:hint="cs"/>
          <w:rtl/>
        </w:rPr>
        <w:t>%</w:t>
      </w:r>
      <w:r w:rsidR="00720B65">
        <w:rPr>
          <w:rFonts w:hint="cs"/>
          <w:rtl/>
        </w:rPr>
        <w:t>-</w:t>
      </w:r>
      <w:r w:rsidR="00F36EBE">
        <w:rPr>
          <w:rFonts w:hint="cs"/>
          <w:rtl/>
        </w:rPr>
        <w:t>) במניות זרות</w:t>
      </w:r>
      <w:r w:rsidR="009930B9">
        <w:rPr>
          <w:rFonts w:hint="cs"/>
          <w:rtl/>
        </w:rPr>
        <w:t>.</w:t>
      </w:r>
      <w:r w:rsidR="00F36EBE">
        <w:rPr>
          <w:rFonts w:hint="cs"/>
          <w:rtl/>
        </w:rPr>
        <w:t xml:space="preserve"> </w:t>
      </w:r>
      <w:r w:rsidR="00F70B47">
        <w:rPr>
          <w:rFonts w:hint="cs"/>
          <w:rtl/>
        </w:rPr>
        <w:t xml:space="preserve"> (תרשים 1).</w:t>
      </w:r>
      <w:r w:rsidR="00020B99">
        <w:rPr>
          <w:rFonts w:hint="cs"/>
          <w:rtl/>
        </w:rPr>
        <w:t xml:space="preserve"> </w:t>
      </w:r>
    </w:p>
    <w:p w:rsidR="00E4318E" w:rsidRDefault="00E4318E" w:rsidP="00F70B47">
      <w:pPr>
        <w:pStyle w:val="2"/>
        <w:ind w:left="720"/>
        <w:rPr>
          <w:rtl/>
        </w:rPr>
      </w:pPr>
    </w:p>
    <w:p w:rsidR="00E4318E" w:rsidRPr="00E4318E" w:rsidRDefault="00E4318E" w:rsidP="00E4318E">
      <w:pPr>
        <w:pStyle w:val="2"/>
        <w:ind w:left="720"/>
        <w:rPr>
          <w:rtl/>
        </w:rPr>
      </w:pPr>
    </w:p>
    <w:p w:rsidR="00933151" w:rsidRDefault="00AE1217" w:rsidP="002216F2">
      <w:pPr>
        <w:pStyle w:val="2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6CA504AB">
            <wp:extent cx="4176395" cy="2841729"/>
            <wp:effectExtent l="0" t="0" r="0" b="0"/>
            <wp:docPr id="5" name="תמונה 5" title="תרשים 1: השקעות פיננסיות של הסקטור הפרט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50" cy="2862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217" w:rsidRPr="00C340A4" w:rsidRDefault="00AE1217" w:rsidP="002216F2">
      <w:pPr>
        <w:pStyle w:val="2"/>
        <w:jc w:val="center"/>
        <w:rPr>
          <w:rtl/>
        </w:rPr>
      </w:pPr>
    </w:p>
    <w:p w:rsidR="00D064D6" w:rsidRPr="002216F2" w:rsidRDefault="00E95D04" w:rsidP="002A768F">
      <w:pPr>
        <w:pStyle w:val="af7"/>
        <w:numPr>
          <w:ilvl w:val="0"/>
          <w:numId w:val="16"/>
        </w:numPr>
        <w:spacing w:line="360" w:lineRule="auto"/>
        <w:ind w:right="426"/>
        <w:jc w:val="both"/>
        <w:rPr>
          <w:rFonts w:ascii="Arial" w:hAnsi="Arial" w:cs="David"/>
        </w:rPr>
      </w:pPr>
      <w:r w:rsidRPr="002216F2">
        <w:rPr>
          <w:rStyle w:val="20"/>
          <w:rFonts w:hint="cs"/>
          <w:b/>
          <w:bCs/>
          <w:rtl/>
        </w:rPr>
        <w:t>שווי ההשקעות האחרות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בחו"ל </w:t>
      </w:r>
      <w:r w:rsidR="00291108" w:rsidRPr="002A768F">
        <w:rPr>
          <w:rFonts w:ascii="Arial" w:hAnsi="Arial" w:cs="David" w:hint="cs"/>
          <w:rtl/>
        </w:rPr>
        <w:t>ירד</w:t>
      </w:r>
      <w:r w:rsidR="00B3376B" w:rsidRPr="002A768F">
        <w:rPr>
          <w:rFonts w:ascii="Arial" w:hAnsi="Arial" w:cs="David" w:hint="cs"/>
          <w:rtl/>
        </w:rPr>
        <w:t xml:space="preserve"> במהלך</w:t>
      </w:r>
      <w:r w:rsidRPr="002A768F">
        <w:rPr>
          <w:rFonts w:ascii="Arial" w:hAnsi="Arial" w:cs="David" w:hint="cs"/>
          <w:rtl/>
        </w:rPr>
        <w:t xml:space="preserve"> </w:t>
      </w:r>
      <w:r w:rsidR="00B3376B" w:rsidRPr="002A768F">
        <w:rPr>
          <w:rFonts w:ascii="Arial" w:hAnsi="Arial" w:cs="David" w:hint="cs"/>
          <w:rtl/>
        </w:rPr>
        <w:t>ה</w:t>
      </w:r>
      <w:r w:rsidRPr="002A768F">
        <w:rPr>
          <w:rFonts w:ascii="Arial" w:hAnsi="Arial" w:cs="David" w:hint="cs"/>
          <w:rtl/>
        </w:rPr>
        <w:t xml:space="preserve">רביע </w:t>
      </w:r>
      <w:r w:rsidR="002A768F" w:rsidRPr="002A768F">
        <w:rPr>
          <w:rFonts w:ascii="Arial" w:hAnsi="Arial" w:cs="David" w:hint="cs"/>
          <w:rtl/>
        </w:rPr>
        <w:t>הראשון</w:t>
      </w:r>
      <w:r w:rsidR="00B3376B" w:rsidRPr="002216F2">
        <w:rPr>
          <w:rFonts w:ascii="Arial" w:hAnsi="Arial" w:cs="David" w:hint="cs"/>
          <w:rtl/>
        </w:rPr>
        <w:t xml:space="preserve"> בהיקף של כ- </w:t>
      </w:r>
      <w:r w:rsidR="00291108">
        <w:rPr>
          <w:rFonts w:ascii="Arial" w:hAnsi="Arial" w:cs="David" w:hint="cs"/>
          <w:rtl/>
        </w:rPr>
        <w:t>2.1</w:t>
      </w:r>
      <w:r w:rsidR="00B3376B" w:rsidRPr="002216F2">
        <w:rPr>
          <w:rFonts w:ascii="Arial" w:hAnsi="Arial" w:cs="David" w:hint="cs"/>
          <w:rtl/>
        </w:rPr>
        <w:t xml:space="preserve"> מיליארדי דולרים (</w:t>
      </w:r>
      <w:r w:rsidR="009930B9">
        <w:rPr>
          <w:rFonts w:ascii="Arial" w:hAnsi="Arial" w:cs="David" w:hint="cs"/>
          <w:rtl/>
        </w:rPr>
        <w:t>2.7</w:t>
      </w:r>
      <w:r w:rsidR="00B3376B" w:rsidRPr="002216F2">
        <w:rPr>
          <w:rFonts w:ascii="Arial" w:hAnsi="Arial" w:cs="David" w:hint="cs"/>
          <w:rtl/>
        </w:rPr>
        <w:t>%)</w:t>
      </w:r>
      <w:r w:rsidR="009265CF">
        <w:rPr>
          <w:rFonts w:ascii="Arial" w:hAnsi="Arial" w:cs="David" w:hint="cs"/>
          <w:rtl/>
        </w:rPr>
        <w:t>. ה</w:t>
      </w:r>
      <w:r w:rsidR="00291108">
        <w:rPr>
          <w:rFonts w:ascii="Arial" w:hAnsi="Arial" w:cs="David" w:hint="cs"/>
          <w:rtl/>
        </w:rPr>
        <w:t>ירידה</w:t>
      </w:r>
      <w:r w:rsidR="009265CF">
        <w:rPr>
          <w:rFonts w:ascii="Arial" w:hAnsi="Arial" w:cs="David" w:hint="cs"/>
          <w:rtl/>
        </w:rPr>
        <w:t xml:space="preserve"> נבעה בעיקר</w:t>
      </w:r>
      <w:r w:rsidR="00E4318E">
        <w:rPr>
          <w:rFonts w:ascii="Arial" w:hAnsi="Arial" w:cs="David" w:hint="cs"/>
          <w:rtl/>
        </w:rPr>
        <w:t xml:space="preserve"> </w:t>
      </w:r>
      <w:r w:rsidR="009265CF">
        <w:rPr>
          <w:rFonts w:ascii="Arial" w:hAnsi="Arial" w:cs="David" w:hint="cs"/>
          <w:rtl/>
        </w:rPr>
        <w:t>מ</w:t>
      </w:r>
      <w:r w:rsidR="00291108">
        <w:rPr>
          <w:rFonts w:ascii="Arial" w:hAnsi="Arial" w:cs="David" w:hint="cs"/>
          <w:rtl/>
        </w:rPr>
        <w:t>מ</w:t>
      </w:r>
      <w:r w:rsidR="000E4FE7">
        <w:rPr>
          <w:rFonts w:ascii="Arial" w:hAnsi="Arial" w:cs="David" w:hint="cs"/>
          <w:rtl/>
        </w:rPr>
        <w:t>שיכות מ</w:t>
      </w:r>
      <w:r w:rsidR="000E4FE7" w:rsidRPr="000E4FE7">
        <w:rPr>
          <w:rFonts w:ascii="Arial" w:hAnsi="Arial" w:cs="David"/>
          <w:rtl/>
        </w:rPr>
        <w:t>פיקדונות תושבי ישראל</w:t>
      </w:r>
      <w:r w:rsidR="00B3376B" w:rsidRPr="002216F2">
        <w:rPr>
          <w:rFonts w:ascii="Arial" w:hAnsi="Arial" w:cs="David" w:hint="cs"/>
          <w:rtl/>
        </w:rPr>
        <w:t xml:space="preserve"> </w:t>
      </w:r>
      <w:r w:rsidR="00A329F1">
        <w:rPr>
          <w:rFonts w:ascii="Arial" w:hAnsi="Arial" w:cs="David" w:hint="cs"/>
          <w:rtl/>
        </w:rPr>
        <w:t>ה</w:t>
      </w:r>
      <w:r w:rsidR="000E4FE7">
        <w:rPr>
          <w:rFonts w:ascii="Arial" w:hAnsi="Arial" w:cs="David" w:hint="cs"/>
          <w:rtl/>
        </w:rPr>
        <w:t xml:space="preserve">מופקדים בחו"ל </w:t>
      </w:r>
      <w:r w:rsidR="009265CF">
        <w:rPr>
          <w:rFonts w:ascii="Arial" w:hAnsi="Arial" w:cs="David" w:hint="cs"/>
          <w:rtl/>
        </w:rPr>
        <w:t>(</w:t>
      </w:r>
      <w:r w:rsidR="00B3376B" w:rsidRPr="002216F2">
        <w:rPr>
          <w:rFonts w:ascii="Arial" w:hAnsi="Arial" w:cs="David" w:hint="cs"/>
          <w:rtl/>
        </w:rPr>
        <w:t>כ-</w:t>
      </w:r>
      <w:r w:rsidR="000E4FE7">
        <w:rPr>
          <w:rFonts w:ascii="Arial" w:hAnsi="Arial" w:cs="David" w:hint="cs"/>
          <w:rtl/>
        </w:rPr>
        <w:t xml:space="preserve">2.8 </w:t>
      </w:r>
      <w:r w:rsidR="00B3376B" w:rsidRPr="002216F2">
        <w:rPr>
          <w:rFonts w:ascii="Arial" w:hAnsi="Arial" w:cs="David" w:hint="cs"/>
          <w:rtl/>
        </w:rPr>
        <w:t>מיליארדי דולרים</w:t>
      </w:r>
      <w:r w:rsidR="009265CF">
        <w:rPr>
          <w:rFonts w:ascii="Arial" w:hAnsi="Arial" w:cs="David" w:hint="cs"/>
          <w:rtl/>
        </w:rPr>
        <w:t>)</w:t>
      </w:r>
      <w:r w:rsidR="00A329F1">
        <w:rPr>
          <w:rFonts w:ascii="Arial" w:hAnsi="Arial" w:cs="David" w:hint="cs"/>
          <w:rtl/>
        </w:rPr>
        <w:t xml:space="preserve"> ו</w:t>
      </w:r>
      <w:r w:rsidR="000E4FE7">
        <w:rPr>
          <w:rFonts w:ascii="Arial" w:hAnsi="Arial" w:cs="David" w:hint="cs"/>
          <w:rtl/>
        </w:rPr>
        <w:t>מפירעון אשראי לקוחות</w:t>
      </w:r>
      <w:r w:rsidR="00E4318E">
        <w:rPr>
          <w:rFonts w:ascii="Arial" w:hAnsi="Arial" w:cs="David" w:hint="cs"/>
          <w:rtl/>
        </w:rPr>
        <w:t xml:space="preserve"> </w:t>
      </w:r>
      <w:r w:rsidR="009265CF">
        <w:rPr>
          <w:rFonts w:ascii="Arial" w:hAnsi="Arial" w:cs="David" w:hint="cs"/>
          <w:rtl/>
        </w:rPr>
        <w:t>שנתנו</w:t>
      </w:r>
      <w:r w:rsidR="009930B9">
        <w:rPr>
          <w:rFonts w:ascii="Arial" w:hAnsi="Arial" w:cs="David" w:hint="cs"/>
          <w:rtl/>
        </w:rPr>
        <w:t xml:space="preserve"> תושבי ישראל</w:t>
      </w:r>
      <w:r w:rsidR="009265CF">
        <w:rPr>
          <w:rFonts w:ascii="Arial" w:hAnsi="Arial" w:cs="David" w:hint="cs"/>
          <w:rtl/>
        </w:rPr>
        <w:t xml:space="preserve"> </w:t>
      </w:r>
      <w:r w:rsidR="00E4318E">
        <w:rPr>
          <w:rFonts w:ascii="Arial" w:hAnsi="Arial" w:cs="David" w:hint="cs"/>
          <w:rtl/>
        </w:rPr>
        <w:t xml:space="preserve">לתושבי חוץ </w:t>
      </w:r>
      <w:r w:rsidR="009265CF">
        <w:rPr>
          <w:rFonts w:ascii="Arial" w:hAnsi="Arial" w:cs="David" w:hint="cs"/>
          <w:rtl/>
        </w:rPr>
        <w:t>(</w:t>
      </w:r>
      <w:r w:rsidR="00E4318E">
        <w:rPr>
          <w:rFonts w:ascii="Arial" w:hAnsi="Arial" w:cs="David" w:hint="cs"/>
          <w:rtl/>
        </w:rPr>
        <w:t>כ-</w:t>
      </w:r>
      <w:r w:rsidR="000E4FE7">
        <w:rPr>
          <w:rFonts w:ascii="Arial" w:hAnsi="Arial" w:cs="David" w:hint="cs"/>
          <w:rtl/>
        </w:rPr>
        <w:t>0.7</w:t>
      </w:r>
      <w:r w:rsidR="00E4318E">
        <w:rPr>
          <w:rFonts w:ascii="Arial" w:hAnsi="Arial" w:cs="David" w:hint="cs"/>
          <w:rtl/>
        </w:rPr>
        <w:t xml:space="preserve"> מיליארדים</w:t>
      </w:r>
      <w:r w:rsidR="009265CF">
        <w:rPr>
          <w:rFonts w:ascii="Arial" w:hAnsi="Arial" w:cs="David" w:hint="cs"/>
          <w:rtl/>
        </w:rPr>
        <w:t>)</w:t>
      </w:r>
      <w:r w:rsidR="00A329F1">
        <w:rPr>
          <w:rFonts w:ascii="Arial" w:hAnsi="Arial" w:cs="David" w:hint="cs"/>
          <w:rtl/>
        </w:rPr>
        <w:t>.</w:t>
      </w:r>
      <w:r w:rsidR="00844D86" w:rsidRPr="002216F2">
        <w:rPr>
          <w:rFonts w:ascii="Arial" w:hAnsi="Arial" w:cs="David" w:hint="cs"/>
          <w:rtl/>
        </w:rPr>
        <w:t xml:space="preserve"> </w:t>
      </w:r>
      <w:r w:rsidR="00E4318E">
        <w:rPr>
          <w:rFonts w:ascii="Arial" w:hAnsi="Arial" w:cs="David" w:hint="cs"/>
          <w:rtl/>
        </w:rPr>
        <w:t xml:space="preserve">מנגד, נרשמו </w:t>
      </w:r>
      <w:r w:rsidR="00956608">
        <w:rPr>
          <w:rFonts w:ascii="Arial" w:hAnsi="Arial" w:cs="David" w:hint="cs"/>
          <w:rtl/>
        </w:rPr>
        <w:t>הפקדות</w:t>
      </w:r>
      <w:r w:rsidR="00A329F1">
        <w:rPr>
          <w:rFonts w:ascii="Arial" w:hAnsi="Arial" w:cs="David" w:hint="cs"/>
          <w:rtl/>
        </w:rPr>
        <w:t xml:space="preserve"> נטו</w:t>
      </w:r>
      <w:r w:rsidR="00E4318E">
        <w:rPr>
          <w:rFonts w:ascii="Arial" w:hAnsi="Arial" w:cs="David" w:hint="cs"/>
          <w:rtl/>
        </w:rPr>
        <w:t xml:space="preserve"> </w:t>
      </w:r>
      <w:r w:rsidR="00A329F1">
        <w:rPr>
          <w:rFonts w:ascii="Arial" w:hAnsi="Arial" w:cs="David" w:hint="cs"/>
          <w:rtl/>
        </w:rPr>
        <w:t>ב</w:t>
      </w:r>
      <w:r w:rsidR="00E4318E">
        <w:rPr>
          <w:rFonts w:ascii="Arial" w:hAnsi="Arial" w:cs="David" w:hint="cs"/>
          <w:rtl/>
        </w:rPr>
        <w:t xml:space="preserve">פיקדונות </w:t>
      </w:r>
      <w:r w:rsidR="00507C24">
        <w:rPr>
          <w:rFonts w:ascii="Arial" w:hAnsi="Arial" w:cs="David" w:hint="cs"/>
          <w:rtl/>
        </w:rPr>
        <w:t>בנקים ישראל</w:t>
      </w:r>
      <w:r w:rsidR="00A329F1">
        <w:rPr>
          <w:rFonts w:ascii="Arial" w:hAnsi="Arial" w:cs="David" w:hint="cs"/>
          <w:rtl/>
        </w:rPr>
        <w:t>י</w:t>
      </w:r>
      <w:r w:rsidR="00507C24">
        <w:rPr>
          <w:rFonts w:ascii="Arial" w:hAnsi="Arial" w:cs="David" w:hint="cs"/>
          <w:rtl/>
        </w:rPr>
        <w:t>ים בחו"ל</w:t>
      </w:r>
      <w:r w:rsidR="00E4318E">
        <w:rPr>
          <w:rFonts w:ascii="Arial" w:hAnsi="Arial" w:cs="David" w:hint="cs"/>
          <w:rtl/>
        </w:rPr>
        <w:t xml:space="preserve"> בהיקף של כ-1.</w:t>
      </w:r>
      <w:r w:rsidR="00507C24">
        <w:rPr>
          <w:rFonts w:ascii="Arial" w:hAnsi="Arial" w:cs="David" w:hint="cs"/>
          <w:rtl/>
        </w:rPr>
        <w:t>5</w:t>
      </w:r>
      <w:r w:rsidR="00E4318E">
        <w:rPr>
          <w:rFonts w:ascii="Arial" w:hAnsi="Arial" w:cs="David" w:hint="cs"/>
          <w:rtl/>
        </w:rPr>
        <w:t xml:space="preserve"> מיליארדים</w:t>
      </w:r>
      <w:r w:rsidR="008F6EC3" w:rsidRPr="002216F2">
        <w:rPr>
          <w:rFonts w:ascii="Arial" w:hAnsi="Arial" w:cs="David" w:hint="cs"/>
          <w:rtl/>
        </w:rPr>
        <w:t>.</w:t>
      </w:r>
    </w:p>
    <w:p w:rsidR="002216F2" w:rsidRPr="002216F2" w:rsidRDefault="002216F2" w:rsidP="00A329F1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2216F2">
        <w:rPr>
          <w:rStyle w:val="20"/>
          <w:rFonts w:hint="cs"/>
          <w:b/>
          <w:bCs/>
          <w:rtl/>
        </w:rPr>
        <w:t>המט"ח</w:t>
      </w:r>
      <w:proofErr w:type="spellEnd"/>
      <w:r w:rsidRPr="002216F2">
        <w:rPr>
          <w:rFonts w:ascii="Arial" w:hAnsi="Arial" w:cs="David" w:hint="cs"/>
          <w:rtl/>
        </w:rPr>
        <w:t xml:space="preserve"> </w:t>
      </w:r>
      <w:r w:rsidR="009C275B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rtl/>
        </w:rPr>
        <w:t xml:space="preserve"> במהלך הרביע ה</w:t>
      </w:r>
      <w:r w:rsidR="00DC198A">
        <w:rPr>
          <w:rFonts w:ascii="Arial" w:hAnsi="Arial" w:cs="David" w:hint="cs"/>
          <w:rtl/>
        </w:rPr>
        <w:t>ר</w:t>
      </w:r>
      <w:r w:rsidR="009C275B">
        <w:rPr>
          <w:rFonts w:ascii="Arial" w:hAnsi="Arial" w:cs="David" w:hint="cs"/>
          <w:rtl/>
        </w:rPr>
        <w:t>אשון</w:t>
      </w:r>
      <w:r w:rsidR="00DC198A">
        <w:rPr>
          <w:rFonts w:ascii="Arial" w:hAnsi="Arial" w:cs="David" w:hint="cs"/>
          <w:rtl/>
        </w:rPr>
        <w:t xml:space="preserve"> ב</w:t>
      </w:r>
      <w:r w:rsidRPr="002216F2">
        <w:rPr>
          <w:rFonts w:ascii="Arial" w:hAnsi="Arial" w:cs="David" w:hint="cs"/>
          <w:rtl/>
        </w:rPr>
        <w:t>כ-</w:t>
      </w:r>
      <w:r w:rsidR="009C275B">
        <w:rPr>
          <w:rFonts w:ascii="Arial" w:hAnsi="Arial" w:cs="David" w:hint="cs"/>
          <w:rtl/>
        </w:rPr>
        <w:t>2.9</w:t>
      </w:r>
      <w:r w:rsidRPr="002216F2">
        <w:rPr>
          <w:rFonts w:ascii="Arial" w:hAnsi="Arial" w:cs="David" w:hint="cs"/>
          <w:rtl/>
        </w:rPr>
        <w:t xml:space="preserve"> </w:t>
      </w:r>
      <w:r w:rsidR="00A329F1" w:rsidRPr="002216F2">
        <w:rPr>
          <w:rFonts w:ascii="Arial" w:hAnsi="Arial" w:cs="David" w:hint="cs"/>
          <w:rtl/>
        </w:rPr>
        <w:t>מיליארדי</w:t>
      </w:r>
      <w:r w:rsidR="00A329F1">
        <w:rPr>
          <w:rFonts w:ascii="Arial" w:hAnsi="Arial" w:cs="David" w:hint="cs"/>
          <w:rtl/>
        </w:rPr>
        <w:t xml:space="preserve"> דולרים</w:t>
      </w:r>
      <w:r w:rsidR="00A329F1" w:rsidRPr="002216F2">
        <w:rPr>
          <w:rFonts w:ascii="Arial" w:hAnsi="Arial" w:cs="David" w:hint="cs"/>
          <w:rtl/>
        </w:rPr>
        <w:t xml:space="preserve"> </w:t>
      </w:r>
      <w:r w:rsidRPr="002216F2">
        <w:rPr>
          <w:rFonts w:ascii="Arial" w:hAnsi="Arial" w:cs="David" w:hint="cs"/>
          <w:rtl/>
        </w:rPr>
        <w:t>(</w:t>
      </w:r>
      <w:r w:rsidR="00A329F1">
        <w:rPr>
          <w:rFonts w:ascii="Arial" w:hAnsi="Arial" w:cs="David" w:hint="cs"/>
          <w:rtl/>
        </w:rPr>
        <w:t>2.6</w:t>
      </w:r>
      <w:r w:rsidR="009C275B">
        <w:rPr>
          <w:rFonts w:ascii="Arial" w:hAnsi="Arial" w:cs="David" w:hint="cs"/>
          <w:rtl/>
        </w:rPr>
        <w:t>%</w:t>
      </w:r>
      <w:r w:rsidRPr="002216F2">
        <w:rPr>
          <w:rFonts w:ascii="Arial" w:hAnsi="Arial" w:cs="David" w:hint="cs"/>
          <w:rtl/>
        </w:rPr>
        <w:t>) ועמד בסוף הרביע על 11</w:t>
      </w:r>
      <w:r w:rsidR="009C275B">
        <w:rPr>
          <w:rFonts w:ascii="Arial" w:hAnsi="Arial" w:cs="David" w:hint="cs"/>
          <w:rtl/>
        </w:rPr>
        <w:t>8</w:t>
      </w:r>
      <w:r w:rsidRPr="002216F2">
        <w:rPr>
          <w:rFonts w:ascii="Arial" w:hAnsi="Arial" w:cs="David" w:hint="cs"/>
          <w:rtl/>
        </w:rPr>
        <w:t xml:space="preserve"> מיליארדים.</w:t>
      </w:r>
    </w:p>
    <w:p w:rsidR="00595D2C" w:rsidRDefault="00D064D6" w:rsidP="00511669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>כתוצאה מ</w:t>
      </w:r>
      <w:r w:rsidR="007F3887">
        <w:rPr>
          <w:rFonts w:ascii="Arial" w:hAnsi="Arial" w:cs="David" w:hint="cs"/>
          <w:rtl/>
        </w:rPr>
        <w:t>ה</w:t>
      </w:r>
      <w:r w:rsidR="004E0BC2">
        <w:rPr>
          <w:rFonts w:ascii="Arial" w:hAnsi="Arial" w:cs="David" w:hint="cs"/>
          <w:rtl/>
        </w:rPr>
        <w:t>עלייה</w:t>
      </w:r>
      <w:r w:rsidR="00595D2C">
        <w:rPr>
          <w:rFonts w:ascii="Arial" w:hAnsi="Arial" w:cs="David" w:hint="cs"/>
          <w:rtl/>
        </w:rPr>
        <w:t xml:space="preserve"> בשווי ההשקעות </w:t>
      </w:r>
      <w:r w:rsidR="007F3887">
        <w:rPr>
          <w:rFonts w:ascii="Arial" w:hAnsi="Arial" w:cs="David" w:hint="cs"/>
          <w:rtl/>
        </w:rPr>
        <w:t xml:space="preserve">הפיננסיות </w:t>
      </w:r>
      <w:r w:rsidR="002247AE">
        <w:rPr>
          <w:rFonts w:ascii="Arial" w:hAnsi="Arial" w:cs="David" w:hint="cs"/>
          <w:rtl/>
        </w:rPr>
        <w:t>ב</w:t>
      </w:r>
      <w:r w:rsidR="0034126E">
        <w:rPr>
          <w:rFonts w:ascii="Arial" w:hAnsi="Arial" w:cs="David" w:hint="cs"/>
          <w:rtl/>
        </w:rPr>
        <w:t xml:space="preserve">הון </w:t>
      </w:r>
      <w:r w:rsidR="002247AE">
        <w:rPr>
          <w:rFonts w:ascii="Arial" w:hAnsi="Arial" w:cs="David" w:hint="cs"/>
          <w:rtl/>
        </w:rPr>
        <w:t>מניות (נכס</w:t>
      </w:r>
      <w:r w:rsidR="009029FB">
        <w:rPr>
          <w:rFonts w:ascii="Arial" w:hAnsi="Arial" w:cs="David" w:hint="cs"/>
          <w:rtl/>
        </w:rPr>
        <w:t>י</w:t>
      </w:r>
      <w:r w:rsidR="002247AE">
        <w:rPr>
          <w:rFonts w:ascii="Arial" w:hAnsi="Arial" w:cs="David" w:hint="cs"/>
          <w:rtl/>
        </w:rPr>
        <w:t xml:space="preserve"> הון)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7F3887">
        <w:rPr>
          <w:rFonts w:ascii="Arial" w:hAnsi="Arial" w:cs="David" w:hint="cs"/>
          <w:rtl/>
        </w:rPr>
        <w:t>חלה</w:t>
      </w:r>
      <w:r w:rsidR="00F23FA6">
        <w:rPr>
          <w:rFonts w:ascii="Arial" w:hAnsi="Arial" w:cs="David" w:hint="cs"/>
          <w:rtl/>
        </w:rPr>
        <w:t xml:space="preserve"> ברביע </w:t>
      </w:r>
      <w:r w:rsidR="0034126E">
        <w:rPr>
          <w:rFonts w:ascii="Arial" w:hAnsi="Arial" w:cs="David" w:hint="cs"/>
          <w:rtl/>
        </w:rPr>
        <w:t>ה</w:t>
      </w:r>
      <w:r w:rsidR="004E0BC2">
        <w:rPr>
          <w:rFonts w:ascii="Arial" w:hAnsi="Arial" w:cs="David" w:hint="cs"/>
          <w:rtl/>
        </w:rPr>
        <w:t>ראשון</w:t>
      </w:r>
      <w:r w:rsidR="00F23FA6">
        <w:rPr>
          <w:rFonts w:ascii="Arial" w:hAnsi="Arial" w:cs="David" w:hint="cs"/>
          <w:rtl/>
        </w:rPr>
        <w:t xml:space="preserve"> </w:t>
      </w:r>
      <w:r w:rsidR="004E0BC2">
        <w:rPr>
          <w:rFonts w:ascii="Arial" w:hAnsi="Arial" w:cs="David" w:hint="cs"/>
          <w:rtl/>
        </w:rPr>
        <w:t>עליה</w:t>
      </w:r>
      <w:r w:rsidR="007F3887">
        <w:rPr>
          <w:rFonts w:ascii="Arial" w:hAnsi="Arial" w:cs="David" w:hint="cs"/>
          <w:rtl/>
        </w:rPr>
        <w:t xml:space="preserve"> של נקודת האחוז </w:t>
      </w:r>
      <w:r w:rsidR="00F23FA6">
        <w:rPr>
          <w:rFonts w:ascii="Arial" w:hAnsi="Arial" w:cs="David" w:hint="cs"/>
          <w:rtl/>
        </w:rPr>
        <w:t xml:space="preserve">במשקלם של מכשירי ההון </w:t>
      </w:r>
      <w:r w:rsidR="00F23FA6" w:rsidRPr="00F23FA6">
        <w:rPr>
          <w:rFonts w:ascii="Arial" w:hAnsi="Arial" w:cs="David" w:hint="cs"/>
          <w:rtl/>
        </w:rPr>
        <w:t>בתיק הנכסים של תושבי ישראל בחו"ל</w:t>
      </w:r>
      <w:r w:rsidR="007F3887">
        <w:rPr>
          <w:rFonts w:ascii="Arial" w:hAnsi="Arial" w:cs="David" w:hint="cs"/>
          <w:rtl/>
        </w:rPr>
        <w:t xml:space="preserve">, כך שבסוף </w:t>
      </w:r>
      <w:r w:rsidR="004E0BC2">
        <w:rPr>
          <w:rFonts w:ascii="Arial" w:hAnsi="Arial" w:cs="David" w:hint="cs"/>
          <w:rtl/>
        </w:rPr>
        <w:t>מרץ</w:t>
      </w:r>
      <w:r w:rsidR="007F3887">
        <w:rPr>
          <w:rFonts w:ascii="Arial" w:hAnsi="Arial" w:cs="David" w:hint="cs"/>
          <w:rtl/>
        </w:rPr>
        <w:t xml:space="preserve"> הם היו</w:t>
      </w:r>
      <w:r w:rsidR="00511669">
        <w:rPr>
          <w:rFonts w:ascii="Arial" w:hAnsi="Arial" w:cs="David" w:hint="cs"/>
          <w:rtl/>
        </w:rPr>
        <w:t>ו</w:t>
      </w:r>
      <w:r w:rsidR="007F3887">
        <w:rPr>
          <w:rFonts w:ascii="Arial" w:hAnsi="Arial" w:cs="David" w:hint="cs"/>
          <w:rtl/>
        </w:rPr>
        <w:t xml:space="preserve"> </w:t>
      </w:r>
      <w:r w:rsidR="00B236D1">
        <w:rPr>
          <w:rFonts w:ascii="Arial" w:hAnsi="Arial" w:cs="David" w:hint="cs"/>
          <w:rtl/>
        </w:rPr>
        <w:t>44</w:t>
      </w:r>
      <w:r w:rsidR="007F3887">
        <w:rPr>
          <w:rFonts w:ascii="Arial" w:hAnsi="Arial" w:cs="David" w:hint="cs"/>
          <w:rtl/>
        </w:rPr>
        <w:t>% מסך התיק</w:t>
      </w:r>
      <w:r w:rsidR="00A329F1">
        <w:rPr>
          <w:rFonts w:ascii="Arial" w:hAnsi="Arial" w:cs="David" w:hint="cs"/>
          <w:rtl/>
        </w:rPr>
        <w:t>.</w:t>
      </w:r>
      <w:r w:rsidR="00B236D1">
        <w:rPr>
          <w:rFonts w:ascii="Arial" w:hAnsi="Arial" w:cs="David" w:hint="cs"/>
          <w:b/>
          <w:bCs/>
          <w:rtl/>
        </w:rPr>
        <w:t xml:space="preserve"> </w:t>
      </w:r>
    </w:p>
    <w:p w:rsidR="002216F2" w:rsidRPr="00595D2C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Pr="002216F2" w:rsidRDefault="00890447" w:rsidP="00511669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A263B9">
        <w:rPr>
          <w:rFonts w:ascii="Arial" w:hAnsi="Arial" w:cs="David" w:hint="cs"/>
          <w:rtl/>
        </w:rPr>
        <w:t>עלתה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34126E">
        <w:rPr>
          <w:rFonts w:ascii="Arial" w:hAnsi="Arial" w:cs="David" w:hint="cs"/>
          <w:rtl/>
        </w:rPr>
        <w:t>ה</w:t>
      </w:r>
      <w:r w:rsidR="00A263B9">
        <w:rPr>
          <w:rFonts w:ascii="Arial" w:hAnsi="Arial" w:cs="David" w:hint="cs"/>
          <w:rtl/>
        </w:rPr>
        <w:t>ראשון</w:t>
      </w:r>
      <w:r>
        <w:rPr>
          <w:rFonts w:ascii="Arial" w:hAnsi="Arial" w:cs="David" w:hint="cs"/>
          <w:rtl/>
        </w:rPr>
        <w:t xml:space="preserve"> ב</w:t>
      </w:r>
      <w:r w:rsidR="00E45365">
        <w:rPr>
          <w:rFonts w:ascii="Arial" w:hAnsi="Arial" w:cs="David" w:hint="cs"/>
          <w:rtl/>
        </w:rPr>
        <w:t>כ</w:t>
      </w:r>
      <w:r>
        <w:rPr>
          <w:rFonts w:ascii="Arial" w:hAnsi="Arial" w:cs="David" w:hint="cs"/>
          <w:rtl/>
        </w:rPr>
        <w:t>-</w:t>
      </w:r>
      <w:r w:rsidR="00A263B9">
        <w:rPr>
          <w:rFonts w:ascii="Arial" w:hAnsi="Arial" w:cs="David" w:hint="cs"/>
          <w:rtl/>
        </w:rPr>
        <w:t>16</w:t>
      </w:r>
      <w:r w:rsidR="00981202">
        <w:rPr>
          <w:rFonts w:ascii="Arial" w:hAnsi="Arial" w:cs="David" w:hint="cs"/>
          <w:rtl/>
        </w:rPr>
        <w:t>.</w:t>
      </w:r>
      <w:r w:rsidR="00A263B9">
        <w:rPr>
          <w:rFonts w:ascii="Arial" w:hAnsi="Arial" w:cs="David" w:hint="cs"/>
          <w:rtl/>
        </w:rPr>
        <w:t>1</w:t>
      </w:r>
      <w:r>
        <w:rPr>
          <w:rFonts w:ascii="Arial" w:hAnsi="Arial" w:cs="David" w:hint="cs"/>
          <w:rtl/>
        </w:rPr>
        <w:t xml:space="preserve"> מיליארדי דולרים (</w:t>
      </w:r>
      <w:r w:rsidR="00915EE3">
        <w:rPr>
          <w:rFonts w:ascii="Arial" w:hAnsi="Arial" w:cs="David" w:hint="cs"/>
          <w:rtl/>
        </w:rPr>
        <w:t>5.3%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511669">
        <w:rPr>
          <w:rFonts w:ascii="Arial" w:hAnsi="Arial" w:cs="David" w:hint="cs"/>
          <w:rtl/>
        </w:rPr>
        <w:t>מרץ</w:t>
      </w:r>
      <w:r w:rsidRPr="002216F2">
        <w:rPr>
          <w:rFonts w:ascii="Arial" w:hAnsi="Arial" w:cs="David" w:hint="cs"/>
          <w:rtl/>
        </w:rPr>
        <w:t xml:space="preserve"> על כ-</w:t>
      </w:r>
      <w:r w:rsidR="00915EE3">
        <w:rPr>
          <w:rFonts w:ascii="Arial" w:hAnsi="Arial" w:cs="David" w:hint="cs"/>
          <w:rtl/>
        </w:rPr>
        <w:t>320</w:t>
      </w:r>
      <w:r w:rsidRPr="002216F2">
        <w:rPr>
          <w:rFonts w:ascii="Arial" w:hAnsi="Arial" w:cs="David" w:hint="cs"/>
          <w:rtl/>
        </w:rPr>
        <w:t xml:space="preserve"> מיליארדים.</w:t>
      </w:r>
    </w:p>
    <w:p w:rsidR="000435BB" w:rsidRPr="00466B10" w:rsidRDefault="00890447" w:rsidP="00AE1926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יתרת ההשקעות הישירות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>רביע</w:t>
      </w:r>
      <w:r w:rsidR="0034126E" w:rsidRPr="002216F2">
        <w:rPr>
          <w:rFonts w:ascii="Arial" w:hAnsi="Arial" w:cs="David" w:hint="cs"/>
          <w:rtl/>
        </w:rPr>
        <w:t>י</w:t>
      </w:r>
      <w:r w:rsidRPr="002216F2">
        <w:rPr>
          <w:rFonts w:ascii="Arial" w:hAnsi="Arial" w:cs="David" w:hint="cs"/>
          <w:rtl/>
        </w:rPr>
        <w:t xml:space="preserve"> </w:t>
      </w:r>
      <w:r w:rsidR="0046284A" w:rsidRPr="002216F2">
        <w:rPr>
          <w:rFonts w:ascii="Arial" w:hAnsi="Arial" w:cs="David" w:hint="cs"/>
          <w:rtl/>
        </w:rPr>
        <w:t>בכ</w:t>
      </w:r>
      <w:r w:rsidR="0034126E" w:rsidRPr="002216F2">
        <w:rPr>
          <w:rFonts w:ascii="Arial" w:hAnsi="Arial" w:cs="David" w:hint="cs"/>
          <w:rtl/>
        </w:rPr>
        <w:t>-</w:t>
      </w:r>
      <w:r w:rsidR="00915EE3">
        <w:rPr>
          <w:rFonts w:ascii="Arial" w:hAnsi="Arial" w:cs="David" w:hint="cs"/>
          <w:rtl/>
        </w:rPr>
        <w:t>5</w:t>
      </w:r>
      <w:r w:rsidR="009D0C43">
        <w:rPr>
          <w:rFonts w:ascii="Arial" w:hAnsi="Arial" w:cs="David" w:hint="cs"/>
          <w:rtl/>
        </w:rPr>
        <w:t>.</w:t>
      </w:r>
      <w:r w:rsidR="00915EE3">
        <w:rPr>
          <w:rFonts w:ascii="Arial" w:hAnsi="Arial" w:cs="David" w:hint="cs"/>
          <w:rtl/>
        </w:rPr>
        <w:t>3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915EE3">
        <w:rPr>
          <w:rFonts w:ascii="Arial" w:hAnsi="Arial" w:cs="David" w:hint="cs"/>
          <w:rtl/>
        </w:rPr>
        <w:t>3</w:t>
      </w:r>
      <w:r w:rsidR="009D0C43">
        <w:rPr>
          <w:rFonts w:ascii="Arial" w:hAnsi="Arial" w:cs="David" w:hint="cs"/>
          <w:rtl/>
        </w:rPr>
        <w:t>.</w:t>
      </w:r>
      <w:r w:rsidR="00915EE3">
        <w:rPr>
          <w:rFonts w:ascii="Arial" w:hAnsi="Arial" w:cs="David" w:hint="cs"/>
          <w:rtl/>
        </w:rPr>
        <w:t>7</w:t>
      </w:r>
      <w:r w:rsidRPr="002216F2">
        <w:rPr>
          <w:rFonts w:ascii="Arial" w:hAnsi="Arial" w:cs="David" w:hint="cs"/>
          <w:rtl/>
        </w:rPr>
        <w:t xml:space="preserve">%). העלייה נבעה </w:t>
      </w:r>
      <w:r w:rsidR="009D0C43">
        <w:rPr>
          <w:rFonts w:ascii="Arial" w:hAnsi="Arial" w:cs="David" w:hint="cs"/>
          <w:rtl/>
        </w:rPr>
        <w:t xml:space="preserve">בעיקר </w:t>
      </w:r>
      <w:r w:rsidR="0046284A" w:rsidRPr="002216F2">
        <w:rPr>
          <w:rFonts w:ascii="Arial" w:hAnsi="Arial" w:cs="David" w:hint="cs"/>
          <w:rtl/>
        </w:rPr>
        <w:t>מ</w:t>
      </w:r>
      <w:r w:rsidR="0018795A">
        <w:rPr>
          <w:rFonts w:ascii="Arial" w:hAnsi="Arial" w:cs="David" w:hint="cs"/>
          <w:rtl/>
        </w:rPr>
        <w:t xml:space="preserve">זרם </w:t>
      </w:r>
      <w:r w:rsidRPr="002216F2">
        <w:rPr>
          <w:rFonts w:ascii="Arial" w:hAnsi="Arial" w:cs="David" w:hint="cs"/>
          <w:rtl/>
        </w:rPr>
        <w:t xml:space="preserve">השקעות ישירות נטו </w:t>
      </w:r>
      <w:r w:rsidR="0046284A" w:rsidRPr="002216F2">
        <w:rPr>
          <w:rFonts w:ascii="Arial" w:hAnsi="Arial" w:cs="David" w:hint="cs"/>
          <w:rtl/>
        </w:rPr>
        <w:t xml:space="preserve">של תושבי חוץ </w:t>
      </w:r>
      <w:r w:rsidR="006301E0" w:rsidRPr="002216F2">
        <w:rPr>
          <w:rFonts w:ascii="Arial" w:hAnsi="Arial" w:cs="David" w:hint="cs"/>
          <w:rtl/>
        </w:rPr>
        <w:t>בהון מניות ישראליות</w:t>
      </w:r>
      <w:r w:rsidR="000830F4">
        <w:rPr>
          <w:rFonts w:ascii="Arial" w:hAnsi="Arial" w:cs="David" w:hint="cs"/>
          <w:rtl/>
        </w:rPr>
        <w:t xml:space="preserve"> והלווא</w:t>
      </w:r>
      <w:r w:rsidR="00AE1926">
        <w:rPr>
          <w:rFonts w:ascii="Arial" w:hAnsi="Arial" w:cs="David" w:hint="cs"/>
          <w:rtl/>
        </w:rPr>
        <w:t>ו</w:t>
      </w:r>
      <w:r w:rsidR="000830F4">
        <w:rPr>
          <w:rFonts w:ascii="Arial" w:hAnsi="Arial" w:cs="David" w:hint="cs"/>
          <w:rtl/>
        </w:rPr>
        <w:t>ת בעלים שנתנו תושבי חוץ</w:t>
      </w:r>
      <w:r w:rsidR="00466B10">
        <w:rPr>
          <w:rFonts w:ascii="Arial" w:hAnsi="Arial" w:cs="David" w:hint="cs"/>
          <w:rtl/>
        </w:rPr>
        <w:t xml:space="preserve"> (</w:t>
      </w:r>
      <w:r w:rsidR="000830F4">
        <w:rPr>
          <w:rFonts w:ascii="Arial" w:hAnsi="Arial" w:cs="David" w:hint="cs"/>
          <w:rtl/>
        </w:rPr>
        <w:t>2.6</w:t>
      </w:r>
      <w:r w:rsidR="00466B10">
        <w:rPr>
          <w:rFonts w:ascii="Arial" w:hAnsi="Arial" w:cs="David" w:hint="cs"/>
          <w:rtl/>
        </w:rPr>
        <w:t xml:space="preserve"> מיליארדי דולרים</w:t>
      </w:r>
      <w:r w:rsidR="00AE1926">
        <w:rPr>
          <w:rFonts w:ascii="Arial" w:hAnsi="Arial" w:cs="David" w:hint="cs"/>
          <w:rtl/>
        </w:rPr>
        <w:t xml:space="preserve"> ו-1.4 מיליארדים, בהתאמה</w:t>
      </w:r>
      <w:r w:rsidR="00466B10">
        <w:rPr>
          <w:rFonts w:ascii="Arial" w:hAnsi="Arial" w:cs="David" w:hint="cs"/>
          <w:rtl/>
        </w:rPr>
        <w:t>)</w:t>
      </w:r>
      <w:r w:rsidR="000D4952">
        <w:rPr>
          <w:rFonts w:ascii="Arial" w:hAnsi="Arial" w:cs="David" w:hint="cs"/>
          <w:rtl/>
        </w:rPr>
        <w:t>.</w:t>
      </w:r>
      <w:r w:rsidR="003912C6">
        <w:rPr>
          <w:rFonts w:ascii="Arial" w:hAnsi="Arial" w:cs="David" w:hint="cs"/>
          <w:rtl/>
        </w:rPr>
        <w:t xml:space="preserve"> </w:t>
      </w:r>
      <w:r w:rsidR="00AE1926">
        <w:rPr>
          <w:rFonts w:ascii="Arial" w:hAnsi="Arial" w:cs="David" w:hint="cs"/>
          <w:rtl/>
        </w:rPr>
        <w:t>בנוסף</w:t>
      </w:r>
      <w:r w:rsidR="000D4952">
        <w:rPr>
          <w:rFonts w:ascii="Arial" w:hAnsi="Arial" w:cs="David" w:hint="cs"/>
          <w:rtl/>
        </w:rPr>
        <w:t>,</w:t>
      </w:r>
      <w:r w:rsidR="00AE1926">
        <w:rPr>
          <w:rFonts w:ascii="Arial" w:hAnsi="Arial" w:cs="David" w:hint="cs"/>
          <w:rtl/>
        </w:rPr>
        <w:t xml:space="preserve"> נרשמו במהלך הרביע עליות </w:t>
      </w:r>
      <w:r w:rsidR="003912C6">
        <w:rPr>
          <w:rFonts w:ascii="Arial" w:hAnsi="Arial" w:cs="David" w:hint="cs"/>
          <w:rtl/>
        </w:rPr>
        <w:t>במחירי המניות הישראליות</w:t>
      </w:r>
      <w:r w:rsidR="00466B10">
        <w:rPr>
          <w:rFonts w:ascii="Arial" w:hAnsi="Arial" w:cs="David" w:hint="cs"/>
          <w:rtl/>
        </w:rPr>
        <w:t xml:space="preserve"> (</w:t>
      </w:r>
      <w:r w:rsidR="002C2844">
        <w:rPr>
          <w:rFonts w:ascii="Arial" w:hAnsi="Arial" w:cs="David" w:hint="cs"/>
          <w:rtl/>
        </w:rPr>
        <w:t>1.4</w:t>
      </w:r>
      <w:r w:rsidR="00466B10">
        <w:rPr>
          <w:rFonts w:ascii="Arial" w:hAnsi="Arial" w:cs="David" w:hint="cs"/>
          <w:rtl/>
        </w:rPr>
        <w:t xml:space="preserve"> מיליארדים, </w:t>
      </w:r>
      <w:r w:rsidR="002C2844">
        <w:rPr>
          <w:rFonts w:ascii="Arial" w:hAnsi="Arial" w:cs="David" w:hint="cs"/>
          <w:rtl/>
        </w:rPr>
        <w:t>0.9%</w:t>
      </w:r>
      <w:r w:rsidR="00466B10">
        <w:rPr>
          <w:rFonts w:ascii="Arial" w:hAnsi="Arial" w:cs="David" w:hint="cs"/>
          <w:rtl/>
        </w:rPr>
        <w:t>)</w:t>
      </w:r>
      <w:r w:rsidR="006301E0" w:rsidRPr="002216F2">
        <w:rPr>
          <w:rFonts w:ascii="Arial" w:hAnsi="Arial" w:cs="David" w:hint="cs"/>
          <w:rtl/>
        </w:rPr>
        <w:t xml:space="preserve">. </w:t>
      </w:r>
    </w:p>
    <w:p w:rsidR="00FA5AFC" w:rsidRPr="002216F2" w:rsidRDefault="00695D66" w:rsidP="00AE1926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 xml:space="preserve">שווי </w:t>
      </w:r>
      <w:r w:rsidR="003624A8">
        <w:rPr>
          <w:rStyle w:val="20"/>
          <w:rFonts w:hint="cs"/>
          <w:b/>
          <w:bCs/>
          <w:rtl/>
        </w:rPr>
        <w:t xml:space="preserve">תיק ניירות הערך </w:t>
      </w:r>
      <w:r w:rsidR="009645C4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>ר</w:t>
      </w:r>
      <w:r w:rsidR="009645C4">
        <w:rPr>
          <w:rFonts w:ascii="Arial" w:hAnsi="Arial" w:cs="David" w:hint="cs"/>
          <w:rtl/>
        </w:rPr>
        <w:t>אשון</w:t>
      </w:r>
      <w:r w:rsidR="009D0C43">
        <w:rPr>
          <w:rFonts w:ascii="Arial" w:hAnsi="Arial" w:cs="David" w:hint="cs"/>
          <w:rtl/>
        </w:rPr>
        <w:t xml:space="preserve"> ב</w:t>
      </w:r>
      <w:r w:rsidRPr="002216F2">
        <w:rPr>
          <w:rFonts w:ascii="Arial" w:hAnsi="Arial" w:cs="David" w:hint="cs"/>
          <w:rtl/>
        </w:rPr>
        <w:t>כ-</w:t>
      </w:r>
      <w:r w:rsidR="009645C4">
        <w:rPr>
          <w:rFonts w:ascii="Arial" w:hAnsi="Arial" w:cs="David" w:hint="cs"/>
          <w:rtl/>
        </w:rPr>
        <w:t>9.1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9645C4">
        <w:rPr>
          <w:rFonts w:ascii="Arial" w:hAnsi="Arial" w:cs="David" w:hint="cs"/>
          <w:rtl/>
        </w:rPr>
        <w:t xml:space="preserve">8.3%) </w:t>
      </w:r>
      <w:r w:rsidR="00FA5AFC" w:rsidRPr="002216F2">
        <w:rPr>
          <w:rFonts w:ascii="Arial" w:hAnsi="Arial" w:cs="David" w:hint="cs"/>
          <w:rtl/>
        </w:rPr>
        <w:t xml:space="preserve">בעיקר </w:t>
      </w:r>
      <w:r w:rsidR="008F6EC3" w:rsidRPr="002216F2">
        <w:rPr>
          <w:rFonts w:ascii="Arial" w:hAnsi="Arial" w:cs="David" w:hint="cs"/>
          <w:rtl/>
        </w:rPr>
        <w:t xml:space="preserve">כתוצאה </w:t>
      </w:r>
      <w:r w:rsidR="00FA5AFC" w:rsidRPr="002216F2">
        <w:rPr>
          <w:rFonts w:ascii="Arial" w:hAnsi="Arial" w:cs="David" w:hint="cs"/>
          <w:rtl/>
        </w:rPr>
        <w:t>מ</w:t>
      </w:r>
      <w:r w:rsidR="009645C4">
        <w:rPr>
          <w:rFonts w:ascii="Arial" w:hAnsi="Arial" w:cs="David" w:hint="cs"/>
          <w:rtl/>
        </w:rPr>
        <w:t>עלי</w:t>
      </w:r>
      <w:r w:rsidR="000D4952">
        <w:rPr>
          <w:rFonts w:ascii="Arial" w:hAnsi="Arial" w:cs="David" w:hint="cs"/>
          <w:rtl/>
        </w:rPr>
        <w:t>י</w:t>
      </w:r>
      <w:r w:rsidR="009645C4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 xml:space="preserve"> </w:t>
      </w:r>
      <w:r w:rsidR="00FA5AFC" w:rsidRPr="002216F2">
        <w:rPr>
          <w:rFonts w:ascii="Arial" w:hAnsi="Arial" w:cs="David" w:hint="cs"/>
          <w:rtl/>
        </w:rPr>
        <w:t xml:space="preserve">במחירי המניות הישראליות בהיקף של כ- </w:t>
      </w:r>
      <w:r w:rsidR="009645C4">
        <w:rPr>
          <w:rFonts w:ascii="Arial" w:hAnsi="Arial" w:cs="David" w:hint="cs"/>
          <w:rtl/>
        </w:rPr>
        <w:t>8.3</w:t>
      </w:r>
      <w:r w:rsidR="00FA5AFC" w:rsidRPr="002216F2">
        <w:rPr>
          <w:rFonts w:ascii="Arial" w:hAnsi="Arial" w:cs="David" w:hint="cs"/>
          <w:rtl/>
        </w:rPr>
        <w:t xml:space="preserve"> מיליארדי דולרים</w:t>
      </w:r>
      <w:r w:rsidR="00AE1926">
        <w:rPr>
          <w:rFonts w:ascii="Arial" w:hAnsi="Arial" w:cs="David" w:hint="cs"/>
          <w:rtl/>
        </w:rPr>
        <w:t>. זרם השקעות נטו של תושבי חוץ באג"ח ישראליות בסך של כמיליארד דולר קוזז במימושים נטו</w:t>
      </w:r>
      <w:r w:rsidR="009D0C43">
        <w:rPr>
          <w:rFonts w:ascii="Arial" w:hAnsi="Arial" w:cs="David" w:hint="cs"/>
          <w:rtl/>
        </w:rPr>
        <w:t xml:space="preserve"> </w:t>
      </w:r>
      <w:r w:rsidR="00AE1926">
        <w:rPr>
          <w:rFonts w:ascii="Arial" w:hAnsi="Arial" w:cs="David" w:hint="cs"/>
          <w:rtl/>
        </w:rPr>
        <w:t>במניות ישראליות.</w:t>
      </w:r>
      <w:r w:rsidR="00FA5AFC" w:rsidRPr="002216F2">
        <w:rPr>
          <w:rFonts w:ascii="Arial" w:hAnsi="Arial" w:cs="David" w:hint="cs"/>
          <w:rtl/>
        </w:rPr>
        <w:t xml:space="preserve"> </w:t>
      </w:r>
    </w:p>
    <w:p w:rsidR="00695D66" w:rsidRPr="002A768F" w:rsidRDefault="00695D66" w:rsidP="002A768F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האחרות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190466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rtl/>
        </w:rPr>
        <w:t xml:space="preserve"> במהלך הרביע </w:t>
      </w:r>
      <w:r w:rsidR="00DD2561" w:rsidRPr="002216F2">
        <w:rPr>
          <w:rFonts w:ascii="Arial" w:hAnsi="Arial" w:cs="David" w:hint="cs"/>
          <w:rtl/>
        </w:rPr>
        <w:t>ה</w:t>
      </w:r>
      <w:r w:rsidR="00190466">
        <w:rPr>
          <w:rFonts w:ascii="Arial" w:hAnsi="Arial" w:cs="David" w:hint="cs"/>
          <w:rtl/>
        </w:rPr>
        <w:t>ראשון</w:t>
      </w:r>
      <w:r w:rsidRPr="002216F2">
        <w:rPr>
          <w:rFonts w:ascii="Arial" w:hAnsi="Arial" w:cs="David" w:hint="cs"/>
          <w:rtl/>
        </w:rPr>
        <w:t xml:space="preserve"> בכ-</w:t>
      </w:r>
      <w:r w:rsidR="00190466">
        <w:rPr>
          <w:rFonts w:ascii="Arial" w:hAnsi="Arial" w:cs="David" w:hint="cs"/>
          <w:rtl/>
        </w:rPr>
        <w:t>1.7</w:t>
      </w:r>
      <w:r w:rsidR="000A0832" w:rsidRPr="002216F2">
        <w:rPr>
          <w:rFonts w:ascii="Arial" w:hAnsi="Arial" w:cs="David" w:hint="cs"/>
          <w:rtl/>
        </w:rPr>
        <w:t xml:space="preserve"> </w:t>
      </w:r>
      <w:r w:rsidRPr="002216F2">
        <w:rPr>
          <w:rFonts w:ascii="Arial" w:hAnsi="Arial" w:cs="David" w:hint="cs"/>
          <w:rtl/>
        </w:rPr>
        <w:t>מיליארדי דולרים (</w:t>
      </w:r>
      <w:r w:rsidR="00190466">
        <w:rPr>
          <w:rFonts w:ascii="Arial" w:hAnsi="Arial" w:cs="David" w:hint="cs"/>
          <w:rtl/>
        </w:rPr>
        <w:t>3.4</w:t>
      </w:r>
      <w:r w:rsidR="00DD2561" w:rsidRPr="002216F2">
        <w:rPr>
          <w:rFonts w:ascii="Arial" w:hAnsi="Arial" w:cs="David" w:hint="cs"/>
          <w:rtl/>
        </w:rPr>
        <w:t>%</w:t>
      </w:r>
      <w:r w:rsidRPr="002216F2">
        <w:rPr>
          <w:rFonts w:ascii="Arial" w:hAnsi="Arial" w:cs="David" w:hint="cs"/>
          <w:rtl/>
        </w:rPr>
        <w:t xml:space="preserve">): בעיקר </w:t>
      </w:r>
      <w:r w:rsidR="008A3008" w:rsidRPr="002216F2">
        <w:rPr>
          <w:rFonts w:ascii="Arial" w:hAnsi="Arial" w:cs="David" w:hint="cs"/>
          <w:rtl/>
        </w:rPr>
        <w:t xml:space="preserve">כתוצאה </w:t>
      </w:r>
      <w:r w:rsidR="00AE1926">
        <w:rPr>
          <w:rFonts w:ascii="Arial" w:hAnsi="Arial" w:cs="David" w:hint="cs"/>
          <w:rtl/>
        </w:rPr>
        <w:t>מ</w:t>
      </w:r>
      <w:r w:rsidR="00190466">
        <w:rPr>
          <w:rFonts w:ascii="Arial" w:hAnsi="Arial" w:cs="David" w:hint="cs"/>
          <w:rtl/>
        </w:rPr>
        <w:t>קבלת</w:t>
      </w:r>
      <w:r w:rsidR="009D0C43">
        <w:rPr>
          <w:rFonts w:ascii="Arial" w:hAnsi="Arial" w:cs="David" w:hint="cs"/>
          <w:rtl/>
        </w:rPr>
        <w:t xml:space="preserve"> </w:t>
      </w:r>
      <w:r w:rsidR="00190466">
        <w:rPr>
          <w:rFonts w:ascii="Arial" w:hAnsi="Arial" w:cs="David" w:hint="cs"/>
          <w:rtl/>
        </w:rPr>
        <w:t>הלוואות פיננסיות מחו"ל</w:t>
      </w:r>
      <w:r w:rsidR="000A0832" w:rsidRPr="002216F2">
        <w:rPr>
          <w:rFonts w:ascii="Arial" w:hAnsi="Arial" w:cs="David" w:hint="cs"/>
          <w:rtl/>
        </w:rPr>
        <w:t xml:space="preserve"> </w:t>
      </w:r>
      <w:r w:rsidR="00AE1926">
        <w:rPr>
          <w:rFonts w:ascii="Arial" w:hAnsi="Arial" w:cs="David" w:hint="cs"/>
          <w:rtl/>
        </w:rPr>
        <w:t>ב</w:t>
      </w:r>
      <w:r w:rsidR="00190466">
        <w:rPr>
          <w:rFonts w:ascii="Arial" w:hAnsi="Arial" w:cs="David" w:hint="cs"/>
          <w:rtl/>
        </w:rPr>
        <w:t xml:space="preserve">היקף </w:t>
      </w:r>
      <w:r w:rsidR="000A0832" w:rsidRPr="002216F2">
        <w:rPr>
          <w:rFonts w:ascii="Arial" w:hAnsi="Arial" w:cs="David" w:hint="cs"/>
          <w:rtl/>
        </w:rPr>
        <w:t xml:space="preserve">של כ- </w:t>
      </w:r>
      <w:r w:rsidR="00DD2561" w:rsidRPr="002216F2">
        <w:rPr>
          <w:rFonts w:ascii="Arial" w:hAnsi="Arial" w:cs="David" w:hint="cs"/>
          <w:rtl/>
        </w:rPr>
        <w:t>1</w:t>
      </w:r>
      <w:r w:rsidR="000A0832" w:rsidRPr="002216F2">
        <w:rPr>
          <w:rFonts w:ascii="Arial" w:hAnsi="Arial" w:cs="David" w:hint="cs"/>
          <w:rtl/>
        </w:rPr>
        <w:t>.</w:t>
      </w:r>
      <w:r w:rsidR="00190466">
        <w:rPr>
          <w:rFonts w:ascii="Arial" w:hAnsi="Arial" w:cs="David" w:hint="cs"/>
          <w:rtl/>
        </w:rPr>
        <w:t>6</w:t>
      </w:r>
      <w:r w:rsidR="000A0832" w:rsidRPr="002216F2">
        <w:rPr>
          <w:rFonts w:ascii="Arial" w:hAnsi="Arial" w:cs="David" w:hint="cs"/>
          <w:rtl/>
        </w:rPr>
        <w:t xml:space="preserve"> </w:t>
      </w:r>
      <w:r w:rsidR="000A0832" w:rsidRPr="002A768F">
        <w:rPr>
          <w:rFonts w:ascii="Arial" w:hAnsi="Arial" w:cs="David" w:hint="cs"/>
          <w:rtl/>
        </w:rPr>
        <w:t>מיליארדים</w:t>
      </w:r>
      <w:r w:rsidR="002A768F" w:rsidRPr="002A768F">
        <w:rPr>
          <w:rFonts w:ascii="Arial" w:hAnsi="Arial" w:cs="David" w:hint="cs"/>
          <w:rtl/>
        </w:rPr>
        <w:t xml:space="preserve"> </w:t>
      </w:r>
      <w:r w:rsidR="00190466" w:rsidRPr="002A768F">
        <w:rPr>
          <w:rFonts w:ascii="Arial" w:hAnsi="Arial" w:cs="David" w:hint="cs"/>
          <w:rtl/>
        </w:rPr>
        <w:t>(כ-50% מזרם זה בוצ</w:t>
      </w:r>
      <w:r w:rsidR="002A768F" w:rsidRPr="002A768F">
        <w:rPr>
          <w:rFonts w:ascii="Arial" w:hAnsi="Arial" w:cs="David" w:hint="cs"/>
          <w:rtl/>
        </w:rPr>
        <w:t xml:space="preserve">ע ע"י חברה אחת לצורך רכישת חברה </w:t>
      </w:r>
      <w:r w:rsidR="00190466" w:rsidRPr="002A768F">
        <w:rPr>
          <w:rFonts w:ascii="Arial" w:hAnsi="Arial" w:cs="David" w:hint="cs"/>
          <w:rtl/>
        </w:rPr>
        <w:t>אחרת</w:t>
      </w:r>
      <w:r w:rsidR="002A768F">
        <w:rPr>
          <w:rFonts w:ascii="Arial" w:hAnsi="Arial" w:cs="David" w:hint="cs"/>
          <w:rtl/>
        </w:rPr>
        <w:t>)</w:t>
      </w:r>
      <w:r w:rsidR="002A768F" w:rsidRPr="002A768F">
        <w:rPr>
          <w:rFonts w:ascii="Arial" w:hAnsi="Arial" w:cs="David" w:hint="cs"/>
          <w:rtl/>
        </w:rPr>
        <w:t>.</w:t>
      </w:r>
    </w:p>
    <w:p w:rsidR="002216F2" w:rsidRDefault="002216F2" w:rsidP="000B1132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lastRenderedPageBreak/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המהווה חלק מיתרת ההשקעות של תושבי חוץ</w:t>
      </w:r>
      <w:r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במשק</w:t>
      </w:r>
      <w:r>
        <w:rPr>
          <w:rFonts w:ascii="Arial" w:hAnsi="Arial" w:cs="David" w:hint="cs"/>
          <w:rtl/>
        </w:rPr>
        <w:t>,</w:t>
      </w:r>
      <w:r w:rsidRPr="008807BA">
        <w:rPr>
          <w:rFonts w:ascii="Arial" w:hAnsi="Arial" w:cs="David" w:hint="cs"/>
          <w:rtl/>
        </w:rPr>
        <w:t xml:space="preserve"> </w:t>
      </w:r>
      <w:r w:rsidR="000761AC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>ברביע ה</w:t>
      </w:r>
      <w:r w:rsidR="000761AC">
        <w:rPr>
          <w:rFonts w:ascii="Arial" w:hAnsi="Arial" w:cs="David" w:hint="cs"/>
          <w:rtl/>
        </w:rPr>
        <w:t>ראשון</w:t>
      </w:r>
      <w:r>
        <w:rPr>
          <w:rFonts w:ascii="Arial" w:hAnsi="Arial" w:cs="David" w:hint="cs"/>
          <w:rtl/>
        </w:rPr>
        <w:t xml:space="preserve"> בכ-</w:t>
      </w:r>
      <w:r w:rsidR="000761AC">
        <w:rPr>
          <w:rFonts w:ascii="Arial" w:hAnsi="Arial" w:cs="David" w:hint="cs"/>
          <w:rtl/>
        </w:rPr>
        <w:t>2.4</w:t>
      </w:r>
      <w:r>
        <w:rPr>
          <w:rFonts w:ascii="Arial" w:hAnsi="Arial" w:cs="David" w:hint="cs"/>
          <w:rtl/>
        </w:rPr>
        <w:t xml:space="preserve"> מיליארדי דולרים ועמד בסוף </w:t>
      </w:r>
      <w:r w:rsidR="000761AC">
        <w:rPr>
          <w:rFonts w:ascii="Arial" w:hAnsi="Arial" w:cs="David" w:hint="cs"/>
          <w:rtl/>
        </w:rPr>
        <w:t>מרץ</w:t>
      </w:r>
      <w:r>
        <w:rPr>
          <w:rFonts w:ascii="Arial" w:hAnsi="Arial" w:cs="David" w:hint="cs"/>
          <w:rtl/>
        </w:rPr>
        <w:t xml:space="preserve"> על </w:t>
      </w:r>
      <w:r w:rsidR="000761AC">
        <w:rPr>
          <w:rFonts w:ascii="Arial" w:hAnsi="Arial" w:cs="David" w:hint="cs"/>
          <w:rtl/>
        </w:rPr>
        <w:t>43.5</w:t>
      </w:r>
      <w:r w:rsidR="00141843">
        <w:rPr>
          <w:rFonts w:ascii="Arial" w:hAnsi="Arial" w:cs="David" w:hint="cs"/>
          <w:rtl/>
        </w:rPr>
        <w:t xml:space="preserve"> מיליארדים. עיקר ה</w:t>
      </w:r>
      <w:r w:rsidR="000761AC">
        <w:rPr>
          <w:rFonts w:ascii="Arial" w:hAnsi="Arial" w:cs="David" w:hint="cs"/>
          <w:rtl/>
        </w:rPr>
        <w:t>עלייה</w:t>
      </w:r>
      <w:r>
        <w:rPr>
          <w:rFonts w:ascii="Arial" w:hAnsi="Arial" w:cs="David" w:hint="cs"/>
          <w:rtl/>
        </w:rPr>
        <w:t xml:space="preserve"> בשווי התיק </w:t>
      </w:r>
      <w:r w:rsidRPr="00BB5CA9">
        <w:rPr>
          <w:rFonts w:ascii="Arial" w:hAnsi="Arial" w:cs="David" w:hint="cs"/>
          <w:rtl/>
        </w:rPr>
        <w:t xml:space="preserve"> </w:t>
      </w:r>
      <w:r w:rsidR="00141843">
        <w:rPr>
          <w:rFonts w:ascii="Arial" w:hAnsi="Arial" w:cs="David" w:hint="cs"/>
          <w:rtl/>
        </w:rPr>
        <w:t xml:space="preserve">התרחשה </w:t>
      </w:r>
      <w:r w:rsidRPr="00BB5CA9">
        <w:rPr>
          <w:rFonts w:ascii="Arial" w:hAnsi="Arial" w:cs="David" w:hint="cs"/>
          <w:rtl/>
        </w:rPr>
        <w:t xml:space="preserve">כתוצאה </w:t>
      </w:r>
      <w:r w:rsidR="00141843">
        <w:rPr>
          <w:rFonts w:ascii="Arial" w:hAnsi="Arial" w:cs="David" w:hint="cs"/>
          <w:rtl/>
        </w:rPr>
        <w:t>מ</w:t>
      </w:r>
      <w:r w:rsidR="000761AC">
        <w:rPr>
          <w:rFonts w:ascii="Arial" w:hAnsi="Arial" w:cs="David" w:hint="cs"/>
          <w:rtl/>
        </w:rPr>
        <w:t>עליה</w:t>
      </w:r>
      <w:r w:rsidR="00141843">
        <w:rPr>
          <w:rFonts w:ascii="Arial" w:hAnsi="Arial" w:cs="David" w:hint="cs"/>
          <w:rtl/>
        </w:rPr>
        <w:t xml:space="preserve"> במחירי המניות הישראליות הנסחרות בארץ (ישירות ופיננסיות) ו</w:t>
      </w:r>
      <w:r w:rsidR="000761AC">
        <w:rPr>
          <w:rFonts w:ascii="Arial" w:hAnsi="Arial" w:cs="David" w:hint="cs"/>
          <w:rtl/>
        </w:rPr>
        <w:t>השקעות</w:t>
      </w:r>
      <w:r w:rsidR="00141843">
        <w:rPr>
          <w:rFonts w:ascii="Arial" w:hAnsi="Arial" w:cs="David" w:hint="cs"/>
          <w:rtl/>
        </w:rPr>
        <w:t xml:space="preserve"> נטו ב</w:t>
      </w:r>
      <w:r>
        <w:rPr>
          <w:rFonts w:ascii="Arial" w:hAnsi="Arial" w:cs="David" w:hint="cs"/>
          <w:rtl/>
        </w:rPr>
        <w:t>מניות</w:t>
      </w:r>
      <w:r w:rsidR="00141843">
        <w:rPr>
          <w:rFonts w:ascii="Arial" w:hAnsi="Arial" w:cs="David" w:hint="cs"/>
          <w:rtl/>
        </w:rPr>
        <w:t xml:space="preserve"> פיננסיות</w:t>
      </w:r>
      <w:r w:rsidRPr="00BB5CA9"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>
        <w:rPr>
          <w:rFonts w:ascii="Arial" w:hAnsi="Arial" w:cs="David" w:hint="cs"/>
          <w:rtl/>
        </w:rPr>
        <w:t>2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Tr="00AE1217">
        <w:trPr>
          <w:trHeight w:val="1176"/>
        </w:trPr>
        <w:tc>
          <w:tcPr>
            <w:tcW w:w="5256" w:type="dxa"/>
          </w:tcPr>
          <w:p w:rsidR="002216F2" w:rsidRPr="00933151" w:rsidRDefault="00AE1217" w:rsidP="00AE1217">
            <w:pPr>
              <w:spacing w:line="360" w:lineRule="auto"/>
              <w:jc w:val="right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074257">
                  <wp:extent cx="3200400" cy="2291662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008" cy="232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8" w:type="dxa"/>
          </w:tcPr>
          <w:p w:rsidR="002216F2" w:rsidRDefault="00AE1217" w:rsidP="00AE1217">
            <w:pPr>
              <w:pStyle w:val="2"/>
              <w:tabs>
                <w:tab w:val="left" w:pos="6348"/>
              </w:tabs>
              <w:ind w:right="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2CFED5D8">
                  <wp:extent cx="3238500" cy="1973862"/>
                  <wp:effectExtent l="0" t="0" r="0" b="7620"/>
                  <wp:docPr id="9" name="תמונה 9" title="תרשים 2: שווי תיק ני&quot;ע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956" cy="1996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B487272">
                  <wp:extent cx="3023387" cy="1973580"/>
                  <wp:effectExtent l="0" t="0" r="5715" b="7620"/>
                  <wp:docPr id="8" name="תמונה 8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491" cy="1976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6F2" w:rsidRDefault="002216F2" w:rsidP="00DD2561">
      <w:pPr>
        <w:spacing w:line="360" w:lineRule="auto"/>
        <w:jc w:val="both"/>
        <w:rPr>
          <w:rFonts w:ascii="Arial" w:hAnsi="Arial" w:cs="David"/>
          <w:rtl/>
        </w:rPr>
      </w:pPr>
    </w:p>
    <w:p w:rsidR="00695D66" w:rsidRPr="003F3174" w:rsidRDefault="00695D66" w:rsidP="000B1132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013C4F">
        <w:rPr>
          <w:rFonts w:ascii="Arial" w:hAnsi="Arial" w:cs="David" w:hint="cs"/>
          <w:rtl/>
        </w:rPr>
        <w:t>עלתה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DD2561">
        <w:rPr>
          <w:rFonts w:ascii="Arial" w:hAnsi="Arial" w:cs="David" w:hint="cs"/>
          <w:rtl/>
        </w:rPr>
        <w:t>ה</w:t>
      </w:r>
      <w:r w:rsidR="002941FF">
        <w:rPr>
          <w:rFonts w:ascii="Arial" w:hAnsi="Arial" w:cs="David" w:hint="cs"/>
          <w:rtl/>
        </w:rPr>
        <w:t>ר</w:t>
      </w:r>
      <w:r w:rsidR="00013C4F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013C4F">
        <w:rPr>
          <w:rFonts w:ascii="Arial" w:hAnsi="Arial" w:cs="David" w:hint="cs"/>
          <w:rtl/>
        </w:rPr>
        <w:t>4.4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013C4F">
        <w:rPr>
          <w:rFonts w:ascii="Arial" w:hAnsi="Arial" w:cs="David" w:hint="cs"/>
          <w:rtl/>
        </w:rPr>
        <w:t>4.7</w:t>
      </w:r>
      <w:r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AA4817">
        <w:rPr>
          <w:rFonts w:ascii="Arial" w:hAnsi="Arial" w:cs="David" w:hint="cs"/>
          <w:rtl/>
        </w:rPr>
        <w:t>9</w:t>
      </w:r>
      <w:r w:rsidR="00013C4F">
        <w:rPr>
          <w:rFonts w:ascii="Arial" w:hAnsi="Arial" w:cs="David" w:hint="cs"/>
          <w:rtl/>
        </w:rPr>
        <w:t>8</w:t>
      </w:r>
      <w:r w:rsidR="002941FF">
        <w:rPr>
          <w:rFonts w:ascii="Arial" w:hAnsi="Arial" w:cs="David" w:hint="cs"/>
          <w:rtl/>
        </w:rPr>
        <w:t>.</w:t>
      </w:r>
      <w:r w:rsidR="00013C4F">
        <w:rPr>
          <w:rFonts w:ascii="Arial" w:hAnsi="Arial" w:cs="David" w:hint="cs"/>
          <w:rtl/>
        </w:rPr>
        <w:t>2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2A5A4B">
        <w:rPr>
          <w:rFonts w:ascii="Arial" w:hAnsi="Arial" w:cs="David" w:hint="cs"/>
          <w:rtl/>
        </w:rPr>
        <w:t>מקבלת  הלוואות בעלים</w:t>
      </w:r>
      <w:r w:rsidR="000B1132">
        <w:rPr>
          <w:rFonts w:ascii="Arial" w:hAnsi="Arial" w:cs="David" w:hint="cs"/>
          <w:rtl/>
        </w:rPr>
        <w:t xml:space="preserve"> בסך של</w:t>
      </w:r>
      <w:r w:rsidR="002A5A4B">
        <w:rPr>
          <w:rFonts w:ascii="Arial" w:hAnsi="Arial" w:cs="David" w:hint="cs"/>
          <w:rtl/>
        </w:rPr>
        <w:t xml:space="preserve"> 1.5 מיליארד דולר, תקבול של הלוואות פיננסיות </w:t>
      </w:r>
      <w:r w:rsidR="000B1132">
        <w:rPr>
          <w:rFonts w:ascii="Arial" w:hAnsi="Arial" w:cs="David" w:hint="cs"/>
          <w:rtl/>
        </w:rPr>
        <w:t>ב</w:t>
      </w:r>
      <w:r w:rsidR="002A5A4B">
        <w:rPr>
          <w:rFonts w:ascii="Arial" w:hAnsi="Arial" w:cs="David" w:hint="cs"/>
          <w:rtl/>
        </w:rPr>
        <w:t>סך של 1</w:t>
      </w:r>
      <w:r w:rsidR="000B1132">
        <w:rPr>
          <w:rFonts w:ascii="Arial" w:hAnsi="Arial" w:cs="David" w:hint="cs"/>
          <w:rtl/>
        </w:rPr>
        <w:t>.</w:t>
      </w:r>
      <w:r w:rsidR="002A5A4B">
        <w:rPr>
          <w:rFonts w:ascii="Arial" w:hAnsi="Arial" w:cs="David" w:hint="cs"/>
          <w:rtl/>
        </w:rPr>
        <w:t xml:space="preserve">7 מיליארד דולר והנפקה של אגרות חוב בחו"ל </w:t>
      </w:r>
      <w:r w:rsidR="000B1132">
        <w:rPr>
          <w:rFonts w:ascii="Arial" w:hAnsi="Arial" w:cs="David" w:hint="cs"/>
          <w:rtl/>
        </w:rPr>
        <w:t>ב</w:t>
      </w:r>
      <w:r w:rsidR="002A5A4B">
        <w:rPr>
          <w:rFonts w:ascii="Arial" w:hAnsi="Arial" w:cs="David" w:hint="cs"/>
          <w:rtl/>
        </w:rPr>
        <w:t>סך מיליארד דולר</w:t>
      </w:r>
      <w:r w:rsidR="002941FF">
        <w:rPr>
          <w:rFonts w:ascii="Arial" w:hAnsi="Arial" w:cs="David" w:hint="cs"/>
          <w:rtl/>
        </w:rPr>
        <w:t>.</w:t>
      </w:r>
    </w:p>
    <w:p w:rsidR="00695D66" w:rsidRDefault="00695D66" w:rsidP="00511669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0B1132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>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DD2561">
        <w:rPr>
          <w:rFonts w:ascii="Arial" w:hAnsi="Arial" w:cs="David" w:hint="cs"/>
          <w:rtl/>
        </w:rPr>
        <w:t>ה</w:t>
      </w:r>
      <w:r w:rsidR="002A5A4B">
        <w:rPr>
          <w:rFonts w:ascii="Arial" w:hAnsi="Arial" w:cs="David" w:hint="cs"/>
          <w:rtl/>
        </w:rPr>
        <w:t>ראשון</w:t>
      </w:r>
      <w:r w:rsidRPr="00C30766">
        <w:rPr>
          <w:rFonts w:ascii="Arial" w:hAnsi="Arial" w:cs="David" w:hint="cs"/>
          <w:rtl/>
        </w:rPr>
        <w:t xml:space="preserve"> </w:t>
      </w:r>
      <w:r w:rsidR="00F26A11">
        <w:rPr>
          <w:rFonts w:ascii="Arial" w:hAnsi="Arial" w:cs="David" w:hint="cs"/>
          <w:rtl/>
        </w:rPr>
        <w:t>ב-</w:t>
      </w:r>
      <w:r w:rsidR="002A5A4B">
        <w:rPr>
          <w:rFonts w:ascii="Arial" w:hAnsi="Arial" w:cs="David" w:hint="cs"/>
          <w:rtl/>
        </w:rPr>
        <w:t>1</w:t>
      </w:r>
      <w:r w:rsidR="00DD2561">
        <w:rPr>
          <w:rFonts w:ascii="Arial" w:hAnsi="Arial" w:cs="David" w:hint="cs"/>
          <w:rtl/>
        </w:rPr>
        <w:t>.</w:t>
      </w:r>
      <w:r w:rsidR="00195984">
        <w:rPr>
          <w:rFonts w:ascii="Arial" w:hAnsi="Arial" w:cs="David" w:hint="cs"/>
          <w:rtl/>
        </w:rPr>
        <w:t>2</w:t>
      </w:r>
      <w:r w:rsidR="00F26A11">
        <w:rPr>
          <w:rFonts w:ascii="Arial" w:hAnsi="Arial" w:cs="David" w:hint="cs"/>
          <w:rtl/>
        </w:rPr>
        <w:t xml:space="preserve"> נקודות האחוז </w:t>
      </w:r>
      <w:r>
        <w:rPr>
          <w:rFonts w:ascii="Arial" w:hAnsi="Arial" w:cs="David" w:hint="cs"/>
          <w:rtl/>
        </w:rPr>
        <w:t xml:space="preserve">ועמד בסוף </w:t>
      </w:r>
      <w:r w:rsidR="00511669">
        <w:rPr>
          <w:rFonts w:ascii="Arial" w:hAnsi="Arial" w:cs="David" w:hint="cs"/>
          <w:rtl/>
        </w:rPr>
        <w:t>מרץ</w:t>
      </w:r>
      <w:r w:rsidR="00AE5180">
        <w:rPr>
          <w:rFonts w:ascii="Arial" w:hAnsi="Arial" w:cs="David" w:hint="cs"/>
          <w:rtl/>
        </w:rPr>
        <w:t xml:space="preserve"> על </w:t>
      </w:r>
      <w:r w:rsidR="00195984">
        <w:rPr>
          <w:rFonts w:ascii="Arial" w:hAnsi="Arial" w:cs="David" w:hint="cs"/>
          <w:rtl/>
        </w:rPr>
        <w:t>2</w:t>
      </w:r>
      <w:r w:rsidR="002A5A4B">
        <w:rPr>
          <w:rFonts w:ascii="Arial" w:hAnsi="Arial" w:cs="David" w:hint="cs"/>
          <w:rtl/>
        </w:rPr>
        <w:t>6</w:t>
      </w:r>
      <w:r w:rsidR="00195984">
        <w:rPr>
          <w:rFonts w:ascii="Arial" w:hAnsi="Arial" w:cs="David" w:hint="cs"/>
          <w:rtl/>
        </w:rPr>
        <w:t>.</w:t>
      </w:r>
      <w:r w:rsidR="002A5A4B">
        <w:rPr>
          <w:rFonts w:ascii="Arial" w:hAnsi="Arial" w:cs="David" w:hint="cs"/>
          <w:rtl/>
        </w:rPr>
        <w:t>6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DD2561">
        <w:rPr>
          <w:rFonts w:ascii="Arial" w:hAnsi="Arial" w:cs="David" w:hint="cs"/>
          <w:rtl/>
        </w:rPr>
        <w:t>ה</w:t>
      </w:r>
      <w:r w:rsidR="002A5A4B">
        <w:rPr>
          <w:rFonts w:ascii="Arial" w:hAnsi="Arial" w:cs="David" w:hint="cs"/>
          <w:rtl/>
        </w:rPr>
        <w:t>עלייה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2A5A4B">
        <w:rPr>
          <w:rFonts w:ascii="Arial" w:hAnsi="Arial" w:cs="David" w:hint="cs"/>
          <w:rtl/>
        </w:rPr>
        <w:t>עליה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</w:t>
      </w:r>
      <w:r w:rsidR="008F51E7">
        <w:rPr>
          <w:rFonts w:ascii="Arial" w:hAnsi="Arial" w:cs="David" w:hint="cs"/>
          <w:rtl/>
        </w:rPr>
        <w:t xml:space="preserve">שיעור </w:t>
      </w:r>
      <w:r w:rsidR="000B1132">
        <w:rPr>
          <w:rFonts w:ascii="Arial" w:hAnsi="Arial" w:cs="David" w:hint="cs"/>
          <w:rtl/>
        </w:rPr>
        <w:t xml:space="preserve">גבוה </w:t>
      </w:r>
      <w:r w:rsidR="004C33DF">
        <w:rPr>
          <w:rFonts w:ascii="Arial" w:hAnsi="Arial" w:cs="David" w:hint="cs"/>
          <w:rtl/>
        </w:rPr>
        <w:t xml:space="preserve">מהעלייה </w:t>
      </w:r>
      <w:r w:rsidR="00C75881">
        <w:rPr>
          <w:rFonts w:ascii="Arial" w:hAnsi="Arial" w:cs="David" w:hint="cs"/>
          <w:rtl/>
        </w:rPr>
        <w:t xml:space="preserve"> בתוצר</w:t>
      </w:r>
      <w:r w:rsidR="00195984">
        <w:rPr>
          <w:rFonts w:ascii="Arial" w:hAnsi="Arial" w:cs="David" w:hint="cs"/>
          <w:rtl/>
        </w:rPr>
        <w:t xml:space="preserve"> במונחים דולריים</w:t>
      </w:r>
      <w:r w:rsidR="000B1132"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532487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1CD1298">
            <wp:extent cx="4799965" cy="2925573"/>
            <wp:effectExtent l="0" t="0" r="635" b="8255"/>
            <wp:docPr id="11" name="תמונה 11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77" cy="2940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lastRenderedPageBreak/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126D80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87100C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DD2561">
        <w:rPr>
          <w:rFonts w:ascii="Arial" w:hAnsi="Arial" w:cs="David" w:hint="cs"/>
          <w:rtl/>
        </w:rPr>
        <w:t>ה</w:t>
      </w:r>
      <w:r w:rsidR="0087100C">
        <w:rPr>
          <w:rFonts w:ascii="Arial" w:hAnsi="Arial" w:cs="David" w:hint="cs"/>
          <w:rtl/>
        </w:rPr>
        <w:t>ר</w:t>
      </w:r>
      <w:r w:rsidR="00CB7C32">
        <w:rPr>
          <w:rFonts w:ascii="Arial" w:hAnsi="Arial" w:cs="David" w:hint="cs"/>
          <w:rtl/>
        </w:rPr>
        <w:t>אשון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CB7C32">
        <w:rPr>
          <w:rFonts w:ascii="Arial" w:hAnsi="Arial" w:cs="David" w:hint="cs"/>
          <w:rtl/>
        </w:rPr>
        <w:t>1.7</w:t>
      </w:r>
      <w:r w:rsidR="00DD256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CB7C32">
        <w:rPr>
          <w:rFonts w:ascii="Arial" w:hAnsi="Arial" w:cs="David" w:hint="cs"/>
          <w:rtl/>
        </w:rPr>
        <w:t>1</w:t>
      </w:r>
      <w:r w:rsidR="000B1132">
        <w:rPr>
          <w:rFonts w:ascii="Arial" w:hAnsi="Arial" w:cs="David" w:hint="cs"/>
          <w:rtl/>
        </w:rPr>
        <w:t>.</w:t>
      </w:r>
      <w:r w:rsidR="00CB7C32">
        <w:rPr>
          <w:rFonts w:ascii="Arial" w:hAnsi="Arial" w:cs="David" w:hint="cs"/>
          <w:rtl/>
        </w:rPr>
        <w:t>3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126D80">
        <w:rPr>
          <w:rFonts w:ascii="Arial" w:hAnsi="Arial" w:cs="David" w:hint="cs"/>
          <w:rtl/>
        </w:rPr>
        <w:t>מרץ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</w:t>
      </w:r>
      <w:r w:rsidR="0087100C">
        <w:rPr>
          <w:rFonts w:ascii="Arial" w:hAnsi="Arial" w:cs="David" w:hint="cs"/>
          <w:rtl/>
        </w:rPr>
        <w:t>3</w:t>
      </w:r>
      <w:r w:rsidR="00CB7C32">
        <w:rPr>
          <w:rFonts w:ascii="Arial" w:hAnsi="Arial" w:cs="David" w:hint="cs"/>
          <w:rtl/>
        </w:rPr>
        <w:t>5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87100C" w:rsidP="000B1132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העלייה בעודף הנכסים התרחשה כתוצאה מ</w:t>
      </w:r>
      <w:r w:rsidR="003F2CC2">
        <w:rPr>
          <w:rFonts w:ascii="Arial" w:hAnsi="Arial" w:cs="David" w:hint="cs"/>
          <w:rtl/>
        </w:rPr>
        <w:t>עלי</w:t>
      </w:r>
      <w:r w:rsidR="000B1132">
        <w:rPr>
          <w:rFonts w:ascii="Arial" w:hAnsi="Arial" w:cs="David" w:hint="cs"/>
          <w:rtl/>
        </w:rPr>
        <w:t>י</w:t>
      </w:r>
      <w:r w:rsidR="003F2CC2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 ביתרת </w:t>
      </w:r>
      <w:r w:rsidR="000B1132">
        <w:rPr>
          <w:rFonts w:ascii="Arial" w:hAnsi="Arial" w:cs="David" w:hint="cs"/>
          <w:rtl/>
        </w:rPr>
        <w:t xml:space="preserve">הנכסים </w:t>
      </w:r>
      <w:r>
        <w:rPr>
          <w:rFonts w:ascii="Arial" w:hAnsi="Arial" w:cs="David" w:hint="cs"/>
          <w:rtl/>
        </w:rPr>
        <w:t xml:space="preserve">בהיקף </w:t>
      </w:r>
      <w:r w:rsidR="000B1132">
        <w:rPr>
          <w:rFonts w:ascii="Arial" w:hAnsi="Arial" w:cs="David" w:hint="cs"/>
          <w:rtl/>
        </w:rPr>
        <w:t xml:space="preserve">גבוה </w:t>
      </w:r>
      <w:r>
        <w:rPr>
          <w:rFonts w:ascii="Arial" w:hAnsi="Arial" w:cs="David" w:hint="cs"/>
          <w:rtl/>
        </w:rPr>
        <w:t>מה</w:t>
      </w:r>
      <w:r w:rsidR="003F2CC2">
        <w:rPr>
          <w:rFonts w:ascii="Arial" w:hAnsi="Arial" w:cs="David" w:hint="cs"/>
          <w:rtl/>
        </w:rPr>
        <w:t>עלי</w:t>
      </w:r>
      <w:r w:rsidR="00A272AE">
        <w:rPr>
          <w:rFonts w:ascii="Arial" w:hAnsi="Arial" w:cs="David" w:hint="cs"/>
          <w:rtl/>
        </w:rPr>
        <w:t>י</w:t>
      </w:r>
      <w:r w:rsidR="003F2CC2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 ביתרת </w:t>
      </w:r>
      <w:r w:rsidR="000B1132">
        <w:rPr>
          <w:rFonts w:ascii="Arial" w:hAnsi="Arial" w:cs="David" w:hint="cs"/>
          <w:rtl/>
        </w:rPr>
        <w:t>ההתחייבויות</w:t>
      </w:r>
      <w:r>
        <w:rPr>
          <w:rFonts w:ascii="Arial" w:hAnsi="Arial" w:cs="David" w:hint="cs"/>
          <w:rtl/>
        </w:rPr>
        <w:t>.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532487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1DE91428">
            <wp:extent cx="4972050" cy="3030459"/>
            <wp:effectExtent l="0" t="0" r="0" b="0"/>
            <wp:docPr id="15" name="תמונה 15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5" cy="305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1C20BD" w:rsidRPr="001D5835" w:rsidRDefault="001C20BD" w:rsidP="008964DB">
      <w:pPr>
        <w:pStyle w:val="1"/>
        <w:rPr>
          <w:u w:val="none"/>
        </w:rPr>
      </w:pPr>
      <w:r w:rsidRPr="001D5835">
        <w:rPr>
          <w:rFonts w:hint="cs"/>
          <w:u w:val="none"/>
          <w:rtl/>
        </w:rPr>
        <w:t xml:space="preserve">עודף הנכסים על ההתחייבויות של המשק מול חו"ל במכשירי חוב בלבד </w:t>
      </w:r>
    </w:p>
    <w:p w:rsidR="001F545C" w:rsidRPr="00690E6A" w:rsidRDefault="001C20BD" w:rsidP="00A1652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690E6A">
        <w:rPr>
          <w:rFonts w:ascii="Arial" w:hAnsi="Arial" w:cs="David" w:hint="cs"/>
          <w:rtl/>
        </w:rPr>
        <w:t xml:space="preserve">חוב חיצוני </w:t>
      </w:r>
      <w:r>
        <w:rPr>
          <w:rFonts w:ascii="Arial" w:hAnsi="Arial" w:cs="David" w:hint="cs"/>
          <w:rtl/>
        </w:rPr>
        <w:t>ה</w:t>
      </w:r>
      <w:r w:rsidR="00785F18" w:rsidRPr="00690E6A">
        <w:rPr>
          <w:rFonts w:ascii="Arial" w:hAnsi="Arial" w:cs="David" w:hint="cs"/>
          <w:rtl/>
        </w:rPr>
        <w:t>שלילי</w:t>
      </w:r>
      <w:r>
        <w:rPr>
          <w:rFonts w:ascii="Arial" w:hAnsi="Arial" w:cs="David" w:hint="cs"/>
          <w:rtl/>
        </w:rPr>
        <w:t xml:space="preserve"> נטו)</w:t>
      </w:r>
      <w:r w:rsidR="001F545C" w:rsidRPr="00690E6A">
        <w:rPr>
          <w:rFonts w:ascii="Arial" w:hAnsi="Arial" w:cs="David" w:hint="cs"/>
          <w:rtl/>
        </w:rPr>
        <w:t xml:space="preserve">, </w:t>
      </w:r>
      <w:r w:rsidR="003F2CC2">
        <w:rPr>
          <w:rFonts w:ascii="Arial" w:hAnsi="Arial" w:cs="David" w:hint="cs"/>
          <w:rtl/>
        </w:rPr>
        <w:t>עלה</w:t>
      </w:r>
      <w:r w:rsidR="0087100C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במהלך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ה</w:t>
      </w:r>
      <w:r w:rsidR="00EA0CA3">
        <w:rPr>
          <w:rFonts w:ascii="Arial" w:hAnsi="Arial" w:cs="David" w:hint="cs"/>
          <w:rtl/>
        </w:rPr>
        <w:t xml:space="preserve">רביע </w:t>
      </w:r>
      <w:r w:rsidR="00AD1765">
        <w:rPr>
          <w:rFonts w:ascii="Arial" w:hAnsi="Arial" w:cs="David" w:hint="cs"/>
          <w:rtl/>
        </w:rPr>
        <w:t>ה</w:t>
      </w:r>
      <w:r w:rsidR="003F2CC2">
        <w:rPr>
          <w:rFonts w:ascii="Arial" w:hAnsi="Arial" w:cs="David" w:hint="cs"/>
          <w:rtl/>
        </w:rPr>
        <w:t>ראשון</w:t>
      </w:r>
      <w:r w:rsidR="00AA4817">
        <w:rPr>
          <w:rFonts w:ascii="Arial" w:hAnsi="Arial" w:cs="David" w:hint="cs"/>
          <w:rtl/>
        </w:rPr>
        <w:t xml:space="preserve"> </w:t>
      </w:r>
      <w:r w:rsidR="003F2CC2">
        <w:rPr>
          <w:rFonts w:ascii="Arial" w:hAnsi="Arial" w:cs="David" w:hint="cs"/>
          <w:rtl/>
        </w:rPr>
        <w:t>ב-0.8 מיליארד</w:t>
      </w:r>
      <w:r w:rsidR="00A16522">
        <w:rPr>
          <w:rFonts w:ascii="Arial" w:hAnsi="Arial" w:cs="David" w:hint="cs"/>
          <w:rtl/>
        </w:rPr>
        <w:t>י</w:t>
      </w:r>
      <w:r w:rsidR="003F2CC2">
        <w:rPr>
          <w:rFonts w:ascii="Arial" w:hAnsi="Arial" w:cs="David" w:hint="cs"/>
          <w:rtl/>
        </w:rPr>
        <w:t xml:space="preserve"> דולר</w:t>
      </w:r>
      <w:r w:rsidR="00A16522">
        <w:rPr>
          <w:rFonts w:ascii="Arial" w:hAnsi="Arial" w:cs="David" w:hint="cs"/>
          <w:rtl/>
        </w:rPr>
        <w:t>ים (0.5%)</w:t>
      </w:r>
      <w:r w:rsidR="003F2CC2">
        <w:rPr>
          <w:rFonts w:ascii="Arial" w:hAnsi="Arial" w:cs="David" w:hint="cs"/>
          <w:rtl/>
        </w:rPr>
        <w:t xml:space="preserve"> </w:t>
      </w:r>
      <w:r w:rsidR="0087100C">
        <w:rPr>
          <w:rFonts w:ascii="Arial" w:hAnsi="Arial" w:cs="David" w:hint="cs"/>
          <w:rtl/>
        </w:rPr>
        <w:t>ו</w:t>
      </w:r>
      <w:r w:rsidR="00A16522">
        <w:rPr>
          <w:rFonts w:ascii="Arial" w:hAnsi="Arial" w:cs="David" w:hint="cs"/>
          <w:rtl/>
        </w:rPr>
        <w:t xml:space="preserve">הגיע </w:t>
      </w:r>
      <w:r w:rsidR="00922388">
        <w:rPr>
          <w:rFonts w:ascii="Arial" w:hAnsi="Arial" w:cs="David" w:hint="cs"/>
          <w:rtl/>
        </w:rPr>
        <w:t xml:space="preserve">בסוף </w:t>
      </w:r>
      <w:r w:rsidR="003F2CC2">
        <w:rPr>
          <w:rFonts w:ascii="Arial" w:hAnsi="Arial" w:cs="David" w:hint="cs"/>
          <w:rtl/>
        </w:rPr>
        <w:t>מרץ</w:t>
      </w:r>
      <w:r w:rsidR="00922388">
        <w:rPr>
          <w:rFonts w:ascii="Arial" w:hAnsi="Arial" w:cs="David" w:hint="cs"/>
          <w:rtl/>
        </w:rPr>
        <w:t xml:space="preserve"> </w:t>
      </w:r>
      <w:r w:rsidR="003F2CC2">
        <w:rPr>
          <w:rFonts w:ascii="Arial" w:hAnsi="Arial" w:cs="David" w:hint="cs"/>
          <w:rtl/>
        </w:rPr>
        <w:t>ל</w:t>
      </w:r>
      <w:r w:rsidR="0087100C">
        <w:rPr>
          <w:rFonts w:ascii="Arial" w:hAnsi="Arial" w:cs="David" w:hint="cs"/>
          <w:rtl/>
        </w:rPr>
        <w:t>רמה של</w:t>
      </w:r>
      <w:r w:rsidR="00EA0CA3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15</w:t>
      </w:r>
      <w:r w:rsidR="003F2CC2">
        <w:rPr>
          <w:rFonts w:ascii="Arial" w:hAnsi="Arial" w:cs="David" w:hint="cs"/>
          <w:rtl/>
        </w:rPr>
        <w:t>6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</w:t>
      </w:r>
      <w:r w:rsidR="00172E92" w:rsidRPr="00690E6A">
        <w:rPr>
          <w:rFonts w:ascii="Arial" w:hAnsi="Arial" w:cs="David" w:hint="cs"/>
          <w:rtl/>
        </w:rPr>
        <w:t xml:space="preserve">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="001F545C"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Pr="00800FFD" w:rsidRDefault="009522BF" w:rsidP="002A768F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>
        <w:rPr>
          <w:rFonts w:ascii="Arial" w:hAnsi="Arial" w:cs="David" w:hint="cs"/>
          <w:rtl/>
        </w:rPr>
        <w:t xml:space="preserve"> (פירעון/מימוש תוך שנה) </w:t>
      </w:r>
      <w:r w:rsidR="008731B6">
        <w:rPr>
          <w:rFonts w:ascii="Arial" w:hAnsi="Arial" w:cs="David" w:hint="cs"/>
          <w:rtl/>
        </w:rPr>
        <w:t>נותר</w:t>
      </w:r>
      <w:r w:rsidR="002A768F">
        <w:rPr>
          <w:rFonts w:ascii="Arial" w:hAnsi="Arial" w:cs="David" w:hint="cs"/>
          <w:rtl/>
        </w:rPr>
        <w:t>ה</w:t>
      </w:r>
      <w:r w:rsidR="008731B6">
        <w:rPr>
          <w:rFonts w:ascii="Arial" w:hAnsi="Arial" w:cs="David" w:hint="cs"/>
          <w:rtl/>
        </w:rPr>
        <w:t xml:space="preserve"> ללא שינוי </w:t>
      </w:r>
      <w:r w:rsidR="00A16522">
        <w:rPr>
          <w:rFonts w:ascii="Arial" w:hAnsi="Arial" w:cs="David" w:hint="cs"/>
          <w:rtl/>
        </w:rPr>
        <w:t>ו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F86ED1">
        <w:rPr>
          <w:rFonts w:ascii="Arial" w:hAnsi="Arial" w:cs="David" w:hint="cs"/>
          <w:rtl/>
        </w:rPr>
        <w:t xml:space="preserve">הרביע </w:t>
      </w:r>
      <w:r w:rsidR="008731B6">
        <w:rPr>
          <w:rFonts w:ascii="Arial" w:hAnsi="Arial" w:cs="David" w:hint="cs"/>
          <w:rtl/>
        </w:rPr>
        <w:t xml:space="preserve">הראשון </w:t>
      </w:r>
      <w:r w:rsidRPr="00BD0A6B">
        <w:rPr>
          <w:rFonts w:ascii="Arial" w:hAnsi="Arial" w:cs="David" w:hint="cs"/>
          <w:rtl/>
        </w:rPr>
        <w:t xml:space="preserve">על </w:t>
      </w:r>
      <w:r w:rsidR="0087100C">
        <w:rPr>
          <w:rFonts w:ascii="Arial" w:hAnsi="Arial" w:cs="David" w:hint="cs"/>
          <w:rtl/>
        </w:rPr>
        <w:t>164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</w:t>
      </w:r>
      <w:r w:rsidR="002A768F">
        <w:rPr>
          <w:rFonts w:ascii="Arial" w:hAnsi="Arial" w:cs="David" w:hint="cs"/>
          <w:rtl/>
        </w:rPr>
        <w:t>,</w:t>
      </w:r>
      <w:r w:rsidR="00A16522" w:rsidRPr="00A16522">
        <w:rPr>
          <w:rFonts w:ascii="Arial" w:hAnsi="Arial" w:cs="David" w:hint="cs"/>
          <w:rtl/>
        </w:rPr>
        <w:t xml:space="preserve"> </w:t>
      </w:r>
      <w:r w:rsidR="002A768F">
        <w:rPr>
          <w:rFonts w:ascii="Arial" w:hAnsi="Arial" w:cs="David" w:hint="cs"/>
          <w:rtl/>
        </w:rPr>
        <w:t xml:space="preserve">מזה 118 מיליארד </w:t>
      </w:r>
      <w:r w:rsidR="00A16522" w:rsidRPr="00BD0A6B">
        <w:rPr>
          <w:rFonts w:ascii="Arial" w:hAnsi="Arial" w:cs="David" w:hint="cs"/>
          <w:rtl/>
        </w:rPr>
        <w:t xml:space="preserve">רזרבות </w:t>
      </w:r>
      <w:r w:rsidR="00A16522">
        <w:rPr>
          <w:rFonts w:ascii="Arial" w:hAnsi="Arial" w:cs="David" w:hint="cs"/>
          <w:rtl/>
        </w:rPr>
        <w:t xml:space="preserve"> מט"ח בבנק ישראל</w:t>
      </w:r>
      <w:r w:rsidR="002A768F">
        <w:rPr>
          <w:rFonts w:ascii="Arial" w:hAnsi="Arial" w:cs="David" w:hint="cs"/>
          <w:rtl/>
        </w:rPr>
        <w:t>. יתרה זו</w:t>
      </w:r>
      <w:r w:rsidR="00A16522" w:rsidRPr="00BD0A6B">
        <w:rPr>
          <w:rFonts w:ascii="Arial" w:hAnsi="Arial" w:cs="David" w:hint="cs"/>
          <w:rtl/>
        </w:rPr>
        <w:t xml:space="preserve"> משקפת יחס כיסוי של פי </w:t>
      </w:r>
      <w:r w:rsidR="00A16522">
        <w:rPr>
          <w:rFonts w:ascii="Arial" w:hAnsi="Arial" w:cs="David" w:hint="cs"/>
          <w:rtl/>
        </w:rPr>
        <w:t>4.2</w:t>
      </w:r>
      <w:r w:rsidR="00A16522" w:rsidRPr="00BD0A6B">
        <w:rPr>
          <w:rFonts w:ascii="Arial" w:hAnsi="Arial" w:cs="David" w:hint="cs"/>
          <w:rtl/>
        </w:rPr>
        <w:t xml:space="preserve"> מהחוב לזמן קצר</w:t>
      </w:r>
      <w:r w:rsidR="00A16522">
        <w:rPr>
          <w:rFonts w:ascii="Arial" w:hAnsi="Arial" w:cs="David" w:hint="cs"/>
          <w:rtl/>
        </w:rPr>
        <w:t>.</w:t>
      </w:r>
      <w:r w:rsidR="001E6906">
        <w:rPr>
          <w:rFonts w:ascii="Arial" w:hAnsi="Arial" w:cs="David" w:hint="cs"/>
          <w:rtl/>
        </w:rPr>
        <w:t xml:space="preserve"> </w:t>
      </w:r>
    </w:p>
    <w:p w:rsidR="00164CA6" w:rsidRDefault="00532487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25ED2011">
            <wp:extent cx="5095875" cy="3105930"/>
            <wp:effectExtent l="0" t="0" r="0" b="0"/>
            <wp:docPr id="16" name="תמונה 16" title="תרשים 6: החוב החיצוני השליל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87" cy="312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006A96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6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7"/>
      <w:footerReference w:type="default" r:id="rId18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19" w:rsidRDefault="00A15119">
      <w:r>
        <w:separator/>
      </w:r>
    </w:p>
  </w:endnote>
  <w:endnote w:type="continuationSeparator" w:id="0">
    <w:p w:rsidR="00A15119" w:rsidRDefault="00A1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Pr="000150C4" w:rsidRDefault="00BD0A6B" w:rsidP="000C42BC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19" w:rsidRDefault="00A15119">
      <w:r>
        <w:separator/>
      </w:r>
    </w:p>
  </w:footnote>
  <w:footnote w:type="continuationSeparator" w:id="0">
    <w:p w:rsidR="00A15119" w:rsidRDefault="00A1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7F3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4D0D"/>
    <w:multiLevelType w:val="hybridMultilevel"/>
    <w:tmpl w:val="6B9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43"/>
    <w:multiLevelType w:val="hybridMultilevel"/>
    <w:tmpl w:val="ECAE696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A96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1AC"/>
    <w:rsid w:val="0007648A"/>
    <w:rsid w:val="00076C7A"/>
    <w:rsid w:val="00082ABB"/>
    <w:rsid w:val="000830F4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4D10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A08"/>
    <w:rsid w:val="000A3A38"/>
    <w:rsid w:val="000A406E"/>
    <w:rsid w:val="000A4372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1843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3F4B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5984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5E81"/>
    <w:rsid w:val="001B60EB"/>
    <w:rsid w:val="001B65AD"/>
    <w:rsid w:val="001B65E4"/>
    <w:rsid w:val="001B6796"/>
    <w:rsid w:val="001B6CCF"/>
    <w:rsid w:val="001B6E49"/>
    <w:rsid w:val="001B763A"/>
    <w:rsid w:val="001C1516"/>
    <w:rsid w:val="001C18D8"/>
    <w:rsid w:val="001C20BD"/>
    <w:rsid w:val="001C282E"/>
    <w:rsid w:val="001C2DA6"/>
    <w:rsid w:val="001C3F70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5835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906"/>
    <w:rsid w:val="001E6C92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A49"/>
    <w:rsid w:val="0021746F"/>
    <w:rsid w:val="00217D61"/>
    <w:rsid w:val="002207F2"/>
    <w:rsid w:val="002216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0AFA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84D"/>
    <w:rsid w:val="002926E9"/>
    <w:rsid w:val="00293FCB"/>
    <w:rsid w:val="002941FF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10F"/>
    <w:rsid w:val="002B5805"/>
    <w:rsid w:val="002B58EE"/>
    <w:rsid w:val="002B63D7"/>
    <w:rsid w:val="002B73BC"/>
    <w:rsid w:val="002C0FA1"/>
    <w:rsid w:val="002C13BA"/>
    <w:rsid w:val="002C1D60"/>
    <w:rsid w:val="002C1D8F"/>
    <w:rsid w:val="002C2844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26E"/>
    <w:rsid w:val="0034171E"/>
    <w:rsid w:val="00341F4D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57E84"/>
    <w:rsid w:val="003618AB"/>
    <w:rsid w:val="00362063"/>
    <w:rsid w:val="00362124"/>
    <w:rsid w:val="003621A0"/>
    <w:rsid w:val="003624A8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2CC2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646E"/>
    <w:rsid w:val="004C6C2B"/>
    <w:rsid w:val="004C6CA0"/>
    <w:rsid w:val="004C6E82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0BC2"/>
    <w:rsid w:val="004E1A65"/>
    <w:rsid w:val="004E1C27"/>
    <w:rsid w:val="004E1CDE"/>
    <w:rsid w:val="004E1D9D"/>
    <w:rsid w:val="004E2A38"/>
    <w:rsid w:val="004E2B8B"/>
    <w:rsid w:val="004E4889"/>
    <w:rsid w:val="004E49AE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07C24"/>
    <w:rsid w:val="0051087E"/>
    <w:rsid w:val="00511669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87"/>
    <w:rsid w:val="005324F5"/>
    <w:rsid w:val="00532594"/>
    <w:rsid w:val="00534599"/>
    <w:rsid w:val="0053463B"/>
    <w:rsid w:val="00535330"/>
    <w:rsid w:val="00535393"/>
    <w:rsid w:val="005353B3"/>
    <w:rsid w:val="00535467"/>
    <w:rsid w:val="00536DFD"/>
    <w:rsid w:val="00537605"/>
    <w:rsid w:val="0053772E"/>
    <w:rsid w:val="00540A3F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183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473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38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1F89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0940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6B6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4D8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DFB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62D5"/>
    <w:rsid w:val="008677EF"/>
    <w:rsid w:val="00867E70"/>
    <w:rsid w:val="0087007C"/>
    <w:rsid w:val="008708DF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4EAA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5EE0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5CF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202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511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76B"/>
    <w:rsid w:val="00B33887"/>
    <w:rsid w:val="00B34352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3EA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72D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3BEF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68A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BF1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98A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561"/>
    <w:rsid w:val="00DD290C"/>
    <w:rsid w:val="00DD2C6C"/>
    <w:rsid w:val="00DD3088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27F2A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5365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B7D"/>
    <w:rsid w:val="00F93CFB"/>
    <w:rsid w:val="00F946D9"/>
    <w:rsid w:val="00F9493D"/>
    <w:rsid w:val="00F94DA7"/>
    <w:rsid w:val="00F9624C"/>
    <w:rsid w:val="00F965A6"/>
    <w:rsid w:val="00F968C5"/>
    <w:rsid w:val="00F96D43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19B3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27A6"/>
    <w:rsid w:val="00FF31D8"/>
    <w:rsid w:val="00FF3A00"/>
    <w:rsid w:val="00FF49C9"/>
    <w:rsid w:val="00FF4F2A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84E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i.org.il/he/DataAndStatistics/Pages/MainPage.aspx?Level=2&amp;Sid=27&amp;SubjectType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5F85F-1F57-4012-AD9A-9614FC0C811A}"/>
</file>

<file path=customXml/itemProps2.xml><?xml version="1.0" encoding="utf-8"?>
<ds:datastoreItem xmlns:ds="http://schemas.openxmlformats.org/officeDocument/2006/customXml" ds:itemID="{2427E369-AD4A-43AF-ADAA-26B81F100359}"/>
</file>

<file path=customXml/itemProps3.xml><?xml version="1.0" encoding="utf-8"?>
<ds:datastoreItem xmlns:ds="http://schemas.openxmlformats.org/officeDocument/2006/customXml" ds:itemID="{98110F46-0051-49CD-900D-78290E85CDB0}"/>
</file>

<file path=customXml/itemProps4.xml><?xml version="1.0" encoding="utf-8"?>
<ds:datastoreItem xmlns:ds="http://schemas.openxmlformats.org/officeDocument/2006/customXml" ds:itemID="{62927BFB-6182-410E-A4AE-819B6FE32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5435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2019-06-18T06:46:00Z</dcterms:created>
  <dcterms:modified xsi:type="dcterms:W3CDTF">2019-06-18T06:48:00Z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