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38"/>
        <w:bidiVisual/>
        <w:tblW w:w="0" w:type="auto"/>
        <w:tblLayout w:type="fixed"/>
        <w:tblLook w:val="0000" w:firstRow="0" w:lastRow="0" w:firstColumn="0" w:lastColumn="0" w:noHBand="0" w:noVBand="0"/>
        <w:tblCaption w:val="כותרת בנק ישראל"/>
        <w:tblDescription w:val="כותרת בנק ישראל"/>
      </w:tblPr>
      <w:tblGrid>
        <w:gridCol w:w="2840"/>
        <w:gridCol w:w="2596"/>
        <w:gridCol w:w="3084"/>
      </w:tblGrid>
      <w:tr w:rsidR="006E02C1" w:rsidRPr="003A06EA" w:rsidTr="00DA53DC">
        <w:tc>
          <w:tcPr>
            <w:tcW w:w="2840" w:type="dxa"/>
            <w:tcBorders>
              <w:top w:val="nil"/>
              <w:left w:val="nil"/>
              <w:bottom w:val="nil"/>
              <w:right w:val="nil"/>
            </w:tcBorders>
            <w:vAlign w:val="center"/>
          </w:tcPr>
          <w:p w:rsidR="006E02C1" w:rsidRPr="003A06EA" w:rsidRDefault="006E02C1" w:rsidP="00DA53DC">
            <w:pPr>
              <w:jc w:val="center"/>
              <w:rPr>
                <w:b/>
                <w:bCs/>
                <w:sz w:val="28"/>
                <w:szCs w:val="28"/>
              </w:rPr>
            </w:pPr>
            <w:r w:rsidRPr="003A06EA">
              <w:rPr>
                <w:b/>
                <w:bCs/>
                <w:sz w:val="28"/>
                <w:szCs w:val="28"/>
                <w:rtl/>
              </w:rPr>
              <w:t>בנ</w:t>
            </w:r>
            <w:r w:rsidRPr="003A06EA">
              <w:rPr>
                <w:rFonts w:hint="cs"/>
                <w:b/>
                <w:bCs/>
                <w:sz w:val="28"/>
                <w:szCs w:val="28"/>
                <w:rtl/>
              </w:rPr>
              <w:t xml:space="preserve">ק </w:t>
            </w:r>
            <w:r w:rsidRPr="003A06EA">
              <w:rPr>
                <w:b/>
                <w:bCs/>
                <w:sz w:val="28"/>
                <w:szCs w:val="28"/>
                <w:rtl/>
              </w:rPr>
              <w:t>יש</w:t>
            </w:r>
            <w:r w:rsidRPr="003A06EA">
              <w:rPr>
                <w:rFonts w:hint="cs"/>
                <w:b/>
                <w:bCs/>
                <w:sz w:val="28"/>
                <w:szCs w:val="28"/>
                <w:rtl/>
              </w:rPr>
              <w:t>ראל</w:t>
            </w:r>
          </w:p>
          <w:p w:rsidR="006E02C1" w:rsidRPr="003A06EA" w:rsidRDefault="006E02C1" w:rsidP="00DA53DC">
            <w:pPr>
              <w:ind w:right="-101"/>
              <w:jc w:val="center"/>
            </w:pPr>
            <w:r w:rsidRPr="003A06EA">
              <w:rPr>
                <w:rtl/>
              </w:rPr>
              <w:t>דו</w:t>
            </w:r>
            <w:r w:rsidRPr="003A06EA">
              <w:rPr>
                <w:rFonts w:hint="cs"/>
                <w:rtl/>
              </w:rPr>
              <w:t>בר</w:t>
            </w:r>
            <w:r w:rsidRPr="003A06EA">
              <w:rPr>
                <w:rtl/>
              </w:rPr>
              <w:t>ות</w:t>
            </w:r>
            <w:r w:rsidRPr="003A06EA">
              <w:rPr>
                <w:rFonts w:hint="cs"/>
                <w:rtl/>
              </w:rPr>
              <w:t xml:space="preserve"> והסברה כלכלית</w:t>
            </w:r>
          </w:p>
        </w:tc>
        <w:tc>
          <w:tcPr>
            <w:tcW w:w="2596" w:type="dxa"/>
            <w:tcBorders>
              <w:top w:val="nil"/>
              <w:left w:val="nil"/>
              <w:bottom w:val="nil"/>
              <w:right w:val="nil"/>
            </w:tcBorders>
          </w:tcPr>
          <w:p w:rsidR="006E02C1" w:rsidRPr="003A06EA" w:rsidRDefault="006E02C1" w:rsidP="00DA53DC">
            <w:pPr>
              <w:jc w:val="center"/>
            </w:pPr>
            <w:r w:rsidRPr="003A06EA">
              <w:rPr>
                <w:noProof/>
                <w:rtl/>
              </w:rPr>
              <w:drawing>
                <wp:inline distT="0" distB="0" distL="0" distR="0" wp14:anchorId="265BCF65" wp14:editId="2B302305">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6E02C1" w:rsidRPr="003A06EA" w:rsidRDefault="006E02C1" w:rsidP="006E02C1">
            <w:pPr>
              <w:jc w:val="right"/>
            </w:pPr>
            <w:r w:rsidRPr="003A06EA">
              <w:rPr>
                <w:rFonts w:hint="eastAsia"/>
                <w:highlight w:val="yellow"/>
                <w:rtl/>
              </w:rPr>
              <w:t>‏</w:t>
            </w:r>
            <w:r w:rsidRPr="003A06EA">
              <w:rPr>
                <w:rtl/>
              </w:rPr>
              <w:t xml:space="preserve"> ירושלים, </w:t>
            </w:r>
            <w:r>
              <w:rPr>
                <w:rFonts w:hint="cs"/>
                <w:rtl/>
              </w:rPr>
              <w:t>ט"ז</w:t>
            </w:r>
            <w:r w:rsidRPr="003A06EA">
              <w:rPr>
                <w:rtl/>
              </w:rPr>
              <w:t xml:space="preserve"> ב</w:t>
            </w:r>
            <w:r w:rsidRPr="003A06EA">
              <w:rPr>
                <w:rFonts w:hint="cs"/>
                <w:rtl/>
              </w:rPr>
              <w:t>חשוון</w:t>
            </w:r>
            <w:r w:rsidRPr="003A06EA">
              <w:rPr>
                <w:rtl/>
              </w:rPr>
              <w:t xml:space="preserve">, </w:t>
            </w:r>
            <w:proofErr w:type="spellStart"/>
            <w:r w:rsidRPr="003A06EA">
              <w:rPr>
                <w:rtl/>
              </w:rPr>
              <w:t>התשע"</w:t>
            </w:r>
            <w:r w:rsidRPr="003A06EA">
              <w:rPr>
                <w:rFonts w:hint="cs"/>
                <w:rtl/>
              </w:rPr>
              <w:t>ח</w:t>
            </w:r>
            <w:proofErr w:type="spellEnd"/>
          </w:p>
          <w:p w:rsidR="006E02C1" w:rsidRPr="003A06EA" w:rsidRDefault="006E02C1" w:rsidP="006E02C1">
            <w:pPr>
              <w:jc w:val="right"/>
              <w:rPr>
                <w:highlight w:val="yellow"/>
              </w:rPr>
            </w:pPr>
            <w:r w:rsidRPr="003A06EA">
              <w:rPr>
                <w:rFonts w:hint="eastAsia"/>
                <w:rtl/>
              </w:rPr>
              <w:t>‏‏</w:t>
            </w:r>
            <w:r>
              <w:rPr>
                <w:rFonts w:hint="cs"/>
                <w:rtl/>
              </w:rPr>
              <w:t>5</w:t>
            </w:r>
            <w:r w:rsidRPr="003A06EA">
              <w:rPr>
                <w:rtl/>
              </w:rPr>
              <w:t xml:space="preserve"> ב</w:t>
            </w:r>
            <w:r w:rsidRPr="003A06EA">
              <w:rPr>
                <w:rFonts w:hint="cs"/>
                <w:rtl/>
              </w:rPr>
              <w:t>נובמבר</w:t>
            </w:r>
            <w:r w:rsidRPr="003A06EA">
              <w:rPr>
                <w:rtl/>
              </w:rPr>
              <w:t xml:space="preserve"> </w:t>
            </w:r>
            <w:r w:rsidRPr="003A06EA">
              <w:rPr>
                <w:rFonts w:hint="cs"/>
                <w:rtl/>
              </w:rPr>
              <w:t>2017</w:t>
            </w:r>
          </w:p>
        </w:tc>
      </w:tr>
    </w:tbl>
    <w:p w:rsidR="006D4A64" w:rsidRDefault="006D4A64" w:rsidP="00701BA2">
      <w:pPr>
        <w:spacing w:after="120"/>
        <w:jc w:val="center"/>
        <w:rPr>
          <w:b/>
          <w:bCs/>
          <w:u w:val="single"/>
          <w:rtl/>
        </w:rPr>
      </w:pPr>
    </w:p>
    <w:p w:rsidR="00645570" w:rsidRPr="006E02C1" w:rsidRDefault="006C0929" w:rsidP="006E02C1">
      <w:pPr>
        <w:pStyle w:val="1"/>
        <w:rPr>
          <w:rtl/>
        </w:rPr>
      </w:pPr>
      <w:r w:rsidRPr="006E02C1">
        <w:rPr>
          <w:rFonts w:hint="cs"/>
          <w:rtl/>
        </w:rPr>
        <w:t xml:space="preserve">יישומה של </w:t>
      </w:r>
      <w:r w:rsidR="00AE6C19" w:rsidRPr="006E02C1">
        <w:rPr>
          <w:rFonts w:hint="cs"/>
          <w:rtl/>
        </w:rPr>
        <w:t>תכני</w:t>
      </w:r>
      <w:r w:rsidR="00645570" w:rsidRPr="006E02C1">
        <w:rPr>
          <w:rFonts w:hint="cs"/>
          <w:rtl/>
        </w:rPr>
        <w:t xml:space="preserve">ת </w:t>
      </w:r>
      <w:r w:rsidRPr="006E02C1">
        <w:rPr>
          <w:rFonts w:hint="cs"/>
          <w:rtl/>
        </w:rPr>
        <w:t>ה</w:t>
      </w:r>
      <w:r w:rsidR="00645570" w:rsidRPr="006E02C1">
        <w:rPr>
          <w:rFonts w:hint="cs"/>
          <w:rtl/>
        </w:rPr>
        <w:t>הת</w:t>
      </w:r>
      <w:r w:rsidR="002023DB" w:rsidRPr="006E02C1">
        <w:rPr>
          <w:rFonts w:hint="cs"/>
          <w:rtl/>
        </w:rPr>
        <w:t>ייעלות במערכת הבנקאי</w:t>
      </w:r>
      <w:r w:rsidR="00645570" w:rsidRPr="006E02C1">
        <w:rPr>
          <w:rFonts w:hint="cs"/>
          <w:rtl/>
        </w:rPr>
        <w:t>ת</w:t>
      </w:r>
      <w:r w:rsidR="003611F5" w:rsidRPr="006E02C1">
        <w:rPr>
          <w:rFonts w:hint="cs"/>
          <w:rtl/>
        </w:rPr>
        <w:t xml:space="preserve"> ו"גלגול" </w:t>
      </w:r>
      <w:r w:rsidR="00701BA2" w:rsidRPr="006E02C1">
        <w:rPr>
          <w:rFonts w:hint="cs"/>
          <w:rtl/>
        </w:rPr>
        <w:t>פירותיה</w:t>
      </w:r>
      <w:r w:rsidR="003611F5" w:rsidRPr="006E02C1">
        <w:rPr>
          <w:rFonts w:hint="cs"/>
          <w:rtl/>
        </w:rPr>
        <w:t xml:space="preserve"> לציבור לקוחות הבנקים</w:t>
      </w:r>
    </w:p>
    <w:p w:rsidR="00B66FDF" w:rsidRDefault="00B66FDF" w:rsidP="00AD36FD">
      <w:pPr>
        <w:pStyle w:val="af0"/>
        <w:numPr>
          <w:ilvl w:val="0"/>
          <w:numId w:val="14"/>
        </w:numPr>
        <w:spacing w:after="120" w:line="360" w:lineRule="auto"/>
        <w:jc w:val="both"/>
        <w:rPr>
          <w:rFonts w:cs="David"/>
          <w:b/>
          <w:bCs/>
          <w:sz w:val="24"/>
          <w:szCs w:val="24"/>
        </w:rPr>
      </w:pPr>
      <w:r>
        <w:rPr>
          <w:rFonts w:cs="David" w:hint="cs"/>
          <w:b/>
          <w:bCs/>
          <w:sz w:val="24"/>
          <w:szCs w:val="24"/>
          <w:rtl/>
        </w:rPr>
        <w:t>ב</w:t>
      </w:r>
      <w:r w:rsidR="00EF7563">
        <w:rPr>
          <w:rFonts w:cs="David" w:hint="cs"/>
          <w:b/>
          <w:bCs/>
          <w:sz w:val="24"/>
          <w:szCs w:val="24"/>
          <w:rtl/>
        </w:rPr>
        <w:t>ינואר</w:t>
      </w:r>
      <w:r>
        <w:rPr>
          <w:rFonts w:cs="David" w:hint="cs"/>
          <w:b/>
          <w:bCs/>
          <w:sz w:val="24"/>
          <w:szCs w:val="24"/>
          <w:rtl/>
        </w:rPr>
        <w:t xml:space="preserve"> 2016 </w:t>
      </w:r>
      <w:proofErr w:type="spellStart"/>
      <w:r w:rsidR="00AD7AA1">
        <w:rPr>
          <w:rFonts w:cs="David" w:hint="cs"/>
          <w:b/>
          <w:bCs/>
          <w:sz w:val="24"/>
          <w:szCs w:val="24"/>
          <w:rtl/>
        </w:rPr>
        <w:t>פירסם</w:t>
      </w:r>
      <w:proofErr w:type="spellEnd"/>
      <w:r>
        <w:rPr>
          <w:rFonts w:cs="David" w:hint="cs"/>
          <w:b/>
          <w:bCs/>
          <w:sz w:val="24"/>
          <w:szCs w:val="24"/>
          <w:rtl/>
        </w:rPr>
        <w:t xml:space="preserve"> הפיקוח על הבנקים הוראה לפיה כל בנק נדרש להציג תכנית התייעלות משמעותית</w:t>
      </w:r>
      <w:r w:rsidR="00EF7563">
        <w:rPr>
          <w:rFonts w:cs="David" w:hint="cs"/>
          <w:b/>
          <w:bCs/>
          <w:sz w:val="24"/>
          <w:szCs w:val="24"/>
          <w:rtl/>
        </w:rPr>
        <w:t xml:space="preserve"> לשנים הקרובות</w:t>
      </w:r>
      <w:r w:rsidR="00AD7AA1">
        <w:rPr>
          <w:rFonts w:cs="David" w:hint="cs"/>
          <w:b/>
          <w:bCs/>
          <w:sz w:val="24"/>
          <w:szCs w:val="24"/>
          <w:rtl/>
        </w:rPr>
        <w:t>, במסגרתה</w:t>
      </w:r>
      <w:r w:rsidR="00AF0F29">
        <w:rPr>
          <w:rFonts w:cs="David" w:hint="cs"/>
          <w:b/>
          <w:bCs/>
          <w:sz w:val="24"/>
          <w:szCs w:val="24"/>
          <w:rtl/>
        </w:rPr>
        <w:t xml:space="preserve"> </w:t>
      </w:r>
      <w:r w:rsidR="00AD7AA1">
        <w:rPr>
          <w:rFonts w:cs="David" w:hint="cs"/>
          <w:b/>
          <w:bCs/>
          <w:sz w:val="24"/>
          <w:szCs w:val="24"/>
          <w:rtl/>
        </w:rPr>
        <w:t>יצומצמו</w:t>
      </w:r>
      <w:r w:rsidR="00AF0F29">
        <w:rPr>
          <w:rFonts w:cs="David" w:hint="cs"/>
          <w:b/>
          <w:bCs/>
          <w:sz w:val="24"/>
          <w:szCs w:val="24"/>
          <w:rtl/>
        </w:rPr>
        <w:t xml:space="preserve"> כוח האדם וכלל ההוצאות</w:t>
      </w:r>
      <w:r>
        <w:rPr>
          <w:rFonts w:cs="David" w:hint="cs"/>
          <w:b/>
          <w:bCs/>
          <w:sz w:val="24"/>
          <w:szCs w:val="24"/>
          <w:rtl/>
        </w:rPr>
        <w:t xml:space="preserve">, ועל בסיסה הבנק </w:t>
      </w:r>
      <w:r w:rsidR="00124081">
        <w:rPr>
          <w:rFonts w:cs="David" w:hint="cs"/>
          <w:b/>
          <w:bCs/>
          <w:sz w:val="24"/>
          <w:szCs w:val="24"/>
          <w:rtl/>
        </w:rPr>
        <w:t>יקבל</w:t>
      </w:r>
      <w:r>
        <w:rPr>
          <w:rFonts w:cs="David" w:hint="cs"/>
          <w:b/>
          <w:bCs/>
          <w:sz w:val="24"/>
          <w:szCs w:val="24"/>
          <w:rtl/>
        </w:rPr>
        <w:t xml:space="preserve"> הקלות הון ו</w:t>
      </w:r>
      <w:r w:rsidR="00AD7AA1">
        <w:rPr>
          <w:rFonts w:cs="David" w:hint="cs"/>
          <w:b/>
          <w:bCs/>
          <w:sz w:val="24"/>
          <w:szCs w:val="24"/>
          <w:rtl/>
        </w:rPr>
        <w:t xml:space="preserve">תתאפשר </w:t>
      </w:r>
      <w:r>
        <w:rPr>
          <w:rFonts w:cs="David" w:hint="cs"/>
          <w:b/>
          <w:bCs/>
          <w:sz w:val="24"/>
          <w:szCs w:val="24"/>
          <w:rtl/>
        </w:rPr>
        <w:t>פריס</w:t>
      </w:r>
      <w:r w:rsidR="00AD7AA1">
        <w:rPr>
          <w:rFonts w:cs="David" w:hint="cs"/>
          <w:b/>
          <w:bCs/>
          <w:sz w:val="24"/>
          <w:szCs w:val="24"/>
          <w:rtl/>
        </w:rPr>
        <w:t>ה</w:t>
      </w:r>
      <w:r>
        <w:rPr>
          <w:rFonts w:cs="David" w:hint="cs"/>
          <w:b/>
          <w:bCs/>
          <w:sz w:val="24"/>
          <w:szCs w:val="24"/>
          <w:rtl/>
        </w:rPr>
        <w:t xml:space="preserve"> </w:t>
      </w:r>
      <w:r w:rsidR="00AD7AA1">
        <w:rPr>
          <w:rFonts w:cs="David" w:hint="cs"/>
          <w:b/>
          <w:bCs/>
          <w:sz w:val="24"/>
          <w:szCs w:val="24"/>
          <w:rtl/>
        </w:rPr>
        <w:t xml:space="preserve">של </w:t>
      </w:r>
      <w:r w:rsidR="00081511">
        <w:rPr>
          <w:rFonts w:cs="David" w:hint="cs"/>
          <w:b/>
          <w:bCs/>
          <w:sz w:val="24"/>
          <w:szCs w:val="24"/>
          <w:rtl/>
        </w:rPr>
        <w:t>עלות הת</w:t>
      </w:r>
      <w:r>
        <w:rPr>
          <w:rFonts w:cs="David" w:hint="cs"/>
          <w:b/>
          <w:bCs/>
          <w:sz w:val="24"/>
          <w:szCs w:val="24"/>
          <w:rtl/>
        </w:rPr>
        <w:t>כנית</w:t>
      </w:r>
      <w:r w:rsidR="00AD7AA1">
        <w:rPr>
          <w:rFonts w:cs="David" w:hint="cs"/>
          <w:b/>
          <w:bCs/>
          <w:sz w:val="24"/>
          <w:szCs w:val="24"/>
          <w:rtl/>
        </w:rPr>
        <w:t xml:space="preserve"> מבחינה חשבונאית</w:t>
      </w:r>
      <w:r>
        <w:rPr>
          <w:rFonts w:cs="David" w:hint="cs"/>
          <w:b/>
          <w:bCs/>
          <w:sz w:val="24"/>
          <w:szCs w:val="24"/>
          <w:rtl/>
        </w:rPr>
        <w:t>.</w:t>
      </w:r>
      <w:r w:rsidR="00AB5F63">
        <w:rPr>
          <w:rFonts w:cs="David" w:hint="cs"/>
          <w:b/>
          <w:bCs/>
          <w:sz w:val="24"/>
          <w:szCs w:val="24"/>
          <w:rtl/>
        </w:rPr>
        <w:t xml:space="preserve"> בהמשך הרחיב הפיקוח את ההוראה גם ל</w:t>
      </w:r>
      <w:r w:rsidR="00AF0F29">
        <w:rPr>
          <w:rFonts w:cs="David" w:hint="cs"/>
          <w:b/>
          <w:bCs/>
          <w:sz w:val="24"/>
          <w:szCs w:val="24"/>
          <w:rtl/>
        </w:rPr>
        <w:t xml:space="preserve">עידוד </w:t>
      </w:r>
      <w:r w:rsidR="00AB5F63">
        <w:rPr>
          <w:rFonts w:cs="David" w:hint="cs"/>
          <w:b/>
          <w:bCs/>
          <w:sz w:val="24"/>
          <w:szCs w:val="24"/>
          <w:rtl/>
        </w:rPr>
        <w:t>התייעלות בתחום הנדל"ן.</w:t>
      </w:r>
      <w:r>
        <w:rPr>
          <w:rFonts w:cs="David" w:hint="cs"/>
          <w:b/>
          <w:bCs/>
          <w:sz w:val="24"/>
          <w:szCs w:val="24"/>
          <w:rtl/>
        </w:rPr>
        <w:t xml:space="preserve"> סקירה זו נועדה להציג את </w:t>
      </w:r>
      <w:r w:rsidR="00EA5B4B">
        <w:rPr>
          <w:rFonts w:cs="David" w:hint="cs"/>
          <w:b/>
          <w:bCs/>
          <w:sz w:val="24"/>
          <w:szCs w:val="24"/>
          <w:rtl/>
        </w:rPr>
        <w:t xml:space="preserve">הרקע והמטרות של תכנית ההתייעלות הרב שנתית, ואת </w:t>
      </w:r>
      <w:r>
        <w:rPr>
          <w:rFonts w:cs="David" w:hint="cs"/>
          <w:b/>
          <w:bCs/>
          <w:sz w:val="24"/>
          <w:szCs w:val="24"/>
          <w:rtl/>
        </w:rPr>
        <w:t>התקדמות המערכת הבנקאית בייש</w:t>
      </w:r>
      <w:r w:rsidR="00EA5B4B">
        <w:rPr>
          <w:rFonts w:cs="David" w:hint="cs"/>
          <w:b/>
          <w:bCs/>
          <w:sz w:val="24"/>
          <w:szCs w:val="24"/>
          <w:rtl/>
        </w:rPr>
        <w:t>מה</w:t>
      </w:r>
      <w:r>
        <w:rPr>
          <w:rFonts w:cs="David" w:hint="cs"/>
          <w:b/>
          <w:bCs/>
          <w:sz w:val="24"/>
          <w:szCs w:val="24"/>
          <w:rtl/>
        </w:rPr>
        <w:t>.</w:t>
      </w:r>
    </w:p>
    <w:p w:rsidR="00C01C1C" w:rsidRDefault="00EA5B4B" w:rsidP="008F3054">
      <w:pPr>
        <w:pStyle w:val="af0"/>
        <w:numPr>
          <w:ilvl w:val="0"/>
          <w:numId w:val="14"/>
        </w:numPr>
        <w:spacing w:after="120" w:line="360" w:lineRule="auto"/>
        <w:jc w:val="both"/>
        <w:rPr>
          <w:rFonts w:cs="David"/>
          <w:b/>
          <w:bCs/>
          <w:sz w:val="24"/>
          <w:szCs w:val="24"/>
        </w:rPr>
      </w:pPr>
      <w:r>
        <w:rPr>
          <w:rFonts w:cs="David" w:hint="cs"/>
          <w:b/>
          <w:bCs/>
          <w:sz w:val="24"/>
          <w:szCs w:val="24"/>
          <w:rtl/>
        </w:rPr>
        <w:t xml:space="preserve">מטרת </w:t>
      </w:r>
      <w:r w:rsidR="00D41C31">
        <w:rPr>
          <w:rFonts w:cs="David" w:hint="cs"/>
          <w:b/>
          <w:bCs/>
          <w:sz w:val="24"/>
          <w:szCs w:val="24"/>
          <w:rtl/>
        </w:rPr>
        <w:t xml:space="preserve">הפיקוח </w:t>
      </w:r>
      <w:r>
        <w:rPr>
          <w:rFonts w:cs="David" w:hint="cs"/>
          <w:b/>
          <w:bCs/>
          <w:sz w:val="24"/>
          <w:szCs w:val="24"/>
          <w:rtl/>
        </w:rPr>
        <w:t xml:space="preserve">הנה להביא את המערכת הבנקאית </w:t>
      </w:r>
      <w:r w:rsidR="0048329F">
        <w:rPr>
          <w:rFonts w:cs="David" w:hint="cs"/>
          <w:b/>
          <w:bCs/>
          <w:sz w:val="24"/>
          <w:szCs w:val="24"/>
          <w:rtl/>
        </w:rPr>
        <w:t xml:space="preserve">בישראל לרמת יעילות דומה לזו של </w:t>
      </w:r>
      <w:r>
        <w:rPr>
          <w:rFonts w:cs="David" w:hint="cs"/>
          <w:b/>
          <w:bCs/>
          <w:sz w:val="24"/>
          <w:szCs w:val="24"/>
          <w:rtl/>
        </w:rPr>
        <w:t xml:space="preserve">בנקים </w:t>
      </w:r>
      <w:r w:rsidR="00811CEA" w:rsidRPr="00EF7563">
        <w:rPr>
          <w:rFonts w:cs="David" w:hint="cs"/>
          <w:b/>
          <w:bCs/>
          <w:sz w:val="24"/>
          <w:szCs w:val="24"/>
          <w:rtl/>
        </w:rPr>
        <w:t xml:space="preserve">במדינות </w:t>
      </w:r>
      <w:r>
        <w:rPr>
          <w:rFonts w:cs="David" w:hint="cs"/>
          <w:b/>
          <w:bCs/>
          <w:sz w:val="24"/>
          <w:szCs w:val="24"/>
          <w:rtl/>
        </w:rPr>
        <w:t>ה</w:t>
      </w:r>
      <w:r w:rsidR="00FE1332" w:rsidRPr="00EF7563">
        <w:rPr>
          <w:rFonts w:cs="David" w:hint="cs"/>
          <w:b/>
          <w:bCs/>
          <w:sz w:val="24"/>
          <w:szCs w:val="24"/>
          <w:rtl/>
        </w:rPr>
        <w:t>מפותחות</w:t>
      </w:r>
      <w:r w:rsidR="000A6F7B">
        <w:rPr>
          <w:rFonts w:cs="David" w:hint="cs"/>
          <w:b/>
          <w:bCs/>
          <w:sz w:val="24"/>
          <w:szCs w:val="24"/>
          <w:rtl/>
        </w:rPr>
        <w:t xml:space="preserve"> </w:t>
      </w:r>
      <w:r w:rsidR="008210E7">
        <w:rPr>
          <w:rFonts w:cs="David" w:hint="cs"/>
          <w:b/>
          <w:bCs/>
          <w:sz w:val="24"/>
          <w:szCs w:val="24"/>
          <w:rtl/>
        </w:rPr>
        <w:t xml:space="preserve">- </w:t>
      </w:r>
      <w:r w:rsidR="008210E7" w:rsidRPr="002D2AB6">
        <w:rPr>
          <w:rFonts w:cs="David" w:hint="cs"/>
          <w:b/>
          <w:bCs/>
          <w:sz w:val="24"/>
          <w:szCs w:val="24"/>
          <w:rtl/>
        </w:rPr>
        <w:t>שממשיכה להשתפר כל העת</w:t>
      </w:r>
      <w:r w:rsidR="00CA7E76">
        <w:rPr>
          <w:rFonts w:cs="David" w:hint="cs"/>
          <w:b/>
          <w:bCs/>
          <w:sz w:val="24"/>
          <w:szCs w:val="24"/>
          <w:rtl/>
        </w:rPr>
        <w:t xml:space="preserve">, </w:t>
      </w:r>
      <w:proofErr w:type="spellStart"/>
      <w:r w:rsidR="00DD6FFF">
        <w:rPr>
          <w:rFonts w:cs="David" w:hint="cs"/>
          <w:b/>
          <w:bCs/>
          <w:sz w:val="24"/>
          <w:szCs w:val="24"/>
          <w:rtl/>
        </w:rPr>
        <w:t>ולודא</w:t>
      </w:r>
      <w:proofErr w:type="spellEnd"/>
      <w:r w:rsidR="00DD6FFF">
        <w:rPr>
          <w:rFonts w:cs="David" w:hint="cs"/>
          <w:b/>
          <w:bCs/>
          <w:sz w:val="24"/>
          <w:szCs w:val="24"/>
          <w:rtl/>
        </w:rPr>
        <w:t xml:space="preserve"> ש</w:t>
      </w:r>
      <w:r>
        <w:rPr>
          <w:rFonts w:cs="David" w:hint="cs"/>
          <w:b/>
          <w:bCs/>
          <w:sz w:val="24"/>
          <w:szCs w:val="24"/>
          <w:rtl/>
        </w:rPr>
        <w:t>ה</w:t>
      </w:r>
      <w:r w:rsidR="00D41C31">
        <w:rPr>
          <w:rFonts w:cs="David" w:hint="cs"/>
          <w:b/>
          <w:bCs/>
          <w:sz w:val="24"/>
          <w:szCs w:val="24"/>
          <w:rtl/>
        </w:rPr>
        <w:t xml:space="preserve">מערכת הבנקאית </w:t>
      </w:r>
      <w:r>
        <w:rPr>
          <w:rFonts w:cs="David" w:hint="cs"/>
          <w:b/>
          <w:bCs/>
          <w:sz w:val="24"/>
          <w:szCs w:val="24"/>
          <w:rtl/>
        </w:rPr>
        <w:t>ת</w:t>
      </w:r>
      <w:r w:rsidR="00D41C31">
        <w:rPr>
          <w:rFonts w:cs="David" w:hint="cs"/>
          <w:b/>
          <w:bCs/>
          <w:sz w:val="24"/>
          <w:szCs w:val="24"/>
          <w:rtl/>
        </w:rPr>
        <w:t>תאים את המודל העסקי שלה לסביבה המשתנה, כ</w:t>
      </w:r>
      <w:r>
        <w:rPr>
          <w:rFonts w:cs="David" w:hint="cs"/>
          <w:b/>
          <w:bCs/>
          <w:sz w:val="24"/>
          <w:szCs w:val="24"/>
          <w:rtl/>
        </w:rPr>
        <w:t>ך שהוא</w:t>
      </w:r>
      <w:r w:rsidR="00D41C31">
        <w:rPr>
          <w:rFonts w:cs="David" w:hint="cs"/>
          <w:b/>
          <w:bCs/>
          <w:sz w:val="24"/>
          <w:szCs w:val="24"/>
          <w:rtl/>
        </w:rPr>
        <w:t xml:space="preserve"> יהיה בר-קיימא גם בעולם התחרותי והטכנולוגי המתהווה</w:t>
      </w:r>
      <w:r w:rsidR="00A84BCF" w:rsidRPr="00EF7563">
        <w:rPr>
          <w:rFonts w:cs="David" w:hint="cs"/>
          <w:b/>
          <w:bCs/>
          <w:sz w:val="24"/>
          <w:szCs w:val="24"/>
          <w:rtl/>
        </w:rPr>
        <w:t>.</w:t>
      </w:r>
      <w:r w:rsidR="00FE1332" w:rsidRPr="00EF7563">
        <w:rPr>
          <w:rFonts w:cs="David" w:hint="cs"/>
          <w:b/>
          <w:bCs/>
          <w:sz w:val="24"/>
          <w:szCs w:val="24"/>
          <w:rtl/>
        </w:rPr>
        <w:t xml:space="preserve"> </w:t>
      </w:r>
    </w:p>
    <w:p w:rsidR="00636D22" w:rsidRPr="00636D22" w:rsidRDefault="00636D22" w:rsidP="008F3054">
      <w:pPr>
        <w:pStyle w:val="af0"/>
        <w:numPr>
          <w:ilvl w:val="0"/>
          <w:numId w:val="14"/>
        </w:numPr>
        <w:spacing w:line="360" w:lineRule="auto"/>
        <w:jc w:val="both"/>
        <w:rPr>
          <w:rFonts w:cs="David"/>
          <w:b/>
          <w:bCs/>
          <w:sz w:val="24"/>
          <w:szCs w:val="24"/>
          <w:rtl/>
        </w:rPr>
      </w:pPr>
      <w:r w:rsidRPr="00636D22">
        <w:rPr>
          <w:rFonts w:cs="David"/>
          <w:b/>
          <w:bCs/>
          <w:sz w:val="24"/>
          <w:szCs w:val="24"/>
          <w:rtl/>
        </w:rPr>
        <w:t>הפיקוח פועל לוודא שתהליכי ההתייעלות והשינוי יבוצעו על-ידי הבנקים תוך רגישות כלפי כל האוכלוסיות המעורבות</w:t>
      </w:r>
      <w:r w:rsidR="00505EC3">
        <w:rPr>
          <w:rFonts w:cs="David" w:hint="cs"/>
          <w:b/>
          <w:bCs/>
          <w:sz w:val="24"/>
          <w:szCs w:val="24"/>
          <w:rtl/>
        </w:rPr>
        <w:t xml:space="preserve"> </w:t>
      </w:r>
      <w:r w:rsidRPr="00636D22">
        <w:rPr>
          <w:rFonts w:cs="David"/>
          <w:b/>
          <w:bCs/>
          <w:sz w:val="24"/>
          <w:szCs w:val="24"/>
          <w:rtl/>
        </w:rPr>
        <w:t>- הלקוחות מצד אחד והעובדים מצד שני - בע</w:t>
      </w:r>
      <w:r w:rsidR="009768C4">
        <w:rPr>
          <w:rFonts w:cs="David"/>
          <w:b/>
          <w:bCs/>
          <w:sz w:val="24"/>
          <w:szCs w:val="24"/>
          <w:rtl/>
        </w:rPr>
        <w:t xml:space="preserve">זרת שימוש בכלים מגוונים שמקלים </w:t>
      </w:r>
      <w:r w:rsidR="009768C4">
        <w:rPr>
          <w:rFonts w:cs="David" w:hint="cs"/>
          <w:b/>
          <w:bCs/>
          <w:sz w:val="24"/>
          <w:szCs w:val="24"/>
          <w:rtl/>
        </w:rPr>
        <w:t xml:space="preserve">על </w:t>
      </w:r>
      <w:r w:rsidRPr="00636D22">
        <w:rPr>
          <w:rFonts w:cs="David"/>
          <w:b/>
          <w:bCs/>
          <w:sz w:val="24"/>
          <w:szCs w:val="24"/>
          <w:rtl/>
        </w:rPr>
        <w:t xml:space="preserve">תקופת המעבר. </w:t>
      </w:r>
    </w:p>
    <w:p w:rsidR="00D41C31" w:rsidRDefault="00F20AFB" w:rsidP="008210E7">
      <w:pPr>
        <w:pStyle w:val="af0"/>
        <w:numPr>
          <w:ilvl w:val="0"/>
          <w:numId w:val="14"/>
        </w:numPr>
        <w:spacing w:after="120" w:line="360" w:lineRule="auto"/>
        <w:jc w:val="both"/>
        <w:rPr>
          <w:rFonts w:cs="David"/>
          <w:b/>
          <w:bCs/>
          <w:sz w:val="24"/>
          <w:szCs w:val="24"/>
        </w:rPr>
      </w:pPr>
      <w:r>
        <w:rPr>
          <w:rFonts w:cs="David" w:hint="cs"/>
          <w:b/>
          <w:bCs/>
          <w:sz w:val="24"/>
          <w:szCs w:val="24"/>
          <w:rtl/>
        </w:rPr>
        <w:t>הפיקוח פועל להבטיח</w:t>
      </w:r>
      <w:r w:rsidRPr="00520238">
        <w:rPr>
          <w:rFonts w:cs="David" w:hint="cs"/>
          <w:b/>
          <w:bCs/>
          <w:sz w:val="24"/>
          <w:szCs w:val="24"/>
          <w:rtl/>
        </w:rPr>
        <w:t xml:space="preserve"> </w:t>
      </w:r>
      <w:r w:rsidR="00AB5F63" w:rsidRPr="00520238">
        <w:rPr>
          <w:rFonts w:cs="David" w:hint="cs"/>
          <w:b/>
          <w:bCs/>
          <w:sz w:val="24"/>
          <w:szCs w:val="24"/>
          <w:rtl/>
        </w:rPr>
        <w:t>ש</w:t>
      </w:r>
      <w:r w:rsidR="00D41C31" w:rsidRPr="00520238">
        <w:rPr>
          <w:rFonts w:cs="David" w:hint="cs"/>
          <w:b/>
          <w:bCs/>
          <w:sz w:val="24"/>
          <w:szCs w:val="24"/>
          <w:rtl/>
        </w:rPr>
        <w:t>פירות ההתייעלות</w:t>
      </w:r>
      <w:r w:rsidR="00B66FDF" w:rsidRPr="00F122BF">
        <w:rPr>
          <w:rFonts w:cs="David" w:hint="cs"/>
          <w:b/>
          <w:bCs/>
          <w:sz w:val="24"/>
          <w:szCs w:val="24"/>
          <w:rtl/>
        </w:rPr>
        <w:t xml:space="preserve"> </w:t>
      </w:r>
      <w:r w:rsidR="008210E7">
        <w:rPr>
          <w:rFonts w:cs="David" w:hint="cs"/>
          <w:b/>
          <w:bCs/>
          <w:sz w:val="24"/>
          <w:szCs w:val="24"/>
          <w:rtl/>
        </w:rPr>
        <w:t>יועברו</w:t>
      </w:r>
      <w:r w:rsidR="001275E2">
        <w:rPr>
          <w:rFonts w:cs="David" w:hint="cs"/>
          <w:b/>
          <w:bCs/>
          <w:sz w:val="24"/>
          <w:szCs w:val="24"/>
          <w:rtl/>
        </w:rPr>
        <w:t xml:space="preserve"> </w:t>
      </w:r>
      <w:r w:rsidR="00B66FDF" w:rsidRPr="00F122BF">
        <w:rPr>
          <w:rFonts w:cs="David" w:hint="cs"/>
          <w:b/>
          <w:bCs/>
          <w:sz w:val="24"/>
          <w:szCs w:val="24"/>
          <w:rtl/>
        </w:rPr>
        <w:t>לציבור</w:t>
      </w:r>
      <w:r w:rsidR="00AB5F63" w:rsidRPr="00F122BF">
        <w:rPr>
          <w:rFonts w:cs="David" w:hint="cs"/>
          <w:b/>
          <w:bCs/>
          <w:sz w:val="24"/>
          <w:szCs w:val="24"/>
          <w:rtl/>
        </w:rPr>
        <w:t xml:space="preserve"> הרחב</w:t>
      </w:r>
      <w:r w:rsidR="00B66FDF" w:rsidRPr="00F122BF">
        <w:rPr>
          <w:rFonts w:cs="David" w:hint="cs"/>
          <w:b/>
          <w:bCs/>
          <w:sz w:val="24"/>
          <w:szCs w:val="24"/>
          <w:rtl/>
        </w:rPr>
        <w:t xml:space="preserve"> ב</w:t>
      </w:r>
      <w:r w:rsidR="00EF7563" w:rsidRPr="00F122BF">
        <w:rPr>
          <w:rFonts w:cs="David" w:hint="cs"/>
          <w:b/>
          <w:bCs/>
          <w:sz w:val="24"/>
          <w:szCs w:val="24"/>
          <w:rtl/>
        </w:rPr>
        <w:t>שלוש דרכים מרכזיות</w:t>
      </w:r>
      <w:r w:rsidR="00AB5F63" w:rsidRPr="00F122BF">
        <w:rPr>
          <w:rFonts w:cs="David" w:hint="cs"/>
          <w:b/>
          <w:bCs/>
          <w:sz w:val="24"/>
          <w:szCs w:val="24"/>
          <w:rtl/>
        </w:rPr>
        <w:t>:</w:t>
      </w:r>
      <w:r w:rsidR="00B66FDF" w:rsidRPr="00F122BF">
        <w:rPr>
          <w:rFonts w:cs="David" w:hint="cs"/>
          <w:b/>
          <w:bCs/>
          <w:sz w:val="24"/>
          <w:szCs w:val="24"/>
          <w:rtl/>
        </w:rPr>
        <w:t xml:space="preserve"> </w:t>
      </w:r>
    </w:p>
    <w:p w:rsidR="00D41C31" w:rsidRDefault="00B66FDF" w:rsidP="003611F5">
      <w:pPr>
        <w:pStyle w:val="af0"/>
        <w:numPr>
          <w:ilvl w:val="1"/>
          <w:numId w:val="14"/>
        </w:numPr>
        <w:spacing w:after="120" w:line="360" w:lineRule="auto"/>
        <w:jc w:val="both"/>
        <w:rPr>
          <w:rFonts w:cs="David"/>
          <w:b/>
          <w:bCs/>
          <w:sz w:val="24"/>
          <w:szCs w:val="24"/>
        </w:rPr>
      </w:pPr>
      <w:r w:rsidRPr="00520238">
        <w:rPr>
          <w:rFonts w:cs="David" w:hint="cs"/>
          <w:b/>
          <w:bCs/>
          <w:sz w:val="24"/>
          <w:szCs w:val="24"/>
          <w:rtl/>
        </w:rPr>
        <w:t>שיפור בשירות, בזמינות ובנוחות צריכת השירותים הבנקאיים</w:t>
      </w:r>
      <w:r w:rsidR="002D2AB6">
        <w:rPr>
          <w:rFonts w:cs="David" w:hint="cs"/>
          <w:b/>
          <w:bCs/>
          <w:sz w:val="24"/>
          <w:szCs w:val="24"/>
          <w:rtl/>
        </w:rPr>
        <w:t>,</w:t>
      </w:r>
      <w:r w:rsidR="00EF7563" w:rsidRPr="00520238">
        <w:rPr>
          <w:rFonts w:cs="David" w:hint="cs"/>
          <w:b/>
          <w:bCs/>
          <w:sz w:val="24"/>
          <w:szCs w:val="24"/>
          <w:rtl/>
        </w:rPr>
        <w:t xml:space="preserve"> </w:t>
      </w:r>
      <w:r w:rsidR="00AB5F63" w:rsidRPr="00520238">
        <w:rPr>
          <w:rFonts w:cs="David" w:hint="cs"/>
          <w:b/>
          <w:bCs/>
          <w:sz w:val="24"/>
          <w:szCs w:val="24"/>
          <w:rtl/>
        </w:rPr>
        <w:t>דרך</w:t>
      </w:r>
      <w:r w:rsidR="00D41C31" w:rsidRPr="00F122BF">
        <w:rPr>
          <w:rFonts w:cs="David" w:hint="cs"/>
          <w:b/>
          <w:bCs/>
          <w:sz w:val="24"/>
          <w:szCs w:val="24"/>
          <w:rtl/>
        </w:rPr>
        <w:t xml:space="preserve"> חדשנות ט</w:t>
      </w:r>
      <w:r w:rsidR="00EF7563" w:rsidRPr="00F122BF">
        <w:rPr>
          <w:rFonts w:cs="David" w:hint="cs"/>
          <w:b/>
          <w:bCs/>
          <w:sz w:val="24"/>
          <w:szCs w:val="24"/>
          <w:rtl/>
        </w:rPr>
        <w:t>כנולוגית;</w:t>
      </w:r>
      <w:r w:rsidRPr="00F122BF">
        <w:rPr>
          <w:rFonts w:cs="David" w:hint="cs"/>
          <w:b/>
          <w:bCs/>
          <w:sz w:val="24"/>
          <w:szCs w:val="24"/>
          <w:rtl/>
        </w:rPr>
        <w:t xml:space="preserve"> </w:t>
      </w:r>
    </w:p>
    <w:p w:rsidR="006F548A" w:rsidRDefault="006F548A" w:rsidP="006F548A">
      <w:pPr>
        <w:pStyle w:val="af0"/>
        <w:numPr>
          <w:ilvl w:val="1"/>
          <w:numId w:val="14"/>
        </w:numPr>
        <w:spacing w:after="120" w:line="360" w:lineRule="auto"/>
        <w:jc w:val="both"/>
        <w:rPr>
          <w:rFonts w:cs="David"/>
          <w:b/>
          <w:bCs/>
          <w:sz w:val="24"/>
          <w:szCs w:val="24"/>
        </w:rPr>
      </w:pPr>
      <w:r w:rsidRPr="00520238">
        <w:rPr>
          <w:rFonts w:cs="David" w:hint="cs"/>
          <w:b/>
          <w:bCs/>
          <w:sz w:val="24"/>
          <w:szCs w:val="24"/>
          <w:rtl/>
        </w:rPr>
        <w:t>הוזלת השירותים הבנקאיים</w:t>
      </w:r>
      <w:r w:rsidRPr="00F122BF">
        <w:rPr>
          <w:rFonts w:cs="David" w:hint="cs"/>
          <w:b/>
          <w:bCs/>
          <w:sz w:val="24"/>
          <w:szCs w:val="24"/>
          <w:rtl/>
        </w:rPr>
        <w:t xml:space="preserve"> ללקוח</w:t>
      </w:r>
      <w:r>
        <w:rPr>
          <w:rFonts w:cs="David" w:hint="cs"/>
          <w:b/>
          <w:bCs/>
          <w:sz w:val="24"/>
          <w:szCs w:val="24"/>
          <w:rtl/>
        </w:rPr>
        <w:t>ות הפועלים בערוצים הישירים</w:t>
      </w:r>
      <w:r w:rsidRPr="00F122BF">
        <w:rPr>
          <w:rFonts w:cs="David" w:hint="cs"/>
          <w:b/>
          <w:bCs/>
          <w:sz w:val="24"/>
          <w:szCs w:val="24"/>
          <w:rtl/>
        </w:rPr>
        <w:t xml:space="preserve">; </w:t>
      </w:r>
    </w:p>
    <w:p w:rsidR="006F548A" w:rsidRDefault="006F548A" w:rsidP="006F548A">
      <w:pPr>
        <w:pStyle w:val="af0"/>
        <w:numPr>
          <w:ilvl w:val="1"/>
          <w:numId w:val="14"/>
        </w:numPr>
        <w:spacing w:after="120" w:line="360" w:lineRule="auto"/>
        <w:jc w:val="both"/>
        <w:rPr>
          <w:rFonts w:cs="David"/>
          <w:b/>
          <w:bCs/>
          <w:sz w:val="24"/>
          <w:szCs w:val="24"/>
        </w:rPr>
      </w:pPr>
      <w:r w:rsidRPr="00520238">
        <w:rPr>
          <w:rFonts w:cs="David" w:hint="cs"/>
          <w:b/>
          <w:bCs/>
          <w:sz w:val="24"/>
          <w:szCs w:val="24"/>
          <w:rtl/>
        </w:rPr>
        <w:t>הגדלת הדיבידנד שמחלקים הבנקים,</w:t>
      </w:r>
      <w:r w:rsidRPr="00F122BF">
        <w:rPr>
          <w:rFonts w:cs="David" w:hint="cs"/>
          <w:b/>
          <w:bCs/>
          <w:sz w:val="24"/>
          <w:szCs w:val="24"/>
          <w:rtl/>
        </w:rPr>
        <w:t xml:space="preserve"> שכן הציבור מחזיק </w:t>
      </w:r>
      <w:r>
        <w:rPr>
          <w:rFonts w:cs="David" w:hint="cs"/>
          <w:b/>
          <w:bCs/>
          <w:sz w:val="24"/>
          <w:szCs w:val="24"/>
          <w:rtl/>
        </w:rPr>
        <w:t>ב</w:t>
      </w:r>
      <w:r w:rsidR="00B66807">
        <w:rPr>
          <w:rFonts w:cs="David" w:hint="cs"/>
          <w:b/>
          <w:bCs/>
          <w:sz w:val="24"/>
          <w:szCs w:val="24"/>
          <w:rtl/>
        </w:rPr>
        <w:t>כ-80% מניות הבנקים;</w:t>
      </w:r>
      <w:r w:rsidRPr="00F122BF">
        <w:rPr>
          <w:rFonts w:cs="David" w:hint="cs"/>
          <w:b/>
          <w:bCs/>
          <w:sz w:val="24"/>
          <w:szCs w:val="24"/>
          <w:rtl/>
        </w:rPr>
        <w:t xml:space="preserve"> </w:t>
      </w:r>
    </w:p>
    <w:p w:rsidR="00822FF4" w:rsidRDefault="00AE6669" w:rsidP="00FC43C5">
      <w:pPr>
        <w:pStyle w:val="af0"/>
        <w:numPr>
          <w:ilvl w:val="0"/>
          <w:numId w:val="14"/>
        </w:numPr>
        <w:spacing w:after="120" w:line="360" w:lineRule="auto"/>
        <w:jc w:val="both"/>
        <w:rPr>
          <w:rFonts w:cs="David"/>
          <w:b/>
          <w:bCs/>
          <w:sz w:val="24"/>
          <w:szCs w:val="24"/>
        </w:rPr>
      </w:pPr>
      <w:r>
        <w:rPr>
          <w:rFonts w:cs="David" w:hint="cs"/>
          <w:b/>
          <w:bCs/>
          <w:sz w:val="24"/>
          <w:szCs w:val="24"/>
          <w:rtl/>
        </w:rPr>
        <w:t>עד כה הבנק</w:t>
      </w:r>
      <w:r w:rsidR="00E60A5E">
        <w:rPr>
          <w:rFonts w:cs="David" w:hint="cs"/>
          <w:b/>
          <w:bCs/>
          <w:sz w:val="24"/>
          <w:szCs w:val="24"/>
          <w:rtl/>
        </w:rPr>
        <w:t>ים עומדים ביישום התכנית שהוגדרה:</w:t>
      </w:r>
      <w:r>
        <w:rPr>
          <w:rFonts w:cs="David" w:hint="cs"/>
          <w:b/>
          <w:bCs/>
          <w:sz w:val="24"/>
          <w:szCs w:val="24"/>
          <w:rtl/>
        </w:rPr>
        <w:t xml:space="preserve"> </w:t>
      </w:r>
      <w:r w:rsidR="00F122BF">
        <w:rPr>
          <w:rFonts w:cs="David" w:hint="cs"/>
          <w:b/>
          <w:bCs/>
          <w:sz w:val="24"/>
          <w:szCs w:val="24"/>
          <w:rtl/>
        </w:rPr>
        <w:t>ממועד פרסום ההוראה חל</w:t>
      </w:r>
      <w:r w:rsidR="00B66FDF">
        <w:rPr>
          <w:rFonts w:cs="David" w:hint="cs"/>
          <w:b/>
          <w:bCs/>
          <w:sz w:val="24"/>
          <w:szCs w:val="24"/>
          <w:rtl/>
        </w:rPr>
        <w:t xml:space="preserve"> שיפור </w:t>
      </w:r>
      <w:r w:rsidR="000C5F40">
        <w:rPr>
          <w:rFonts w:cs="David" w:hint="cs"/>
          <w:b/>
          <w:bCs/>
          <w:sz w:val="24"/>
          <w:szCs w:val="24"/>
          <w:rtl/>
        </w:rPr>
        <w:t xml:space="preserve">הדרגתי </w:t>
      </w:r>
      <w:r w:rsidR="00B66FDF">
        <w:rPr>
          <w:rFonts w:cs="David" w:hint="cs"/>
          <w:b/>
          <w:bCs/>
          <w:sz w:val="24"/>
          <w:szCs w:val="24"/>
          <w:rtl/>
        </w:rPr>
        <w:t>במדדי היעילות</w:t>
      </w:r>
      <w:r w:rsidR="002B0CBA">
        <w:rPr>
          <w:rFonts w:cs="David" w:hint="cs"/>
          <w:b/>
          <w:bCs/>
          <w:sz w:val="24"/>
          <w:szCs w:val="24"/>
          <w:rtl/>
        </w:rPr>
        <w:t xml:space="preserve"> של </w:t>
      </w:r>
      <w:r>
        <w:rPr>
          <w:rFonts w:cs="David" w:hint="cs"/>
          <w:b/>
          <w:bCs/>
          <w:sz w:val="24"/>
          <w:szCs w:val="24"/>
          <w:rtl/>
        </w:rPr>
        <w:t>המערכת הבנקאית ב</w:t>
      </w:r>
      <w:r w:rsidR="008E4461">
        <w:rPr>
          <w:rFonts w:cs="David" w:hint="cs"/>
          <w:b/>
          <w:bCs/>
          <w:sz w:val="24"/>
          <w:szCs w:val="24"/>
          <w:rtl/>
        </w:rPr>
        <w:t xml:space="preserve">כלל </w:t>
      </w:r>
      <w:r>
        <w:rPr>
          <w:rFonts w:cs="David" w:hint="cs"/>
          <w:b/>
          <w:bCs/>
          <w:sz w:val="24"/>
          <w:szCs w:val="24"/>
          <w:rtl/>
        </w:rPr>
        <w:t>ו</w:t>
      </w:r>
      <w:r w:rsidR="002B0CBA">
        <w:rPr>
          <w:rFonts w:cs="David" w:hint="cs"/>
          <w:b/>
          <w:bCs/>
          <w:sz w:val="24"/>
          <w:szCs w:val="24"/>
          <w:rtl/>
        </w:rPr>
        <w:t xml:space="preserve">של </w:t>
      </w:r>
      <w:r>
        <w:rPr>
          <w:rFonts w:cs="David" w:hint="cs"/>
          <w:b/>
          <w:bCs/>
          <w:sz w:val="24"/>
          <w:szCs w:val="24"/>
          <w:rtl/>
        </w:rPr>
        <w:t xml:space="preserve">מרבית </w:t>
      </w:r>
      <w:r w:rsidR="002B0CBA">
        <w:rPr>
          <w:rFonts w:cs="David" w:hint="cs"/>
          <w:b/>
          <w:bCs/>
          <w:sz w:val="24"/>
          <w:szCs w:val="24"/>
          <w:rtl/>
        </w:rPr>
        <w:t>הבנקים</w:t>
      </w:r>
      <w:r w:rsidR="000C5F40">
        <w:rPr>
          <w:rFonts w:cs="David" w:hint="cs"/>
          <w:b/>
          <w:bCs/>
          <w:sz w:val="24"/>
          <w:szCs w:val="24"/>
          <w:rtl/>
        </w:rPr>
        <w:t xml:space="preserve"> בנפרד</w:t>
      </w:r>
      <w:r>
        <w:rPr>
          <w:rFonts w:cs="David" w:hint="cs"/>
          <w:b/>
          <w:bCs/>
          <w:sz w:val="24"/>
          <w:szCs w:val="24"/>
          <w:rtl/>
        </w:rPr>
        <w:t xml:space="preserve">. </w:t>
      </w:r>
      <w:r w:rsidR="00AA4C46">
        <w:rPr>
          <w:rFonts w:cs="David" w:hint="cs"/>
          <w:b/>
          <w:bCs/>
          <w:sz w:val="24"/>
          <w:szCs w:val="24"/>
          <w:rtl/>
        </w:rPr>
        <w:t>הוצאות השכר ו</w:t>
      </w:r>
      <w:r w:rsidR="00E60A5E">
        <w:rPr>
          <w:rFonts w:cs="David" w:hint="cs"/>
          <w:b/>
          <w:bCs/>
          <w:sz w:val="24"/>
          <w:szCs w:val="24"/>
          <w:rtl/>
        </w:rPr>
        <w:t xml:space="preserve">ההוצאות </w:t>
      </w:r>
      <w:r w:rsidR="00AA4C46">
        <w:rPr>
          <w:rFonts w:cs="David" w:hint="cs"/>
          <w:b/>
          <w:bCs/>
          <w:sz w:val="24"/>
          <w:szCs w:val="24"/>
          <w:rtl/>
        </w:rPr>
        <w:t xml:space="preserve">הנלוות </w:t>
      </w:r>
      <w:r w:rsidR="00E60A5E">
        <w:rPr>
          <w:rFonts w:cs="David" w:hint="cs"/>
          <w:b/>
          <w:bCs/>
          <w:sz w:val="24"/>
          <w:szCs w:val="24"/>
          <w:rtl/>
        </w:rPr>
        <w:t xml:space="preserve">ירדו </w:t>
      </w:r>
      <w:r w:rsidR="00AA4C46">
        <w:rPr>
          <w:rFonts w:cs="David" w:hint="cs"/>
          <w:b/>
          <w:bCs/>
          <w:sz w:val="24"/>
          <w:szCs w:val="24"/>
          <w:rtl/>
        </w:rPr>
        <w:t>במחצית הראשונה של 2017 בכ-200 מיליוני ש"ח</w:t>
      </w:r>
      <w:r w:rsidR="001B37F1">
        <w:rPr>
          <w:rFonts w:cs="David" w:hint="cs"/>
          <w:b/>
          <w:bCs/>
          <w:sz w:val="24"/>
          <w:szCs w:val="24"/>
          <w:rtl/>
        </w:rPr>
        <w:t xml:space="preserve"> בהשוואה </w:t>
      </w:r>
      <w:r w:rsidR="008210E7">
        <w:rPr>
          <w:rFonts w:cs="David" w:hint="cs"/>
          <w:b/>
          <w:bCs/>
          <w:sz w:val="24"/>
          <w:szCs w:val="24"/>
          <w:rtl/>
        </w:rPr>
        <w:t>ל</w:t>
      </w:r>
      <w:r w:rsidR="001B37F1">
        <w:rPr>
          <w:rFonts w:cs="David" w:hint="cs"/>
          <w:b/>
          <w:bCs/>
          <w:sz w:val="24"/>
          <w:szCs w:val="24"/>
          <w:rtl/>
        </w:rPr>
        <w:t>מחצית</w:t>
      </w:r>
      <w:r w:rsidR="00E60A5E">
        <w:rPr>
          <w:rFonts w:cs="David" w:hint="cs"/>
          <w:b/>
          <w:bCs/>
          <w:sz w:val="24"/>
          <w:szCs w:val="24"/>
          <w:rtl/>
        </w:rPr>
        <w:t xml:space="preserve"> הראשונה של</w:t>
      </w:r>
      <w:r w:rsidR="001B37F1">
        <w:rPr>
          <w:rFonts w:cs="David" w:hint="cs"/>
          <w:b/>
          <w:bCs/>
          <w:sz w:val="24"/>
          <w:szCs w:val="24"/>
          <w:rtl/>
        </w:rPr>
        <w:t xml:space="preserve"> 2016</w:t>
      </w:r>
      <w:r w:rsidR="00C44233">
        <w:rPr>
          <w:rFonts w:cs="David" w:hint="cs"/>
          <w:b/>
          <w:bCs/>
          <w:sz w:val="24"/>
          <w:szCs w:val="24"/>
          <w:rtl/>
        </w:rPr>
        <w:t xml:space="preserve"> (כ-2.2%)</w:t>
      </w:r>
      <w:r w:rsidR="00F122BF">
        <w:rPr>
          <w:rFonts w:cs="David" w:hint="cs"/>
          <w:b/>
          <w:bCs/>
          <w:sz w:val="24"/>
          <w:szCs w:val="24"/>
          <w:rtl/>
        </w:rPr>
        <w:t xml:space="preserve">. </w:t>
      </w:r>
      <w:r w:rsidR="00AB5F63" w:rsidRPr="001275E2">
        <w:rPr>
          <w:rFonts w:cs="David" w:hint="cs"/>
          <w:b/>
          <w:bCs/>
          <w:sz w:val="24"/>
          <w:szCs w:val="24"/>
          <w:rtl/>
        </w:rPr>
        <w:t>במהלך</w:t>
      </w:r>
      <w:r w:rsidR="00AB5F63" w:rsidRPr="001275E2">
        <w:rPr>
          <w:rFonts w:cs="David"/>
          <w:b/>
          <w:bCs/>
          <w:sz w:val="24"/>
          <w:szCs w:val="24"/>
          <w:rtl/>
        </w:rPr>
        <w:t xml:space="preserve"> 2016 </w:t>
      </w:r>
      <w:r w:rsidR="00AB5F63" w:rsidRPr="001275E2">
        <w:rPr>
          <w:rFonts w:cs="David" w:hint="cs"/>
          <w:b/>
          <w:bCs/>
          <w:sz w:val="24"/>
          <w:szCs w:val="24"/>
          <w:rtl/>
        </w:rPr>
        <w:t>ו</w:t>
      </w:r>
      <w:r w:rsidR="00F122BF" w:rsidRPr="001275E2">
        <w:rPr>
          <w:rFonts w:cs="David" w:hint="cs"/>
          <w:b/>
          <w:bCs/>
          <w:sz w:val="24"/>
          <w:szCs w:val="24"/>
          <w:rtl/>
        </w:rPr>
        <w:t>ה</w:t>
      </w:r>
      <w:r w:rsidR="00AB5F63" w:rsidRPr="001275E2">
        <w:rPr>
          <w:rFonts w:cs="David" w:hint="cs"/>
          <w:b/>
          <w:bCs/>
          <w:sz w:val="24"/>
          <w:szCs w:val="24"/>
          <w:rtl/>
        </w:rPr>
        <w:t>מחצית</w:t>
      </w:r>
      <w:r w:rsidR="00F122BF" w:rsidRPr="001275E2">
        <w:rPr>
          <w:rFonts w:cs="David" w:hint="cs"/>
          <w:b/>
          <w:bCs/>
          <w:sz w:val="24"/>
          <w:szCs w:val="24"/>
          <w:rtl/>
        </w:rPr>
        <w:t xml:space="preserve"> הראשונה של</w:t>
      </w:r>
      <w:r w:rsidR="00AB5F63" w:rsidRPr="001275E2">
        <w:rPr>
          <w:rFonts w:cs="David"/>
          <w:b/>
          <w:bCs/>
          <w:sz w:val="24"/>
          <w:szCs w:val="24"/>
          <w:rtl/>
        </w:rPr>
        <w:t xml:space="preserve"> </w:t>
      </w:r>
      <w:r w:rsidR="00DD6FFF" w:rsidRPr="001275E2">
        <w:rPr>
          <w:rFonts w:cs="David" w:hint="cs"/>
          <w:b/>
          <w:bCs/>
          <w:sz w:val="24"/>
          <w:szCs w:val="24"/>
          <w:rtl/>
        </w:rPr>
        <w:t>2017</w:t>
      </w:r>
      <w:r w:rsidR="00AB5F63" w:rsidRPr="001275E2">
        <w:rPr>
          <w:rFonts w:cs="David"/>
          <w:b/>
          <w:bCs/>
          <w:sz w:val="24"/>
          <w:szCs w:val="24"/>
          <w:rtl/>
        </w:rPr>
        <w:t>,</w:t>
      </w:r>
      <w:r w:rsidR="00B66FDF" w:rsidRPr="00787565">
        <w:rPr>
          <w:rFonts w:cs="David" w:hint="cs"/>
          <w:b/>
          <w:bCs/>
          <w:sz w:val="24"/>
          <w:szCs w:val="24"/>
          <w:rtl/>
        </w:rPr>
        <w:t xml:space="preserve"> </w:t>
      </w:r>
      <w:r>
        <w:rPr>
          <w:rFonts w:cs="David" w:hint="cs"/>
          <w:b/>
          <w:bCs/>
          <w:sz w:val="24"/>
          <w:szCs w:val="24"/>
          <w:rtl/>
        </w:rPr>
        <w:t xml:space="preserve">נרשמה </w:t>
      </w:r>
      <w:r w:rsidR="00B66FDF" w:rsidRPr="00787565">
        <w:rPr>
          <w:rFonts w:cs="David" w:hint="cs"/>
          <w:b/>
          <w:bCs/>
          <w:sz w:val="24"/>
          <w:szCs w:val="24"/>
          <w:rtl/>
        </w:rPr>
        <w:t>פרישה (נטו) של כ-1,870</w:t>
      </w:r>
      <w:r w:rsidR="00B66FDF">
        <w:rPr>
          <w:rFonts w:cs="David" w:hint="cs"/>
          <w:b/>
          <w:bCs/>
          <w:sz w:val="24"/>
          <w:szCs w:val="24"/>
          <w:rtl/>
        </w:rPr>
        <w:t xml:space="preserve"> </w:t>
      </w:r>
      <w:r w:rsidR="00B66FDF" w:rsidRPr="00787565">
        <w:rPr>
          <w:rFonts w:cs="David" w:hint="cs"/>
          <w:b/>
          <w:bCs/>
          <w:sz w:val="24"/>
          <w:szCs w:val="24"/>
          <w:rtl/>
        </w:rPr>
        <w:t xml:space="preserve">עובדים </w:t>
      </w:r>
      <w:r w:rsidR="00636D22">
        <w:rPr>
          <w:rFonts w:cs="David" w:hint="cs"/>
          <w:b/>
          <w:bCs/>
          <w:sz w:val="24"/>
          <w:szCs w:val="24"/>
          <w:rtl/>
        </w:rPr>
        <w:t>(</w:t>
      </w:r>
      <w:r w:rsidR="00303324">
        <w:rPr>
          <w:rFonts w:cs="David" w:hint="cs"/>
          <w:b/>
          <w:bCs/>
          <w:sz w:val="24"/>
          <w:szCs w:val="24"/>
          <w:rtl/>
        </w:rPr>
        <w:t>ש</w:t>
      </w:r>
      <w:r w:rsidR="00636D22">
        <w:rPr>
          <w:rFonts w:cs="David" w:hint="cs"/>
          <w:b/>
          <w:bCs/>
          <w:sz w:val="24"/>
          <w:szCs w:val="24"/>
          <w:rtl/>
        </w:rPr>
        <w:t xml:space="preserve">חלק ניכר </w:t>
      </w:r>
      <w:r w:rsidR="00303324">
        <w:rPr>
          <w:rFonts w:cs="David" w:hint="cs"/>
          <w:b/>
          <w:bCs/>
          <w:sz w:val="24"/>
          <w:szCs w:val="24"/>
          <w:rtl/>
        </w:rPr>
        <w:t>מהם עזב</w:t>
      </w:r>
      <w:r w:rsidR="00636D22">
        <w:rPr>
          <w:rFonts w:cs="David" w:hint="cs"/>
          <w:b/>
          <w:bCs/>
          <w:sz w:val="24"/>
          <w:szCs w:val="24"/>
          <w:rtl/>
        </w:rPr>
        <w:t xml:space="preserve"> </w:t>
      </w:r>
      <w:r w:rsidR="00120923">
        <w:rPr>
          <w:rFonts w:cs="David" w:hint="cs"/>
          <w:b/>
          <w:bCs/>
          <w:sz w:val="24"/>
          <w:szCs w:val="24"/>
          <w:rtl/>
        </w:rPr>
        <w:t>ב</w:t>
      </w:r>
      <w:r w:rsidR="00E60A5E">
        <w:rPr>
          <w:rFonts w:cs="David" w:hint="cs"/>
          <w:b/>
          <w:bCs/>
          <w:sz w:val="24"/>
          <w:szCs w:val="24"/>
          <w:rtl/>
        </w:rPr>
        <w:t xml:space="preserve">תכניות </w:t>
      </w:r>
      <w:r w:rsidR="00747610">
        <w:rPr>
          <w:rFonts w:cs="David" w:hint="cs"/>
          <w:b/>
          <w:bCs/>
          <w:sz w:val="24"/>
          <w:szCs w:val="24"/>
          <w:rtl/>
        </w:rPr>
        <w:t xml:space="preserve">של </w:t>
      </w:r>
      <w:r w:rsidR="00636D22">
        <w:rPr>
          <w:rFonts w:cs="David" w:hint="cs"/>
          <w:b/>
          <w:bCs/>
          <w:sz w:val="24"/>
          <w:szCs w:val="24"/>
          <w:rtl/>
        </w:rPr>
        <w:t xml:space="preserve">פרישה מרצון) </w:t>
      </w:r>
      <w:r w:rsidR="00B66FDF" w:rsidRPr="00787565">
        <w:rPr>
          <w:rFonts w:cs="David" w:hint="cs"/>
          <w:b/>
          <w:bCs/>
          <w:sz w:val="24"/>
          <w:szCs w:val="24"/>
          <w:rtl/>
        </w:rPr>
        <w:t>לצד סגירה (נטו) של 68 סניפים</w:t>
      </w:r>
      <w:r>
        <w:rPr>
          <w:rFonts w:cs="David" w:hint="cs"/>
          <w:b/>
          <w:bCs/>
          <w:sz w:val="24"/>
          <w:szCs w:val="24"/>
          <w:rtl/>
        </w:rPr>
        <w:t xml:space="preserve"> </w:t>
      </w:r>
      <w:r w:rsidR="00C44233">
        <w:rPr>
          <w:rFonts w:cs="David" w:hint="cs"/>
          <w:b/>
          <w:bCs/>
          <w:sz w:val="24"/>
          <w:szCs w:val="24"/>
          <w:rtl/>
        </w:rPr>
        <w:t xml:space="preserve">(כ-6% ממצבת הסניפים במערכת) </w:t>
      </w:r>
      <w:r>
        <w:rPr>
          <w:rFonts w:cs="David" w:hint="cs"/>
          <w:b/>
          <w:bCs/>
          <w:sz w:val="24"/>
          <w:szCs w:val="24"/>
          <w:rtl/>
        </w:rPr>
        <w:t xml:space="preserve">- </w:t>
      </w:r>
      <w:r w:rsidR="00615FAA">
        <w:rPr>
          <w:rFonts w:cs="David" w:hint="cs"/>
          <w:b/>
          <w:bCs/>
          <w:sz w:val="24"/>
          <w:szCs w:val="24"/>
          <w:rtl/>
        </w:rPr>
        <w:t>מתוכם</w:t>
      </w:r>
      <w:r>
        <w:rPr>
          <w:rFonts w:cs="David" w:hint="cs"/>
          <w:b/>
          <w:bCs/>
          <w:sz w:val="24"/>
          <w:szCs w:val="24"/>
          <w:rtl/>
        </w:rPr>
        <w:t xml:space="preserve"> </w:t>
      </w:r>
      <w:r w:rsidR="001B37F1">
        <w:rPr>
          <w:rFonts w:cs="David" w:hint="cs"/>
          <w:b/>
          <w:bCs/>
          <w:sz w:val="24"/>
          <w:szCs w:val="24"/>
          <w:rtl/>
        </w:rPr>
        <w:t>7</w:t>
      </w:r>
      <w:r>
        <w:rPr>
          <w:rFonts w:cs="David" w:hint="cs"/>
          <w:b/>
          <w:bCs/>
          <w:sz w:val="24"/>
          <w:szCs w:val="24"/>
          <w:rtl/>
        </w:rPr>
        <w:t xml:space="preserve"> סניפים </w:t>
      </w:r>
      <w:r w:rsidR="00AC646E">
        <w:rPr>
          <w:rFonts w:cs="David" w:hint="cs"/>
          <w:b/>
          <w:bCs/>
          <w:sz w:val="24"/>
          <w:szCs w:val="24"/>
          <w:rtl/>
        </w:rPr>
        <w:t>בחו"ל לנוכח צמצום פעילות הבנקים שם</w:t>
      </w:r>
      <w:r w:rsidR="00DD6FFF">
        <w:rPr>
          <w:rFonts w:cs="David" w:hint="cs"/>
          <w:b/>
          <w:bCs/>
          <w:sz w:val="24"/>
          <w:szCs w:val="24"/>
          <w:rtl/>
        </w:rPr>
        <w:t xml:space="preserve">, </w:t>
      </w:r>
      <w:r>
        <w:rPr>
          <w:rFonts w:cs="David" w:hint="cs"/>
          <w:b/>
          <w:bCs/>
          <w:sz w:val="24"/>
          <w:szCs w:val="24"/>
          <w:rtl/>
        </w:rPr>
        <w:t xml:space="preserve">בוטלו </w:t>
      </w:r>
      <w:r w:rsidR="00B66FDF" w:rsidRPr="00787565">
        <w:rPr>
          <w:rFonts w:cs="David" w:hint="cs"/>
          <w:b/>
          <w:bCs/>
          <w:sz w:val="24"/>
          <w:szCs w:val="24"/>
          <w:rtl/>
        </w:rPr>
        <w:t xml:space="preserve">שירותי </w:t>
      </w:r>
      <w:proofErr w:type="spellStart"/>
      <w:r w:rsidR="00B66FDF" w:rsidRPr="00787565">
        <w:rPr>
          <w:rFonts w:cs="David" w:hint="cs"/>
          <w:b/>
          <w:bCs/>
          <w:sz w:val="24"/>
          <w:szCs w:val="24"/>
          <w:rtl/>
        </w:rPr>
        <w:t>טלר</w:t>
      </w:r>
      <w:proofErr w:type="spellEnd"/>
      <w:r w:rsidR="00B66FDF" w:rsidRPr="00787565">
        <w:rPr>
          <w:rFonts w:cs="David" w:hint="cs"/>
          <w:b/>
          <w:bCs/>
          <w:sz w:val="24"/>
          <w:szCs w:val="24"/>
          <w:rtl/>
        </w:rPr>
        <w:t xml:space="preserve"> בכ-110 סניפים וצ</w:t>
      </w:r>
      <w:r>
        <w:rPr>
          <w:rFonts w:cs="David" w:hint="cs"/>
          <w:b/>
          <w:bCs/>
          <w:sz w:val="24"/>
          <w:szCs w:val="24"/>
          <w:rtl/>
        </w:rPr>
        <w:t>ו</w:t>
      </w:r>
      <w:r w:rsidR="00B66FDF" w:rsidRPr="00787565">
        <w:rPr>
          <w:rFonts w:cs="David" w:hint="cs"/>
          <w:b/>
          <w:bCs/>
          <w:sz w:val="24"/>
          <w:szCs w:val="24"/>
          <w:rtl/>
        </w:rPr>
        <w:t>מצ</w:t>
      </w:r>
      <w:r>
        <w:rPr>
          <w:rFonts w:cs="David" w:hint="cs"/>
          <w:b/>
          <w:bCs/>
          <w:sz w:val="24"/>
          <w:szCs w:val="24"/>
          <w:rtl/>
        </w:rPr>
        <w:t>מו</w:t>
      </w:r>
      <w:r w:rsidR="00B66FDF" w:rsidRPr="00787565">
        <w:rPr>
          <w:rFonts w:cs="David" w:hint="cs"/>
          <w:b/>
          <w:bCs/>
          <w:sz w:val="24"/>
          <w:szCs w:val="24"/>
          <w:rtl/>
        </w:rPr>
        <w:t xml:space="preserve"> שטחי נדל"ן בהיקף של כ-30,000 מ"ר</w:t>
      </w:r>
      <w:r w:rsidR="00B66FDF" w:rsidRPr="00BE52B1">
        <w:rPr>
          <w:rFonts w:cs="David" w:hint="cs"/>
          <w:b/>
          <w:bCs/>
          <w:sz w:val="24"/>
          <w:szCs w:val="24"/>
          <w:rtl/>
        </w:rPr>
        <w:t xml:space="preserve">. </w:t>
      </w:r>
      <w:r w:rsidR="00BE52B1" w:rsidRPr="00BE52B1">
        <w:rPr>
          <w:rFonts w:cs="David" w:hint="cs"/>
          <w:b/>
          <w:bCs/>
          <w:sz w:val="24"/>
          <w:szCs w:val="24"/>
          <w:rtl/>
        </w:rPr>
        <w:t xml:space="preserve">מרבית הסניפים שנסגרו נמצאים ביישובים </w:t>
      </w:r>
      <w:r w:rsidR="00FC43C5">
        <w:rPr>
          <w:rFonts w:cs="David" w:hint="cs"/>
          <w:b/>
          <w:bCs/>
          <w:sz w:val="24"/>
          <w:szCs w:val="24"/>
          <w:rtl/>
        </w:rPr>
        <w:t>במרכז הארץ</w:t>
      </w:r>
      <w:r w:rsidR="00BE52B1" w:rsidRPr="00BE52B1">
        <w:rPr>
          <w:rFonts w:cs="David" w:hint="cs"/>
          <w:b/>
          <w:bCs/>
          <w:sz w:val="24"/>
          <w:szCs w:val="24"/>
          <w:rtl/>
        </w:rPr>
        <w:t xml:space="preserve"> בהם קיימים סניפים של מספר בנקים. </w:t>
      </w:r>
      <w:r w:rsidRPr="00BE52B1">
        <w:rPr>
          <w:rFonts w:cs="David" w:hint="cs"/>
          <w:b/>
          <w:bCs/>
          <w:sz w:val="24"/>
          <w:szCs w:val="24"/>
          <w:rtl/>
        </w:rPr>
        <w:t>שינויים</w:t>
      </w:r>
      <w:r>
        <w:rPr>
          <w:rFonts w:cs="David" w:hint="cs"/>
          <w:b/>
          <w:bCs/>
          <w:sz w:val="24"/>
          <w:szCs w:val="24"/>
          <w:rtl/>
        </w:rPr>
        <w:t xml:space="preserve"> אלו </w:t>
      </w:r>
      <w:r w:rsidR="008A6603">
        <w:rPr>
          <w:rFonts w:cs="David" w:hint="cs"/>
          <w:b/>
          <w:bCs/>
          <w:sz w:val="24"/>
          <w:szCs w:val="24"/>
          <w:rtl/>
        </w:rPr>
        <w:t>בוצע</w:t>
      </w:r>
      <w:r>
        <w:rPr>
          <w:rFonts w:cs="David" w:hint="cs"/>
          <w:b/>
          <w:bCs/>
          <w:sz w:val="24"/>
          <w:szCs w:val="24"/>
          <w:rtl/>
        </w:rPr>
        <w:t>ו</w:t>
      </w:r>
      <w:r w:rsidR="008A6603">
        <w:rPr>
          <w:rFonts w:cs="David" w:hint="cs"/>
          <w:b/>
          <w:bCs/>
          <w:sz w:val="24"/>
          <w:szCs w:val="24"/>
          <w:rtl/>
        </w:rPr>
        <w:t xml:space="preserve"> תוך שינוי מבנים ארגוניים ו</w:t>
      </w:r>
      <w:r w:rsidR="00992173">
        <w:rPr>
          <w:rFonts w:cs="David" w:hint="cs"/>
          <w:b/>
          <w:bCs/>
          <w:sz w:val="24"/>
          <w:szCs w:val="24"/>
          <w:rtl/>
        </w:rPr>
        <w:t>תהליכי עבודה</w:t>
      </w:r>
      <w:r w:rsidR="008A6603">
        <w:rPr>
          <w:rFonts w:cs="David" w:hint="cs"/>
          <w:b/>
          <w:bCs/>
          <w:sz w:val="24"/>
          <w:szCs w:val="24"/>
          <w:rtl/>
        </w:rPr>
        <w:t xml:space="preserve"> במטות </w:t>
      </w:r>
      <w:r w:rsidR="00124081">
        <w:rPr>
          <w:rFonts w:cs="David" w:hint="cs"/>
          <w:b/>
          <w:bCs/>
          <w:sz w:val="24"/>
          <w:szCs w:val="24"/>
          <w:rtl/>
        </w:rPr>
        <w:t>ובסניפי הבנקים</w:t>
      </w:r>
      <w:r w:rsidR="00A0032D">
        <w:rPr>
          <w:rFonts w:cs="David" w:hint="cs"/>
          <w:b/>
          <w:bCs/>
          <w:sz w:val="24"/>
          <w:szCs w:val="24"/>
          <w:rtl/>
        </w:rPr>
        <w:t>,</w:t>
      </w:r>
      <w:r w:rsidR="008A6603">
        <w:rPr>
          <w:rFonts w:cs="David" w:hint="cs"/>
          <w:b/>
          <w:bCs/>
          <w:sz w:val="24"/>
          <w:szCs w:val="24"/>
          <w:rtl/>
        </w:rPr>
        <w:t xml:space="preserve"> מיקוד פעילויות</w:t>
      </w:r>
      <w:r w:rsidR="00992173">
        <w:rPr>
          <w:rFonts w:cs="David" w:hint="cs"/>
          <w:b/>
          <w:bCs/>
          <w:sz w:val="24"/>
          <w:szCs w:val="24"/>
          <w:rtl/>
        </w:rPr>
        <w:t>,</w:t>
      </w:r>
      <w:r w:rsidR="00A0032D">
        <w:rPr>
          <w:rFonts w:cs="David" w:hint="cs"/>
          <w:b/>
          <w:bCs/>
          <w:sz w:val="24"/>
          <w:szCs w:val="24"/>
          <w:rtl/>
        </w:rPr>
        <w:t xml:space="preserve"> </w:t>
      </w:r>
      <w:r w:rsidR="008210E7">
        <w:rPr>
          <w:rFonts w:cs="David" w:hint="cs"/>
          <w:b/>
          <w:bCs/>
          <w:sz w:val="24"/>
          <w:szCs w:val="24"/>
          <w:rtl/>
        </w:rPr>
        <w:t>השקעה גדולה בחדשנות</w:t>
      </w:r>
      <w:r w:rsidR="00650100">
        <w:rPr>
          <w:rFonts w:cs="David" w:hint="cs"/>
          <w:b/>
          <w:bCs/>
          <w:sz w:val="24"/>
          <w:szCs w:val="24"/>
          <w:rtl/>
        </w:rPr>
        <w:t xml:space="preserve"> וטכנולוגיה</w:t>
      </w:r>
      <w:r w:rsidR="008210E7">
        <w:rPr>
          <w:rFonts w:cs="David" w:hint="cs"/>
          <w:b/>
          <w:bCs/>
          <w:sz w:val="24"/>
          <w:szCs w:val="24"/>
          <w:rtl/>
        </w:rPr>
        <w:t xml:space="preserve"> </w:t>
      </w:r>
      <w:r w:rsidR="00A0032D">
        <w:rPr>
          <w:rFonts w:cs="David" w:hint="cs"/>
          <w:b/>
          <w:bCs/>
          <w:sz w:val="24"/>
          <w:szCs w:val="24"/>
          <w:rtl/>
        </w:rPr>
        <w:t xml:space="preserve">והרחבת השירותים </w:t>
      </w:r>
      <w:r w:rsidR="00124081">
        <w:rPr>
          <w:rFonts w:cs="David" w:hint="cs"/>
          <w:b/>
          <w:bCs/>
          <w:sz w:val="24"/>
          <w:szCs w:val="24"/>
          <w:rtl/>
        </w:rPr>
        <w:t xml:space="preserve">הבנקאיים </w:t>
      </w:r>
      <w:r w:rsidR="008210E7">
        <w:rPr>
          <w:rFonts w:cs="David" w:hint="cs"/>
          <w:b/>
          <w:bCs/>
          <w:sz w:val="24"/>
          <w:szCs w:val="24"/>
          <w:rtl/>
        </w:rPr>
        <w:t xml:space="preserve">המוצעים ללקוחות </w:t>
      </w:r>
      <w:r w:rsidR="00A0032D">
        <w:rPr>
          <w:rFonts w:cs="David" w:hint="cs"/>
          <w:b/>
          <w:bCs/>
          <w:sz w:val="24"/>
          <w:szCs w:val="24"/>
          <w:rtl/>
        </w:rPr>
        <w:t>באמצעים הדיגיטליים</w:t>
      </w:r>
      <w:r w:rsidR="008A6603">
        <w:rPr>
          <w:rFonts w:cs="David" w:hint="cs"/>
          <w:b/>
          <w:bCs/>
          <w:sz w:val="24"/>
          <w:szCs w:val="24"/>
          <w:rtl/>
        </w:rPr>
        <w:t>.</w:t>
      </w:r>
    </w:p>
    <w:p w:rsidR="008D255F" w:rsidRDefault="008D255F" w:rsidP="00614656">
      <w:pPr>
        <w:pStyle w:val="af0"/>
        <w:numPr>
          <w:ilvl w:val="0"/>
          <w:numId w:val="14"/>
        </w:numPr>
        <w:spacing w:after="120" w:line="360" w:lineRule="auto"/>
        <w:jc w:val="both"/>
        <w:rPr>
          <w:rFonts w:cs="David"/>
          <w:b/>
          <w:bCs/>
          <w:sz w:val="24"/>
          <w:szCs w:val="24"/>
        </w:rPr>
      </w:pPr>
      <w:r>
        <w:rPr>
          <w:rFonts w:cs="David" w:hint="cs"/>
          <w:b/>
          <w:bCs/>
          <w:sz w:val="24"/>
          <w:szCs w:val="24"/>
          <w:rtl/>
        </w:rPr>
        <w:t xml:space="preserve">תהליכי שינוי כה גדולים הינם מורכבים הן מנקודת הראות של לקוחות הבנקים, והן של הבנקים ועובדיהם. </w:t>
      </w:r>
      <w:r w:rsidRPr="00942F20">
        <w:rPr>
          <w:rFonts w:cs="David" w:hint="cs"/>
          <w:b/>
          <w:bCs/>
          <w:sz w:val="24"/>
          <w:szCs w:val="24"/>
          <w:rtl/>
        </w:rPr>
        <w:t xml:space="preserve">בטווח הזמן הקצר תהליכי ההתייעלות </w:t>
      </w:r>
      <w:r>
        <w:rPr>
          <w:rFonts w:cs="David" w:hint="cs"/>
          <w:b/>
          <w:bCs/>
          <w:sz w:val="24"/>
          <w:szCs w:val="24"/>
          <w:rtl/>
        </w:rPr>
        <w:t>כרוכים בפרידה מכוח אדם רב שהיה חלק מהמערכת הבנקא</w:t>
      </w:r>
      <w:r w:rsidR="00A30382">
        <w:rPr>
          <w:rFonts w:cs="David" w:hint="cs"/>
          <w:b/>
          <w:bCs/>
          <w:sz w:val="24"/>
          <w:szCs w:val="24"/>
          <w:rtl/>
        </w:rPr>
        <w:t>ית שנים רבות, אשר עוזב במסגרת ת</w:t>
      </w:r>
      <w:r>
        <w:rPr>
          <w:rFonts w:cs="David" w:hint="cs"/>
          <w:b/>
          <w:bCs/>
          <w:sz w:val="24"/>
          <w:szCs w:val="24"/>
          <w:rtl/>
        </w:rPr>
        <w:t xml:space="preserve">כניות פרישה מרצון; </w:t>
      </w:r>
      <w:r>
        <w:rPr>
          <w:rFonts w:cs="David" w:hint="cs"/>
          <w:b/>
          <w:bCs/>
          <w:sz w:val="24"/>
          <w:szCs w:val="24"/>
          <w:rtl/>
        </w:rPr>
        <w:lastRenderedPageBreak/>
        <w:t>ב</w:t>
      </w:r>
      <w:r w:rsidRPr="00942F20">
        <w:rPr>
          <w:rFonts w:cs="David" w:hint="cs"/>
          <w:b/>
          <w:bCs/>
          <w:sz w:val="24"/>
          <w:szCs w:val="24"/>
          <w:rtl/>
        </w:rPr>
        <w:t>השקעה גבוהה מאוד מצד הבנקים</w:t>
      </w:r>
      <w:r>
        <w:rPr>
          <w:rFonts w:cs="David" w:hint="cs"/>
          <w:b/>
          <w:bCs/>
          <w:sz w:val="24"/>
          <w:szCs w:val="24"/>
          <w:rtl/>
        </w:rPr>
        <w:t xml:space="preserve"> בטכנולוגיה וחדשנות; בהתאמת המבנה הארגוני, תהליכי העבודה והמודל העסקי; ובהשקעה בסיוע ללקוחות במעבר לאמצעים הטכנולוגיים</w:t>
      </w:r>
      <w:r w:rsidR="00614656">
        <w:rPr>
          <w:rFonts w:cs="David" w:hint="cs"/>
          <w:b/>
          <w:bCs/>
          <w:sz w:val="24"/>
          <w:szCs w:val="24"/>
          <w:rtl/>
        </w:rPr>
        <w:t>.</w:t>
      </w:r>
      <w:r>
        <w:rPr>
          <w:rFonts w:cs="David" w:hint="cs"/>
          <w:b/>
          <w:bCs/>
          <w:sz w:val="24"/>
          <w:szCs w:val="24"/>
          <w:rtl/>
        </w:rPr>
        <w:t xml:space="preserve"> תהליכים אלה מובילים לעיתים </w:t>
      </w:r>
      <w:r w:rsidRPr="00942F20">
        <w:rPr>
          <w:rFonts w:cs="David" w:hint="cs"/>
          <w:b/>
          <w:bCs/>
          <w:sz w:val="24"/>
          <w:szCs w:val="24"/>
          <w:rtl/>
        </w:rPr>
        <w:t xml:space="preserve">לפגיעה </w:t>
      </w:r>
      <w:proofErr w:type="spellStart"/>
      <w:r w:rsidRPr="00942F20">
        <w:rPr>
          <w:rFonts w:cs="David" w:hint="cs"/>
          <w:b/>
          <w:bCs/>
          <w:sz w:val="24"/>
          <w:szCs w:val="24"/>
          <w:rtl/>
        </w:rPr>
        <w:t>מסויימת</w:t>
      </w:r>
      <w:proofErr w:type="spellEnd"/>
      <w:r w:rsidRPr="00942F20">
        <w:rPr>
          <w:rFonts w:cs="David" w:hint="cs"/>
          <w:b/>
          <w:bCs/>
          <w:sz w:val="24"/>
          <w:szCs w:val="24"/>
          <w:rtl/>
        </w:rPr>
        <w:t xml:space="preserve"> בזמינות ובאיכות השירותים הבנקאיים, כפי </w:t>
      </w:r>
      <w:r>
        <w:rPr>
          <w:rFonts w:cs="David" w:hint="cs"/>
          <w:b/>
          <w:bCs/>
          <w:sz w:val="24"/>
          <w:szCs w:val="24"/>
          <w:rtl/>
        </w:rPr>
        <w:t>שהלקוחות</w:t>
      </w:r>
      <w:r w:rsidRPr="00942F20">
        <w:rPr>
          <w:rFonts w:cs="David" w:hint="cs"/>
          <w:b/>
          <w:bCs/>
          <w:sz w:val="24"/>
          <w:szCs w:val="24"/>
          <w:rtl/>
        </w:rPr>
        <w:t xml:space="preserve"> הורגלו לצרוך אותם</w:t>
      </w:r>
      <w:r>
        <w:rPr>
          <w:rFonts w:cs="David" w:hint="cs"/>
          <w:b/>
          <w:bCs/>
          <w:sz w:val="24"/>
          <w:szCs w:val="24"/>
          <w:rtl/>
        </w:rPr>
        <w:t xml:space="preserve"> ערב השינוי. בפרט</w:t>
      </w:r>
      <w:r w:rsidR="008A2CBB">
        <w:rPr>
          <w:rFonts w:cs="David" w:hint="cs"/>
          <w:b/>
          <w:bCs/>
          <w:sz w:val="24"/>
          <w:szCs w:val="24"/>
          <w:rtl/>
        </w:rPr>
        <w:t>,</w:t>
      </w:r>
      <w:r>
        <w:rPr>
          <w:rFonts w:cs="David" w:hint="cs"/>
          <w:b/>
          <w:bCs/>
          <w:sz w:val="24"/>
          <w:szCs w:val="24"/>
          <w:rtl/>
        </w:rPr>
        <w:t xml:space="preserve"> ניכר קושי בתקופת המעבר לאוכלוסיות מבוגרות שסניף הבנק בו היו רגילים לקבל שירות נסגר ומוזג עם סניף אחר אליו לא היו מורגלים.</w:t>
      </w:r>
      <w:r w:rsidRPr="00942F20">
        <w:rPr>
          <w:rFonts w:cs="David" w:hint="cs"/>
          <w:b/>
          <w:bCs/>
          <w:sz w:val="24"/>
          <w:szCs w:val="24"/>
          <w:rtl/>
        </w:rPr>
        <w:t xml:space="preserve"> </w:t>
      </w:r>
    </w:p>
    <w:p w:rsidR="006E02C1" w:rsidRDefault="00AA4C46" w:rsidP="006E02C1">
      <w:pPr>
        <w:pStyle w:val="af0"/>
        <w:numPr>
          <w:ilvl w:val="0"/>
          <w:numId w:val="14"/>
        </w:numPr>
        <w:spacing w:after="120" w:line="360" w:lineRule="auto"/>
        <w:jc w:val="both"/>
        <w:rPr>
          <w:rFonts w:cs="David"/>
          <w:sz w:val="24"/>
          <w:szCs w:val="24"/>
        </w:rPr>
      </w:pPr>
      <w:r w:rsidRPr="00787565">
        <w:rPr>
          <w:rFonts w:cs="David" w:hint="cs"/>
          <w:b/>
          <w:bCs/>
          <w:sz w:val="24"/>
          <w:szCs w:val="24"/>
          <w:rtl/>
        </w:rPr>
        <w:t>ע</w:t>
      </w:r>
      <w:r>
        <w:rPr>
          <w:rFonts w:cs="David" w:hint="cs"/>
          <w:b/>
          <w:bCs/>
          <w:sz w:val="24"/>
          <w:szCs w:val="24"/>
          <w:rtl/>
        </w:rPr>
        <w:t>ד שנת 2021</w:t>
      </w:r>
      <w:r w:rsidRPr="00787565">
        <w:rPr>
          <w:rFonts w:cs="David" w:hint="cs"/>
          <w:b/>
          <w:bCs/>
          <w:sz w:val="24"/>
          <w:szCs w:val="24"/>
          <w:rtl/>
        </w:rPr>
        <w:t xml:space="preserve"> </w:t>
      </w:r>
      <w:r w:rsidRPr="00787565">
        <w:rPr>
          <w:rFonts w:cs="David"/>
          <w:b/>
          <w:bCs/>
          <w:sz w:val="24"/>
          <w:szCs w:val="24"/>
          <w:rtl/>
        </w:rPr>
        <w:t>צפויה פרישה של כ-</w:t>
      </w:r>
      <w:r w:rsidRPr="00787565">
        <w:rPr>
          <w:rFonts w:cs="David" w:hint="cs"/>
          <w:b/>
          <w:bCs/>
          <w:sz w:val="24"/>
          <w:szCs w:val="24"/>
          <w:rtl/>
        </w:rPr>
        <w:t>3</w:t>
      </w:r>
      <w:r w:rsidRPr="00787565">
        <w:rPr>
          <w:rFonts w:cs="David"/>
          <w:b/>
          <w:bCs/>
          <w:sz w:val="24"/>
          <w:szCs w:val="24"/>
          <w:rtl/>
        </w:rPr>
        <w:t>,</w:t>
      </w:r>
      <w:r w:rsidRPr="00787565">
        <w:rPr>
          <w:rFonts w:cs="David" w:hint="cs"/>
          <w:b/>
          <w:bCs/>
          <w:sz w:val="24"/>
          <w:szCs w:val="24"/>
          <w:rtl/>
        </w:rPr>
        <w:t>900</w:t>
      </w:r>
      <w:r w:rsidRPr="00787565">
        <w:rPr>
          <w:rFonts w:cs="David"/>
          <w:b/>
          <w:bCs/>
          <w:sz w:val="24"/>
          <w:szCs w:val="24"/>
          <w:rtl/>
        </w:rPr>
        <w:t xml:space="preserve"> עובדי</w:t>
      </w:r>
      <w:r>
        <w:rPr>
          <w:rFonts w:cs="David" w:hint="cs"/>
          <w:b/>
          <w:bCs/>
          <w:sz w:val="24"/>
          <w:szCs w:val="24"/>
          <w:rtl/>
        </w:rPr>
        <w:t xml:space="preserve"> בנקים</w:t>
      </w:r>
      <w:r w:rsidRPr="00787565">
        <w:rPr>
          <w:rFonts w:cs="David"/>
          <w:b/>
          <w:bCs/>
          <w:sz w:val="24"/>
          <w:szCs w:val="24"/>
          <w:rtl/>
        </w:rPr>
        <w:t xml:space="preserve"> נוספים</w:t>
      </w:r>
      <w:r w:rsidR="00924A43">
        <w:rPr>
          <w:rFonts w:cs="David" w:hint="cs"/>
          <w:b/>
          <w:bCs/>
          <w:sz w:val="24"/>
          <w:szCs w:val="24"/>
          <w:rtl/>
        </w:rPr>
        <w:t xml:space="preserve"> (נטו)</w:t>
      </w:r>
      <w:r w:rsidRPr="00787565">
        <w:rPr>
          <w:rFonts w:cs="David" w:hint="cs"/>
          <w:b/>
          <w:bCs/>
          <w:sz w:val="24"/>
          <w:szCs w:val="24"/>
          <w:rtl/>
        </w:rPr>
        <w:t>,</w:t>
      </w:r>
      <w:r w:rsidRPr="00787565">
        <w:rPr>
          <w:rFonts w:cs="David"/>
          <w:b/>
          <w:bCs/>
          <w:sz w:val="24"/>
          <w:szCs w:val="24"/>
          <w:rtl/>
        </w:rPr>
        <w:t xml:space="preserve"> </w:t>
      </w:r>
      <w:r>
        <w:rPr>
          <w:rFonts w:cs="David" w:hint="cs"/>
          <w:b/>
          <w:bCs/>
          <w:sz w:val="24"/>
          <w:szCs w:val="24"/>
          <w:rtl/>
        </w:rPr>
        <w:t>שתשלים ירידה של כ-</w:t>
      </w:r>
      <w:r w:rsidR="006E7008">
        <w:rPr>
          <w:rFonts w:cs="David" w:hint="cs"/>
          <w:b/>
          <w:bCs/>
          <w:sz w:val="24"/>
          <w:szCs w:val="24"/>
          <w:rtl/>
        </w:rPr>
        <w:t>12.5</w:t>
      </w:r>
      <w:r>
        <w:rPr>
          <w:rFonts w:cs="David" w:hint="cs"/>
          <w:b/>
          <w:bCs/>
          <w:sz w:val="24"/>
          <w:szCs w:val="24"/>
          <w:rtl/>
        </w:rPr>
        <w:t>% בכוח האדם משנת 2016</w:t>
      </w:r>
      <w:r w:rsidR="008210E7">
        <w:rPr>
          <w:rFonts w:cs="David" w:hint="cs"/>
          <w:b/>
          <w:bCs/>
          <w:sz w:val="24"/>
          <w:szCs w:val="24"/>
          <w:rtl/>
        </w:rPr>
        <w:t>,</w:t>
      </w:r>
      <w:r>
        <w:rPr>
          <w:rFonts w:cs="David" w:hint="cs"/>
          <w:b/>
          <w:bCs/>
          <w:sz w:val="24"/>
          <w:szCs w:val="24"/>
          <w:rtl/>
        </w:rPr>
        <w:t xml:space="preserve"> </w:t>
      </w:r>
      <w:r w:rsidRPr="00787565">
        <w:rPr>
          <w:rFonts w:cs="David" w:hint="cs"/>
          <w:b/>
          <w:bCs/>
          <w:sz w:val="24"/>
          <w:szCs w:val="24"/>
          <w:rtl/>
        </w:rPr>
        <w:t xml:space="preserve">זאת לצד </w:t>
      </w:r>
      <w:r>
        <w:rPr>
          <w:rFonts w:cs="David" w:hint="cs"/>
          <w:b/>
          <w:bCs/>
          <w:sz w:val="24"/>
          <w:szCs w:val="24"/>
          <w:rtl/>
        </w:rPr>
        <w:t>המשך סגירת סניפים. ההערכות בעולם הן שהאוטומציה של פעולות בנקאיות בסיסיות</w:t>
      </w:r>
      <w:r w:rsidR="001C6E11">
        <w:rPr>
          <w:rFonts w:cs="David" w:hint="cs"/>
          <w:b/>
          <w:bCs/>
          <w:sz w:val="24"/>
          <w:szCs w:val="24"/>
          <w:rtl/>
        </w:rPr>
        <w:t xml:space="preserve"> - </w:t>
      </w:r>
      <w:r>
        <w:rPr>
          <w:rFonts w:cs="David" w:hint="cs"/>
          <w:b/>
          <w:bCs/>
          <w:sz w:val="24"/>
          <w:szCs w:val="24"/>
          <w:rtl/>
        </w:rPr>
        <w:t xml:space="preserve">גם בתהליכים הפנימיים </w:t>
      </w:r>
      <w:r w:rsidR="008210E7">
        <w:rPr>
          <w:rFonts w:cs="David" w:hint="cs"/>
          <w:b/>
          <w:bCs/>
          <w:sz w:val="24"/>
          <w:szCs w:val="24"/>
          <w:rtl/>
        </w:rPr>
        <w:t xml:space="preserve">של הבנקים </w:t>
      </w:r>
      <w:r>
        <w:rPr>
          <w:rFonts w:cs="David" w:hint="cs"/>
          <w:b/>
          <w:bCs/>
          <w:sz w:val="24"/>
          <w:szCs w:val="24"/>
          <w:rtl/>
        </w:rPr>
        <w:t>כגון ניהול מרכזי שירות טלפוני ומרכזי תפעול אחורי</w:t>
      </w:r>
      <w:r w:rsidR="007211F3">
        <w:rPr>
          <w:rFonts w:cs="David" w:hint="cs"/>
          <w:b/>
          <w:bCs/>
          <w:sz w:val="24"/>
          <w:szCs w:val="24"/>
          <w:rtl/>
        </w:rPr>
        <w:t xml:space="preserve"> -</w:t>
      </w:r>
      <w:r>
        <w:rPr>
          <w:rFonts w:cs="David" w:hint="cs"/>
          <w:b/>
          <w:bCs/>
          <w:sz w:val="24"/>
          <w:szCs w:val="24"/>
          <w:rtl/>
        </w:rPr>
        <w:t xml:space="preserve"> יובילו לשינויים גדולים נוספים בבנקאות ול</w:t>
      </w:r>
      <w:r w:rsidR="00924A43">
        <w:rPr>
          <w:rFonts w:cs="David" w:hint="cs"/>
          <w:b/>
          <w:bCs/>
          <w:sz w:val="24"/>
          <w:szCs w:val="24"/>
          <w:rtl/>
        </w:rPr>
        <w:t xml:space="preserve">הימשכות והתגברות </w:t>
      </w:r>
      <w:r>
        <w:rPr>
          <w:rFonts w:cs="David" w:hint="cs"/>
          <w:b/>
          <w:bCs/>
          <w:sz w:val="24"/>
          <w:szCs w:val="24"/>
          <w:rtl/>
        </w:rPr>
        <w:t>תהליכי ההתייעלות</w:t>
      </w:r>
      <w:r w:rsidR="00924A43">
        <w:rPr>
          <w:rFonts w:cs="David" w:hint="cs"/>
          <w:b/>
          <w:bCs/>
          <w:sz w:val="24"/>
          <w:szCs w:val="24"/>
          <w:rtl/>
        </w:rPr>
        <w:t xml:space="preserve"> בשנים הבאות.</w:t>
      </w:r>
    </w:p>
    <w:p w:rsidR="006E02C1" w:rsidRDefault="006E02C1" w:rsidP="006E02C1">
      <w:pPr>
        <w:spacing w:after="120"/>
        <w:rPr>
          <w:rtl/>
        </w:rPr>
      </w:pPr>
    </w:p>
    <w:p w:rsidR="00FD4461" w:rsidRPr="006E02C1" w:rsidRDefault="00FD4461" w:rsidP="006E02C1">
      <w:pPr>
        <w:spacing w:after="120"/>
        <w:jc w:val="center"/>
        <w:rPr>
          <w:rtl/>
        </w:rPr>
      </w:pPr>
      <w:r w:rsidRPr="006E02C1">
        <w:rPr>
          <w:rFonts w:hint="cs"/>
          <w:rtl/>
        </w:rPr>
        <w:t>לוח 1</w:t>
      </w:r>
    </w:p>
    <w:p w:rsidR="001811B0" w:rsidRPr="001811B0" w:rsidRDefault="001811B0" w:rsidP="00CF0040">
      <w:pPr>
        <w:pStyle w:val="af0"/>
        <w:spacing w:after="120" w:line="360" w:lineRule="auto"/>
        <w:ind w:left="360"/>
        <w:jc w:val="center"/>
        <w:rPr>
          <w:rFonts w:cs="David"/>
          <w:b/>
          <w:bCs/>
          <w:sz w:val="24"/>
          <w:szCs w:val="24"/>
        </w:rPr>
      </w:pPr>
      <w:r w:rsidRPr="001811B0">
        <w:rPr>
          <w:noProof/>
        </w:rPr>
        <w:drawing>
          <wp:inline distT="0" distB="0" distL="0" distR="0" wp14:anchorId="55347D19" wp14:editId="59B019BF">
            <wp:extent cx="4325955" cy="2562446"/>
            <wp:effectExtent l="57150" t="57150" r="55880" b="66675"/>
            <wp:docPr id="5" name="תמונה 5" descr="השפעות יישום תכנית ההתייעלות על מספר המשרות, הסניפים וההוצאות התפעוליות במערכת הבנקאית, יוני 2017" title="השפעות יישום תכנית ההתייעלות על מספר המש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25955" cy="2562446"/>
                    </a:xfrm>
                    <a:prstGeom prst="rect">
                      <a:avLst/>
                    </a:prstGeom>
                    <a:ln w="47625">
                      <a:solidFill>
                        <a:schemeClr val="accent1"/>
                      </a:solidFill>
                    </a:ln>
                  </pic:spPr>
                </pic:pic>
              </a:graphicData>
            </a:graphic>
          </wp:inline>
        </w:drawing>
      </w:r>
    </w:p>
    <w:p w:rsidR="006476A0" w:rsidRPr="00BA399A" w:rsidRDefault="006476A0" w:rsidP="006874A5">
      <w:pPr>
        <w:pStyle w:val="af0"/>
        <w:spacing w:after="120" w:line="360" w:lineRule="auto"/>
        <w:ind w:left="360"/>
        <w:jc w:val="center"/>
        <w:rPr>
          <w:rFonts w:cs="David"/>
          <w:sz w:val="24"/>
          <w:szCs w:val="24"/>
          <w:rtl/>
        </w:rPr>
      </w:pPr>
      <w:r w:rsidRPr="00BA399A">
        <w:rPr>
          <w:rFonts w:cs="David" w:hint="cs"/>
          <w:sz w:val="24"/>
          <w:szCs w:val="24"/>
          <w:rtl/>
        </w:rPr>
        <w:t>לוח 2</w:t>
      </w:r>
    </w:p>
    <w:tbl>
      <w:tblPr>
        <w:tblStyle w:val="ab"/>
        <w:bidiVisual/>
        <w:tblW w:w="0" w:type="auto"/>
        <w:tblInd w:w="357" w:type="dxa"/>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tblLook w:val="04A0" w:firstRow="1" w:lastRow="0" w:firstColumn="1" w:lastColumn="0" w:noHBand="0" w:noVBand="1"/>
        <w:tblCaption w:val="&quot;גלגול&quot; ההתייעלות לציבור לקוחות הבנקים"/>
        <w:tblDescription w:val="&quot;גלגול&quot; ההתייעלות לציבור לקוחות הבנקים"/>
      </w:tblPr>
      <w:tblGrid>
        <w:gridCol w:w="3973"/>
        <w:gridCol w:w="3886"/>
      </w:tblGrid>
      <w:tr w:rsidR="006476A0" w:rsidTr="00ED5874">
        <w:trPr>
          <w:tblHeader/>
        </w:trPr>
        <w:tc>
          <w:tcPr>
            <w:tcW w:w="7859" w:type="dxa"/>
            <w:gridSpan w:val="2"/>
          </w:tcPr>
          <w:p w:rsidR="006476A0" w:rsidRPr="00B82CF2" w:rsidRDefault="006476A0" w:rsidP="006E02C1">
            <w:pPr>
              <w:pStyle w:val="2"/>
              <w:jc w:val="center"/>
              <w:outlineLvl w:val="1"/>
              <w:rPr>
                <w:rtl/>
              </w:rPr>
            </w:pPr>
            <w:r>
              <w:rPr>
                <w:rFonts w:hint="cs"/>
                <w:rtl/>
              </w:rPr>
              <w:t>"גלגול" ההתייעלות לציבור לקוחות הבנקים</w:t>
            </w:r>
          </w:p>
        </w:tc>
      </w:tr>
      <w:tr w:rsidR="006476A0" w:rsidTr="00173921">
        <w:tc>
          <w:tcPr>
            <w:tcW w:w="3973" w:type="dxa"/>
          </w:tcPr>
          <w:p w:rsidR="006476A0" w:rsidRPr="00A04BF3" w:rsidRDefault="006476A0" w:rsidP="00173921">
            <w:pPr>
              <w:pStyle w:val="af0"/>
              <w:numPr>
                <w:ilvl w:val="0"/>
                <w:numId w:val="17"/>
              </w:numPr>
              <w:spacing w:after="120" w:line="360" w:lineRule="auto"/>
              <w:rPr>
                <w:rFonts w:cs="David"/>
                <w:b/>
                <w:bCs/>
                <w:color w:val="0070C0"/>
                <w:sz w:val="24"/>
                <w:szCs w:val="24"/>
                <w:rtl/>
              </w:rPr>
            </w:pPr>
            <w:r w:rsidRPr="00A04BF3">
              <w:rPr>
                <w:rFonts w:cs="David" w:hint="cs"/>
                <w:b/>
                <w:bCs/>
                <w:color w:val="0070C0"/>
                <w:sz w:val="24"/>
                <w:szCs w:val="24"/>
                <w:rtl/>
              </w:rPr>
              <w:t xml:space="preserve">שיפור השירות </w:t>
            </w:r>
          </w:p>
        </w:tc>
        <w:tc>
          <w:tcPr>
            <w:tcW w:w="3886" w:type="dxa"/>
          </w:tcPr>
          <w:p w:rsidR="006476A0" w:rsidRPr="00634511" w:rsidRDefault="009F09CF" w:rsidP="00173921">
            <w:pPr>
              <w:pStyle w:val="af0"/>
              <w:spacing w:after="120" w:line="240" w:lineRule="auto"/>
              <w:ind w:left="0"/>
              <w:rPr>
                <w:rFonts w:cs="David"/>
                <w:color w:val="0070C0"/>
                <w:sz w:val="24"/>
                <w:szCs w:val="24"/>
                <w:rtl/>
              </w:rPr>
            </w:pPr>
            <w:r w:rsidRPr="00634511">
              <w:rPr>
                <w:rFonts w:cs="David" w:hint="cs"/>
                <w:color w:val="0070C0"/>
                <w:sz w:val="24"/>
                <w:szCs w:val="24"/>
                <w:rtl/>
              </w:rPr>
              <w:t>הבנקים מציעים ללקוחות יותר שירותים שניתן לבצ</w:t>
            </w:r>
            <w:r w:rsidR="00C50617">
              <w:rPr>
                <w:rFonts w:cs="David" w:hint="cs"/>
                <w:color w:val="0070C0"/>
                <w:sz w:val="24"/>
                <w:szCs w:val="24"/>
                <w:rtl/>
              </w:rPr>
              <w:t>ע מרחוק, שחוסכים זמן הגעה לסניף</w:t>
            </w:r>
            <w:r w:rsidRPr="00634511">
              <w:rPr>
                <w:rFonts w:cs="David" w:hint="cs"/>
                <w:color w:val="0070C0"/>
                <w:sz w:val="24"/>
                <w:szCs w:val="24"/>
                <w:rtl/>
              </w:rPr>
              <w:t xml:space="preserve"> </w:t>
            </w:r>
            <w:r w:rsidR="00C50617">
              <w:rPr>
                <w:rFonts w:cs="David" w:hint="cs"/>
                <w:color w:val="0070C0"/>
                <w:sz w:val="24"/>
                <w:szCs w:val="24"/>
                <w:rtl/>
              </w:rPr>
              <w:t>ו</w:t>
            </w:r>
            <w:r w:rsidRPr="00634511">
              <w:rPr>
                <w:rFonts w:cs="David" w:hint="cs"/>
                <w:color w:val="0070C0"/>
                <w:sz w:val="24"/>
                <w:szCs w:val="24"/>
                <w:rtl/>
              </w:rPr>
              <w:t>עמידה בתורים; מאפשרים לבצע פעולות בשעות ארוכות יותר</w:t>
            </w:r>
            <w:r>
              <w:rPr>
                <w:rFonts w:cs="David" w:hint="cs"/>
                <w:color w:val="0070C0"/>
                <w:sz w:val="24"/>
                <w:szCs w:val="24"/>
                <w:rtl/>
              </w:rPr>
              <w:t>; יצירת קשר עם בנקאי במגוון רחב יותר של אמצעים</w:t>
            </w:r>
            <w:r w:rsidRPr="00634511">
              <w:rPr>
                <w:rFonts w:cs="David" w:hint="cs"/>
                <w:color w:val="0070C0"/>
                <w:sz w:val="24"/>
                <w:szCs w:val="24"/>
                <w:rtl/>
              </w:rPr>
              <w:t xml:space="preserve"> ועוד</w:t>
            </w:r>
            <w:r>
              <w:rPr>
                <w:rFonts w:cs="David" w:hint="cs"/>
                <w:color w:val="0070C0"/>
                <w:sz w:val="24"/>
                <w:szCs w:val="24"/>
                <w:rtl/>
              </w:rPr>
              <w:t>. כל זאת באמצעות השקעות גדולות שמבצעים הבנקים בחדשנות דיגיטלית</w:t>
            </w:r>
            <w:r w:rsidR="00C50617">
              <w:rPr>
                <w:rFonts w:cs="David" w:hint="cs"/>
                <w:color w:val="0070C0"/>
                <w:sz w:val="24"/>
                <w:szCs w:val="24"/>
                <w:rtl/>
              </w:rPr>
              <w:t>.</w:t>
            </w:r>
          </w:p>
        </w:tc>
      </w:tr>
      <w:tr w:rsidR="006476A0" w:rsidTr="00173921">
        <w:tc>
          <w:tcPr>
            <w:tcW w:w="3973" w:type="dxa"/>
          </w:tcPr>
          <w:p w:rsidR="006476A0" w:rsidRPr="00A04BF3" w:rsidRDefault="006476A0" w:rsidP="00173921">
            <w:pPr>
              <w:pStyle w:val="af0"/>
              <w:numPr>
                <w:ilvl w:val="0"/>
                <w:numId w:val="17"/>
              </w:numPr>
              <w:spacing w:after="120" w:line="360" w:lineRule="auto"/>
              <w:rPr>
                <w:rFonts w:cs="David"/>
                <w:b/>
                <w:bCs/>
                <w:color w:val="0070C0"/>
                <w:sz w:val="24"/>
                <w:szCs w:val="24"/>
                <w:rtl/>
              </w:rPr>
            </w:pPr>
            <w:r w:rsidRPr="00A04BF3">
              <w:rPr>
                <w:rFonts w:cs="David" w:hint="cs"/>
                <w:b/>
                <w:bCs/>
                <w:color w:val="0070C0"/>
                <w:sz w:val="24"/>
                <w:szCs w:val="24"/>
                <w:rtl/>
              </w:rPr>
              <w:t>הוזלת השירות הבנקאי</w:t>
            </w:r>
          </w:p>
        </w:tc>
        <w:tc>
          <w:tcPr>
            <w:tcW w:w="3886" w:type="dxa"/>
          </w:tcPr>
          <w:p w:rsidR="006476A0" w:rsidRPr="00634511" w:rsidRDefault="009F09CF" w:rsidP="00A55F39">
            <w:pPr>
              <w:pStyle w:val="af0"/>
              <w:spacing w:after="120" w:line="240" w:lineRule="auto"/>
              <w:ind w:left="0"/>
              <w:rPr>
                <w:rFonts w:cs="David"/>
                <w:color w:val="0070C0"/>
                <w:sz w:val="24"/>
                <w:szCs w:val="24"/>
                <w:rtl/>
              </w:rPr>
            </w:pPr>
            <w:r w:rsidRPr="00634511">
              <w:rPr>
                <w:rFonts w:cs="David" w:hint="cs"/>
                <w:color w:val="0070C0"/>
                <w:sz w:val="24"/>
                <w:szCs w:val="24"/>
                <w:rtl/>
              </w:rPr>
              <w:t xml:space="preserve">הפיקוח הנחה את הבנקים </w:t>
            </w:r>
            <w:bookmarkStart w:id="0" w:name="_GoBack"/>
            <w:r w:rsidRPr="00F36BD4">
              <w:rPr>
                <w:rFonts w:cs="David" w:hint="cs"/>
                <w:color w:val="0070C0"/>
                <w:sz w:val="24"/>
                <w:szCs w:val="24"/>
                <w:rtl/>
              </w:rPr>
              <w:t>שכל</w:t>
            </w:r>
            <w:bookmarkEnd w:id="0"/>
            <w:r w:rsidRPr="00634511">
              <w:rPr>
                <w:rFonts w:cs="David" w:hint="cs"/>
                <w:color w:val="0070C0"/>
                <w:sz w:val="24"/>
                <w:szCs w:val="24"/>
                <w:rtl/>
              </w:rPr>
              <w:t xml:space="preserve"> פעולה באמצעים ישירים תהיה זולה יותר מביצוע אותה פעולה מול פקיד</w:t>
            </w:r>
            <w:r>
              <w:rPr>
                <w:rFonts w:cs="David" w:hint="cs"/>
                <w:color w:val="0070C0"/>
                <w:sz w:val="24"/>
                <w:szCs w:val="24"/>
                <w:rtl/>
              </w:rPr>
              <w:t xml:space="preserve">. </w:t>
            </w:r>
            <w:r w:rsidR="00A55F39">
              <w:rPr>
                <w:rFonts w:cs="David" w:hint="cs"/>
                <w:color w:val="0070C0"/>
                <w:sz w:val="24"/>
                <w:szCs w:val="24"/>
                <w:rtl/>
              </w:rPr>
              <w:t xml:space="preserve">הוראה זו </w:t>
            </w:r>
            <w:r w:rsidR="00A55F39" w:rsidRPr="00A55F39">
              <w:rPr>
                <w:rFonts w:cs="David" w:hint="cs"/>
                <w:color w:val="0070C0"/>
                <w:sz w:val="24"/>
                <w:szCs w:val="24"/>
                <w:rtl/>
              </w:rPr>
              <w:t>תכנס</w:t>
            </w:r>
            <w:r w:rsidR="00A55F39">
              <w:rPr>
                <w:rFonts w:cs="David" w:hint="cs"/>
                <w:color w:val="0070C0"/>
                <w:sz w:val="24"/>
                <w:szCs w:val="24"/>
                <w:rtl/>
              </w:rPr>
              <w:t xml:space="preserve"> לתוקף ב-1.11.2017.</w:t>
            </w:r>
          </w:p>
        </w:tc>
      </w:tr>
      <w:tr w:rsidR="006476A0" w:rsidTr="00173921">
        <w:tc>
          <w:tcPr>
            <w:tcW w:w="3973" w:type="dxa"/>
          </w:tcPr>
          <w:p w:rsidR="006476A0" w:rsidRPr="00A04BF3" w:rsidRDefault="006476A0" w:rsidP="00173921">
            <w:pPr>
              <w:pStyle w:val="af0"/>
              <w:numPr>
                <w:ilvl w:val="0"/>
                <w:numId w:val="17"/>
              </w:numPr>
              <w:spacing w:after="120" w:line="360" w:lineRule="auto"/>
              <w:rPr>
                <w:rFonts w:cs="David"/>
                <w:b/>
                <w:bCs/>
                <w:color w:val="0070C0"/>
                <w:sz w:val="24"/>
                <w:szCs w:val="24"/>
                <w:rtl/>
              </w:rPr>
            </w:pPr>
            <w:r w:rsidRPr="00A04BF3">
              <w:rPr>
                <w:rFonts w:cs="David" w:hint="cs"/>
                <w:b/>
                <w:bCs/>
                <w:color w:val="0070C0"/>
                <w:sz w:val="24"/>
                <w:szCs w:val="24"/>
                <w:rtl/>
              </w:rPr>
              <w:t>הכנסות למחזיקי מניות הבנקים</w:t>
            </w:r>
          </w:p>
        </w:tc>
        <w:tc>
          <w:tcPr>
            <w:tcW w:w="3886" w:type="dxa"/>
          </w:tcPr>
          <w:p w:rsidR="006476A0" w:rsidRPr="00634511" w:rsidRDefault="009F09CF" w:rsidP="00173921">
            <w:pPr>
              <w:pStyle w:val="af0"/>
              <w:spacing w:after="120" w:line="240" w:lineRule="auto"/>
              <w:ind w:left="0"/>
              <w:rPr>
                <w:rFonts w:cs="David"/>
                <w:color w:val="0070C0"/>
                <w:sz w:val="24"/>
                <w:szCs w:val="24"/>
                <w:rtl/>
              </w:rPr>
            </w:pPr>
            <w:r w:rsidRPr="00634511">
              <w:rPr>
                <w:rFonts w:cs="David" w:hint="cs"/>
                <w:color w:val="0070C0"/>
                <w:sz w:val="24"/>
                <w:szCs w:val="24"/>
                <w:rtl/>
              </w:rPr>
              <w:t>ההתייעלות יוצרת חיסכון לבנקים</w:t>
            </w:r>
            <w:r>
              <w:rPr>
                <w:rFonts w:cs="David" w:hint="cs"/>
                <w:color w:val="0070C0"/>
                <w:sz w:val="24"/>
                <w:szCs w:val="24"/>
                <w:rtl/>
              </w:rPr>
              <w:t xml:space="preserve">, שמאפשר חלוקת רווחים (דיבידנדים) לציבור שמחזיק </w:t>
            </w:r>
            <w:r w:rsidR="00CB4B6B">
              <w:rPr>
                <w:rFonts w:cs="David" w:hint="cs"/>
                <w:color w:val="0070C0"/>
                <w:sz w:val="24"/>
                <w:szCs w:val="24"/>
                <w:rtl/>
              </w:rPr>
              <w:t>כ-</w:t>
            </w:r>
            <w:r>
              <w:rPr>
                <w:rFonts w:cs="David" w:hint="cs"/>
                <w:color w:val="0070C0"/>
                <w:sz w:val="24"/>
                <w:szCs w:val="24"/>
                <w:rtl/>
              </w:rPr>
              <w:t>80% ממניות הבנקים</w:t>
            </w:r>
            <w:r w:rsidR="00CB4B6B">
              <w:rPr>
                <w:rFonts w:cs="David" w:hint="cs"/>
                <w:color w:val="0070C0"/>
                <w:sz w:val="24"/>
                <w:szCs w:val="24"/>
                <w:rtl/>
              </w:rPr>
              <w:t>.</w:t>
            </w:r>
          </w:p>
        </w:tc>
      </w:tr>
    </w:tbl>
    <w:p w:rsidR="00C15A67" w:rsidRDefault="00C15A67" w:rsidP="00D66A12">
      <w:pPr>
        <w:spacing w:after="120"/>
        <w:rPr>
          <w:b/>
          <w:bCs/>
          <w:color w:val="0070C0"/>
          <w:rtl/>
        </w:rPr>
      </w:pPr>
    </w:p>
    <w:p w:rsidR="00D66A12" w:rsidRPr="006E02C1" w:rsidRDefault="008B725C" w:rsidP="006E02C1">
      <w:pPr>
        <w:pStyle w:val="2"/>
        <w:rPr>
          <w:rtl/>
        </w:rPr>
      </w:pPr>
      <w:r w:rsidRPr="006E02C1">
        <w:rPr>
          <w:rFonts w:hint="cs"/>
          <w:rtl/>
        </w:rPr>
        <w:t>רקע</w:t>
      </w:r>
    </w:p>
    <w:p w:rsidR="007B636A" w:rsidRDefault="00D20809" w:rsidP="007D011A">
      <w:pPr>
        <w:spacing w:after="120"/>
        <w:rPr>
          <w:rtl/>
        </w:rPr>
      </w:pPr>
      <w:r w:rsidRPr="00924A43">
        <w:rPr>
          <w:rFonts w:hint="cs"/>
          <w:b/>
          <w:bCs/>
          <w:rtl/>
        </w:rPr>
        <w:t xml:space="preserve">הפיקוח על הבנקים הציב כיעד לשנים הקרובות את שיפור </w:t>
      </w:r>
      <w:r w:rsidR="00DC6700" w:rsidRPr="00924A43">
        <w:rPr>
          <w:rFonts w:hint="cs"/>
          <w:b/>
          <w:bCs/>
          <w:rtl/>
        </w:rPr>
        <w:t>יעילותה</w:t>
      </w:r>
      <w:r w:rsidRPr="00924A43">
        <w:rPr>
          <w:rFonts w:hint="cs"/>
          <w:b/>
          <w:bCs/>
          <w:rtl/>
        </w:rPr>
        <w:t xml:space="preserve"> של מערכת הבנקאות בישראל</w:t>
      </w:r>
      <w:r w:rsidR="00AA470F" w:rsidRPr="00924A43">
        <w:rPr>
          <w:rFonts w:hint="cs"/>
          <w:b/>
          <w:bCs/>
          <w:rtl/>
        </w:rPr>
        <w:t xml:space="preserve"> והתאמתה לרמה הנהוגה בבנקים דומים במדינות מפותחות</w:t>
      </w:r>
      <w:r w:rsidR="001C6E11" w:rsidRPr="00924A43">
        <w:rPr>
          <w:rFonts w:hint="cs"/>
          <w:b/>
          <w:bCs/>
          <w:rtl/>
        </w:rPr>
        <w:t xml:space="preserve"> </w:t>
      </w:r>
      <w:r w:rsidR="001C6E11">
        <w:rPr>
          <w:rtl/>
        </w:rPr>
        <w:t>–</w:t>
      </w:r>
      <w:r w:rsidR="001C6E11">
        <w:rPr>
          <w:rFonts w:hint="cs"/>
          <w:rtl/>
        </w:rPr>
        <w:t xml:space="preserve"> רמה שממשיכה להשתפר כל העת</w:t>
      </w:r>
      <w:r w:rsidR="0086093A" w:rsidRPr="00732092">
        <w:rPr>
          <w:rFonts w:hint="cs"/>
          <w:rtl/>
        </w:rPr>
        <w:t>.</w:t>
      </w:r>
      <w:r w:rsidR="00CF7F64" w:rsidRPr="00732092">
        <w:rPr>
          <w:rFonts w:hint="cs"/>
          <w:rtl/>
        </w:rPr>
        <w:t xml:space="preserve"> </w:t>
      </w:r>
      <w:r w:rsidR="0086093A" w:rsidRPr="00040568">
        <w:rPr>
          <w:rFonts w:hint="cs"/>
          <w:rtl/>
        </w:rPr>
        <w:t xml:space="preserve">הפיקוח רואה בשיפור היעילות צעד חיוני </w:t>
      </w:r>
      <w:r w:rsidR="00A04BF3">
        <w:rPr>
          <w:rFonts w:hint="cs"/>
          <w:rtl/>
        </w:rPr>
        <w:t xml:space="preserve">ביותר </w:t>
      </w:r>
      <w:r w:rsidR="0086093A" w:rsidRPr="00040568">
        <w:rPr>
          <w:rFonts w:hint="cs"/>
          <w:rtl/>
        </w:rPr>
        <w:t xml:space="preserve">להבטחת </w:t>
      </w:r>
      <w:r w:rsidR="000B7DAA" w:rsidRPr="00040568">
        <w:rPr>
          <w:rFonts w:hint="cs"/>
          <w:rtl/>
        </w:rPr>
        <w:t xml:space="preserve">יכולתם </w:t>
      </w:r>
      <w:r w:rsidR="000B7DAA">
        <w:rPr>
          <w:rFonts w:hint="cs"/>
          <w:rtl/>
        </w:rPr>
        <w:t>של ה</w:t>
      </w:r>
      <w:r w:rsidR="00A04BF3">
        <w:rPr>
          <w:rFonts w:hint="cs"/>
          <w:rtl/>
        </w:rPr>
        <w:t>בנקים</w:t>
      </w:r>
      <w:r w:rsidR="000B7DAA">
        <w:rPr>
          <w:rFonts w:hint="cs"/>
          <w:rtl/>
        </w:rPr>
        <w:t xml:space="preserve"> </w:t>
      </w:r>
      <w:r w:rsidR="00061CB4">
        <w:rPr>
          <w:rFonts w:hint="cs"/>
          <w:rtl/>
        </w:rPr>
        <w:t>להישאר</w:t>
      </w:r>
      <w:r w:rsidR="0086093A" w:rsidRPr="00040568">
        <w:rPr>
          <w:rFonts w:hint="cs"/>
          <w:rtl/>
        </w:rPr>
        <w:t xml:space="preserve"> תחרותיים לאורך זמן</w:t>
      </w:r>
      <w:r w:rsidR="006F03D0">
        <w:rPr>
          <w:rFonts w:hint="cs"/>
          <w:rtl/>
        </w:rPr>
        <w:t xml:space="preserve"> ומצפה כי </w:t>
      </w:r>
      <w:r w:rsidR="00B654FA">
        <w:rPr>
          <w:rFonts w:hint="cs"/>
          <w:rtl/>
        </w:rPr>
        <w:t>פירות</w:t>
      </w:r>
      <w:r w:rsidR="000B7DAA">
        <w:rPr>
          <w:rFonts w:hint="cs"/>
          <w:rtl/>
        </w:rPr>
        <w:t xml:space="preserve"> ההתייעלות</w:t>
      </w:r>
      <w:r w:rsidR="00B654FA">
        <w:rPr>
          <w:rFonts w:hint="cs"/>
          <w:rtl/>
        </w:rPr>
        <w:t xml:space="preserve"> </w:t>
      </w:r>
      <w:r w:rsidR="006F03D0">
        <w:rPr>
          <w:rFonts w:hint="cs"/>
          <w:rtl/>
        </w:rPr>
        <w:t>"</w:t>
      </w:r>
      <w:r w:rsidR="000B7DAA">
        <w:rPr>
          <w:rFonts w:hint="cs"/>
          <w:rtl/>
        </w:rPr>
        <w:t>יגולגלו</w:t>
      </w:r>
      <w:r w:rsidR="006F03D0">
        <w:rPr>
          <w:rFonts w:hint="cs"/>
          <w:rtl/>
        </w:rPr>
        <w:t>"</w:t>
      </w:r>
      <w:r w:rsidR="000B7DAA">
        <w:rPr>
          <w:rFonts w:hint="cs"/>
          <w:rtl/>
        </w:rPr>
        <w:t xml:space="preserve"> </w:t>
      </w:r>
      <w:r w:rsidR="001C6E11">
        <w:rPr>
          <w:rFonts w:hint="cs"/>
          <w:rtl/>
        </w:rPr>
        <w:t xml:space="preserve">לציבור </w:t>
      </w:r>
      <w:r w:rsidR="000B7DAA">
        <w:rPr>
          <w:rFonts w:hint="cs"/>
          <w:rtl/>
        </w:rPr>
        <w:t>במספר דרכים</w:t>
      </w:r>
      <w:r w:rsidR="0086093A" w:rsidRPr="00040568">
        <w:rPr>
          <w:rFonts w:hint="cs"/>
          <w:rtl/>
        </w:rPr>
        <w:t xml:space="preserve">. </w:t>
      </w:r>
      <w:r w:rsidR="007B636A">
        <w:rPr>
          <w:rFonts w:hint="cs"/>
          <w:rtl/>
        </w:rPr>
        <w:t xml:space="preserve">הצורך בהתייעלות אינו ייחודי למערכת הבנקאות בישראל. </w:t>
      </w:r>
      <w:r w:rsidR="007B636A" w:rsidRPr="00732092">
        <w:rPr>
          <w:rFonts w:hint="cs"/>
          <w:rtl/>
        </w:rPr>
        <w:t>המהפכה</w:t>
      </w:r>
      <w:r w:rsidR="007B636A" w:rsidRPr="00732092">
        <w:rPr>
          <w:rtl/>
        </w:rPr>
        <w:t xml:space="preserve"> </w:t>
      </w:r>
      <w:r w:rsidR="007B636A" w:rsidRPr="00732092">
        <w:rPr>
          <w:rFonts w:hint="cs"/>
          <w:rtl/>
        </w:rPr>
        <w:t>הטכנולוגית</w:t>
      </w:r>
      <w:r w:rsidR="007B636A" w:rsidRPr="00732092">
        <w:rPr>
          <w:rtl/>
        </w:rPr>
        <w:t xml:space="preserve"> </w:t>
      </w:r>
      <w:r w:rsidR="007B636A">
        <w:rPr>
          <w:rFonts w:hint="cs"/>
          <w:rtl/>
        </w:rPr>
        <w:t>המתחוללת ב</w:t>
      </w:r>
      <w:r w:rsidR="007B636A" w:rsidRPr="00732092">
        <w:rPr>
          <w:rFonts w:hint="cs"/>
          <w:rtl/>
        </w:rPr>
        <w:t>ענף</w:t>
      </w:r>
      <w:r w:rsidR="007B636A" w:rsidRPr="00732092">
        <w:rPr>
          <w:rtl/>
        </w:rPr>
        <w:t xml:space="preserve"> </w:t>
      </w:r>
      <w:r w:rsidR="007B636A" w:rsidRPr="00732092">
        <w:rPr>
          <w:rFonts w:hint="cs"/>
          <w:rtl/>
        </w:rPr>
        <w:t>הפיננסים</w:t>
      </w:r>
      <w:r w:rsidR="006E73B2">
        <w:rPr>
          <w:rFonts w:hint="cs"/>
          <w:rtl/>
        </w:rPr>
        <w:t>,</w:t>
      </w:r>
      <w:r w:rsidR="007B636A" w:rsidRPr="00732092">
        <w:rPr>
          <w:rtl/>
        </w:rPr>
        <w:t xml:space="preserve"> </w:t>
      </w:r>
      <w:r w:rsidR="007B636A" w:rsidRPr="00732092">
        <w:rPr>
          <w:rFonts w:hint="cs"/>
          <w:rtl/>
        </w:rPr>
        <w:t>כניסתם</w:t>
      </w:r>
      <w:r w:rsidR="007B636A" w:rsidRPr="00732092">
        <w:rPr>
          <w:rtl/>
        </w:rPr>
        <w:t xml:space="preserve"> </w:t>
      </w:r>
      <w:r w:rsidR="007B636A" w:rsidRPr="00732092">
        <w:rPr>
          <w:rFonts w:hint="cs"/>
          <w:rtl/>
        </w:rPr>
        <w:t>של</w:t>
      </w:r>
      <w:r w:rsidR="007B636A" w:rsidRPr="00732092">
        <w:rPr>
          <w:rtl/>
        </w:rPr>
        <w:t xml:space="preserve"> </w:t>
      </w:r>
      <w:r w:rsidR="007B636A" w:rsidRPr="00732092">
        <w:rPr>
          <w:rFonts w:hint="cs"/>
          <w:rtl/>
        </w:rPr>
        <w:t>אמצעים</w:t>
      </w:r>
      <w:r w:rsidR="007B636A" w:rsidRPr="00732092">
        <w:rPr>
          <w:rtl/>
        </w:rPr>
        <w:t xml:space="preserve"> </w:t>
      </w:r>
      <w:r w:rsidR="007B636A" w:rsidRPr="00732092">
        <w:rPr>
          <w:rFonts w:hint="cs"/>
          <w:rtl/>
        </w:rPr>
        <w:t>טכנולוגיים</w:t>
      </w:r>
      <w:r w:rsidR="007B636A" w:rsidRPr="00732092">
        <w:rPr>
          <w:rtl/>
        </w:rPr>
        <w:t xml:space="preserve"> </w:t>
      </w:r>
      <w:r w:rsidR="006E73B2">
        <w:rPr>
          <w:rFonts w:hint="cs"/>
          <w:rtl/>
        </w:rPr>
        <w:t>והשינוי בהעדפות הצרכנים</w:t>
      </w:r>
      <w:r w:rsidR="007D1E89">
        <w:rPr>
          <w:rFonts w:hint="cs"/>
          <w:rtl/>
        </w:rPr>
        <w:t xml:space="preserve"> </w:t>
      </w:r>
      <w:r w:rsidR="00A04BF3">
        <w:rPr>
          <w:rFonts w:hint="cs"/>
          <w:rtl/>
        </w:rPr>
        <w:t>-</w:t>
      </w:r>
      <w:r w:rsidR="00E10ED9">
        <w:rPr>
          <w:rFonts w:hint="cs"/>
          <w:rtl/>
        </w:rPr>
        <w:t xml:space="preserve"> </w:t>
      </w:r>
      <w:r w:rsidR="006E73B2">
        <w:rPr>
          <w:rFonts w:hint="cs"/>
          <w:rtl/>
        </w:rPr>
        <w:t>שמעוניינים לצרוך את השירותים מרחוק ובנוחות</w:t>
      </w:r>
      <w:r w:rsidR="00A04BF3">
        <w:rPr>
          <w:rFonts w:hint="cs"/>
          <w:rtl/>
        </w:rPr>
        <w:t>,</w:t>
      </w:r>
      <w:r w:rsidR="001C6E11">
        <w:rPr>
          <w:rFonts w:hint="cs"/>
          <w:rtl/>
        </w:rPr>
        <w:t xml:space="preserve"> </w:t>
      </w:r>
      <w:r w:rsidR="007B636A" w:rsidRPr="00732092">
        <w:rPr>
          <w:rFonts w:hint="cs"/>
          <w:rtl/>
        </w:rPr>
        <w:t>מחייב</w:t>
      </w:r>
      <w:r w:rsidR="006E73B2">
        <w:rPr>
          <w:rFonts w:hint="cs"/>
          <w:rtl/>
        </w:rPr>
        <w:t>ים</w:t>
      </w:r>
      <w:r w:rsidR="007B636A" w:rsidRPr="00732092">
        <w:rPr>
          <w:rFonts w:hint="cs"/>
          <w:rtl/>
        </w:rPr>
        <w:t xml:space="preserve"> את הבנקים</w:t>
      </w:r>
      <w:r w:rsidR="007B636A" w:rsidRPr="00732092">
        <w:rPr>
          <w:rtl/>
        </w:rPr>
        <w:t xml:space="preserve"> </w:t>
      </w:r>
      <w:r w:rsidR="007B636A" w:rsidRPr="00732092">
        <w:rPr>
          <w:rFonts w:hint="cs"/>
          <w:rtl/>
        </w:rPr>
        <w:t>להתאים</w:t>
      </w:r>
      <w:r w:rsidR="007B636A" w:rsidRPr="00732092">
        <w:rPr>
          <w:rtl/>
        </w:rPr>
        <w:t xml:space="preserve"> </w:t>
      </w:r>
      <w:r w:rsidR="007B636A" w:rsidRPr="00732092">
        <w:rPr>
          <w:rFonts w:hint="cs"/>
          <w:rtl/>
        </w:rPr>
        <w:t>את</w:t>
      </w:r>
      <w:r w:rsidR="007B636A" w:rsidRPr="00732092">
        <w:rPr>
          <w:rtl/>
        </w:rPr>
        <w:t xml:space="preserve"> </w:t>
      </w:r>
      <w:r w:rsidR="007B636A" w:rsidRPr="00732092">
        <w:rPr>
          <w:rFonts w:hint="cs"/>
          <w:rtl/>
        </w:rPr>
        <w:t>עצמם</w:t>
      </w:r>
      <w:r w:rsidR="007B636A" w:rsidRPr="00732092">
        <w:rPr>
          <w:rtl/>
        </w:rPr>
        <w:t xml:space="preserve"> </w:t>
      </w:r>
      <w:r w:rsidR="007B636A" w:rsidRPr="00732092">
        <w:rPr>
          <w:rFonts w:hint="cs"/>
          <w:rtl/>
        </w:rPr>
        <w:t>למציאות</w:t>
      </w:r>
      <w:r w:rsidR="007B636A" w:rsidRPr="00732092">
        <w:rPr>
          <w:rtl/>
        </w:rPr>
        <w:t xml:space="preserve"> </w:t>
      </w:r>
      <w:r w:rsidR="007B636A" w:rsidRPr="00732092">
        <w:rPr>
          <w:rFonts w:hint="cs"/>
          <w:rtl/>
        </w:rPr>
        <w:t>החדשה באמצעות</w:t>
      </w:r>
      <w:r w:rsidR="007B636A">
        <w:rPr>
          <w:rFonts w:hint="cs"/>
          <w:rtl/>
        </w:rPr>
        <w:t xml:space="preserve"> התאמת המודל העסקי שלהם</w:t>
      </w:r>
      <w:r w:rsidR="001C6E11">
        <w:rPr>
          <w:rFonts w:hint="cs"/>
          <w:rtl/>
        </w:rPr>
        <w:t>,</w:t>
      </w:r>
      <w:r w:rsidR="007B636A">
        <w:rPr>
          <w:rFonts w:hint="cs"/>
          <w:rtl/>
        </w:rPr>
        <w:t xml:space="preserve"> וניהול יעיל יותר של גורמי </w:t>
      </w:r>
      <w:r w:rsidR="00E10ED9">
        <w:rPr>
          <w:rFonts w:hint="cs"/>
          <w:rtl/>
        </w:rPr>
        <w:t>ה</w:t>
      </w:r>
      <w:r w:rsidR="007B636A">
        <w:rPr>
          <w:rFonts w:hint="cs"/>
          <w:rtl/>
        </w:rPr>
        <w:t>ייצור ו</w:t>
      </w:r>
      <w:r w:rsidR="00E10ED9">
        <w:rPr>
          <w:rFonts w:hint="cs"/>
          <w:rtl/>
        </w:rPr>
        <w:t>ה</w:t>
      </w:r>
      <w:r w:rsidR="007B636A">
        <w:rPr>
          <w:rFonts w:hint="cs"/>
          <w:rtl/>
        </w:rPr>
        <w:t>תהליכים</w:t>
      </w:r>
      <w:r w:rsidR="00E10ED9">
        <w:rPr>
          <w:rFonts w:hint="cs"/>
          <w:rtl/>
        </w:rPr>
        <w:t xml:space="preserve"> השונים</w:t>
      </w:r>
      <w:r w:rsidR="007B636A">
        <w:rPr>
          <w:rFonts w:hint="cs"/>
          <w:rtl/>
        </w:rPr>
        <w:t>.</w:t>
      </w:r>
      <w:r w:rsidR="007B636A" w:rsidRPr="007B636A">
        <w:rPr>
          <w:rFonts w:hint="cs"/>
          <w:rtl/>
        </w:rPr>
        <w:t xml:space="preserve"> </w:t>
      </w:r>
      <w:r w:rsidR="004017F0">
        <w:rPr>
          <w:rFonts w:hint="cs"/>
          <w:rtl/>
        </w:rPr>
        <w:t>מגמות אלה הביאו</w:t>
      </w:r>
      <w:r w:rsidR="00D56155">
        <w:rPr>
          <w:rFonts w:hint="cs"/>
          <w:rtl/>
        </w:rPr>
        <w:t xml:space="preserve"> בנקים רבים בעולם לנקוט בצעדים </w:t>
      </w:r>
      <w:r w:rsidR="000B7DAA">
        <w:rPr>
          <w:rFonts w:hint="cs"/>
          <w:rtl/>
        </w:rPr>
        <w:t xml:space="preserve">משמעותיים </w:t>
      </w:r>
      <w:r w:rsidR="00D56155">
        <w:rPr>
          <w:rFonts w:hint="cs"/>
          <w:rtl/>
        </w:rPr>
        <w:t>לצורך שיפור יעילותם</w:t>
      </w:r>
      <w:r w:rsidR="001E0CA6">
        <w:rPr>
          <w:rFonts w:hint="cs"/>
          <w:rtl/>
        </w:rPr>
        <w:t>.</w:t>
      </w:r>
    </w:p>
    <w:p w:rsidR="00EF6D8D" w:rsidRDefault="0086093A" w:rsidP="00FD1846">
      <w:pPr>
        <w:spacing w:after="120"/>
        <w:rPr>
          <w:rtl/>
        </w:rPr>
      </w:pPr>
      <w:r w:rsidRPr="00924A43">
        <w:rPr>
          <w:rFonts w:hint="cs"/>
          <w:b/>
          <w:bCs/>
          <w:rtl/>
        </w:rPr>
        <w:t xml:space="preserve">הפיקוח </w:t>
      </w:r>
      <w:r w:rsidR="00924A43" w:rsidRPr="00924A43">
        <w:rPr>
          <w:rFonts w:hint="cs"/>
          <w:b/>
          <w:bCs/>
          <w:rtl/>
        </w:rPr>
        <w:t xml:space="preserve">דרש </w:t>
      </w:r>
      <w:r w:rsidR="00BC0F68" w:rsidRPr="00924A43">
        <w:rPr>
          <w:rFonts w:hint="cs"/>
          <w:b/>
          <w:bCs/>
          <w:rtl/>
        </w:rPr>
        <w:t xml:space="preserve">מהבנקים </w:t>
      </w:r>
      <w:r w:rsidR="006E73B2" w:rsidRPr="00924A43">
        <w:rPr>
          <w:rFonts w:hint="cs"/>
          <w:b/>
          <w:bCs/>
          <w:rtl/>
        </w:rPr>
        <w:t xml:space="preserve">בתחילת 2016 </w:t>
      </w:r>
      <w:r w:rsidR="00A856C2" w:rsidRPr="00924A43">
        <w:rPr>
          <w:rFonts w:hint="cs"/>
          <w:b/>
          <w:bCs/>
          <w:rtl/>
        </w:rPr>
        <w:t>לגבש תכנית התייעלות רב-שנתי</w:t>
      </w:r>
      <w:r w:rsidR="00BC0F68" w:rsidRPr="00924A43">
        <w:rPr>
          <w:rFonts w:hint="cs"/>
          <w:b/>
          <w:bCs/>
          <w:rtl/>
        </w:rPr>
        <w:t>ת</w:t>
      </w:r>
      <w:r w:rsidR="00CF7F64" w:rsidRPr="00924A43">
        <w:rPr>
          <w:rStyle w:val="ad"/>
          <w:b/>
          <w:bCs/>
          <w:rtl/>
        </w:rPr>
        <w:footnoteReference w:id="2"/>
      </w:r>
      <w:r w:rsidR="00013E03" w:rsidRPr="00924A43">
        <w:rPr>
          <w:rFonts w:hint="cs"/>
          <w:b/>
          <w:bCs/>
          <w:rtl/>
        </w:rPr>
        <w:t>,</w:t>
      </w:r>
      <w:r w:rsidR="00A856C2" w:rsidRPr="00924A43">
        <w:rPr>
          <w:rFonts w:hint="cs"/>
          <w:b/>
          <w:bCs/>
          <w:rtl/>
        </w:rPr>
        <w:t xml:space="preserve"> </w:t>
      </w:r>
      <w:r w:rsidR="00013E03" w:rsidRPr="00924A43">
        <w:rPr>
          <w:rFonts w:hint="cs"/>
          <w:b/>
          <w:bCs/>
          <w:rtl/>
        </w:rPr>
        <w:t>ו</w:t>
      </w:r>
      <w:r w:rsidR="00A31B56" w:rsidRPr="00924A43">
        <w:rPr>
          <w:rFonts w:hint="cs"/>
          <w:b/>
          <w:bCs/>
          <w:rtl/>
        </w:rPr>
        <w:t>ב</w:t>
      </w:r>
      <w:r w:rsidR="007962C1" w:rsidRPr="00924A43">
        <w:rPr>
          <w:rFonts w:hint="cs"/>
          <w:b/>
          <w:bCs/>
          <w:rtl/>
        </w:rPr>
        <w:t xml:space="preserve">שנת </w:t>
      </w:r>
      <w:r w:rsidR="00CB324F" w:rsidRPr="00924A43">
        <w:rPr>
          <w:rFonts w:hint="cs"/>
          <w:b/>
          <w:bCs/>
          <w:rtl/>
        </w:rPr>
        <w:t xml:space="preserve">2017 </w:t>
      </w:r>
      <w:r w:rsidR="001C6E11" w:rsidRPr="00924A43">
        <w:rPr>
          <w:rFonts w:hint="cs"/>
          <w:b/>
          <w:bCs/>
          <w:rtl/>
        </w:rPr>
        <w:t>הוארכה</w:t>
      </w:r>
      <w:r w:rsidR="00CC722A" w:rsidRPr="00924A43">
        <w:rPr>
          <w:rFonts w:hint="cs"/>
          <w:b/>
          <w:bCs/>
          <w:rtl/>
        </w:rPr>
        <w:t xml:space="preserve"> </w:t>
      </w:r>
      <w:r w:rsidR="00924A43" w:rsidRPr="00924A43">
        <w:rPr>
          <w:rFonts w:hint="cs"/>
          <w:b/>
          <w:bCs/>
          <w:rtl/>
        </w:rPr>
        <w:t>והורחבה</w:t>
      </w:r>
      <w:r w:rsidR="00924A43">
        <w:rPr>
          <w:rFonts w:hint="cs"/>
          <w:rtl/>
        </w:rPr>
        <w:t xml:space="preserve"> </w:t>
      </w:r>
      <w:r w:rsidR="00CC722A" w:rsidRPr="00924A43">
        <w:rPr>
          <w:rFonts w:hint="cs"/>
          <w:b/>
          <w:bCs/>
          <w:rtl/>
        </w:rPr>
        <w:t xml:space="preserve">התקופה לגיבוש </w:t>
      </w:r>
      <w:r w:rsidR="007962C1" w:rsidRPr="00924A43">
        <w:rPr>
          <w:rFonts w:hint="cs"/>
          <w:b/>
          <w:bCs/>
          <w:rtl/>
        </w:rPr>
        <w:t>ה</w:t>
      </w:r>
      <w:r w:rsidR="00CC722A" w:rsidRPr="00924A43">
        <w:rPr>
          <w:rFonts w:hint="cs"/>
          <w:b/>
          <w:bCs/>
          <w:rtl/>
        </w:rPr>
        <w:t>תכני</w:t>
      </w:r>
      <w:r w:rsidR="00CB324F" w:rsidRPr="00924A43">
        <w:rPr>
          <w:rFonts w:hint="cs"/>
          <w:b/>
          <w:bCs/>
          <w:rtl/>
        </w:rPr>
        <w:t>ת</w:t>
      </w:r>
      <w:r w:rsidR="00CB324F" w:rsidRPr="00CB324F">
        <w:rPr>
          <w:rFonts w:hint="cs"/>
          <w:rtl/>
        </w:rPr>
        <w:t xml:space="preserve"> </w:t>
      </w:r>
      <w:r w:rsidR="00D70EF9">
        <w:rPr>
          <w:rFonts w:hint="cs"/>
          <w:rtl/>
        </w:rPr>
        <w:t xml:space="preserve">(עד ליום 30.06.2018) </w:t>
      </w:r>
      <w:r w:rsidR="002E1B8E">
        <w:rPr>
          <w:rFonts w:hint="cs"/>
          <w:rtl/>
        </w:rPr>
        <w:t>על מנת לאפשר</w:t>
      </w:r>
      <w:r w:rsidR="00CC722A">
        <w:rPr>
          <w:rFonts w:hint="cs"/>
          <w:rtl/>
        </w:rPr>
        <w:t xml:space="preserve"> לבנקים </w:t>
      </w:r>
      <w:r w:rsidR="007836B2">
        <w:rPr>
          <w:rFonts w:hint="cs"/>
          <w:rtl/>
        </w:rPr>
        <w:t>לבחון אפשרויות לצמצום עלויות</w:t>
      </w:r>
      <w:r w:rsidR="006E73B2">
        <w:rPr>
          <w:rFonts w:hint="cs"/>
          <w:rtl/>
        </w:rPr>
        <w:t xml:space="preserve"> נוספות</w:t>
      </w:r>
      <w:r w:rsidR="0097699C">
        <w:rPr>
          <w:rFonts w:hint="cs"/>
          <w:rtl/>
        </w:rPr>
        <w:t xml:space="preserve"> מעבר ל</w:t>
      </w:r>
      <w:r w:rsidR="006E73B2">
        <w:rPr>
          <w:rFonts w:hint="cs"/>
          <w:rtl/>
        </w:rPr>
        <w:t xml:space="preserve">עלויות כוח אדם, </w:t>
      </w:r>
      <w:r w:rsidR="0097699C">
        <w:rPr>
          <w:rFonts w:hint="cs"/>
          <w:rtl/>
        </w:rPr>
        <w:t>כגון</w:t>
      </w:r>
      <w:r w:rsidR="006E73B2">
        <w:rPr>
          <w:rFonts w:hint="cs"/>
          <w:rtl/>
        </w:rPr>
        <w:t xml:space="preserve"> עלויות</w:t>
      </w:r>
      <w:r w:rsidR="00507F1D">
        <w:rPr>
          <w:rFonts w:hint="cs"/>
          <w:rtl/>
        </w:rPr>
        <w:t xml:space="preserve"> </w:t>
      </w:r>
      <w:r w:rsidR="007C7FE7">
        <w:rPr>
          <w:rFonts w:hint="cs"/>
          <w:rtl/>
        </w:rPr>
        <w:t>ה</w:t>
      </w:r>
      <w:r w:rsidR="007836B2">
        <w:rPr>
          <w:rFonts w:hint="cs"/>
          <w:rtl/>
        </w:rPr>
        <w:t>נדל"ן ו</w:t>
      </w:r>
      <w:r w:rsidR="007C7FE7">
        <w:rPr>
          <w:rFonts w:hint="cs"/>
          <w:rtl/>
        </w:rPr>
        <w:t>ה</w:t>
      </w:r>
      <w:r w:rsidR="007836B2">
        <w:rPr>
          <w:rFonts w:hint="cs"/>
          <w:rtl/>
        </w:rPr>
        <w:t>תחזוקה של יחידות המטה וההנהלה, לרבות בחינה מחודשת של מיקומן הגיאוגרפי</w:t>
      </w:r>
      <w:r w:rsidR="00147CB4">
        <w:rPr>
          <w:rStyle w:val="ad"/>
          <w:rtl/>
        </w:rPr>
        <w:footnoteReference w:id="3"/>
      </w:r>
      <w:r w:rsidR="007836B2">
        <w:rPr>
          <w:rFonts w:hint="cs"/>
          <w:rtl/>
        </w:rPr>
        <w:t>.</w:t>
      </w:r>
      <w:r w:rsidR="002E1B8E">
        <w:rPr>
          <w:rFonts w:hint="cs"/>
          <w:rtl/>
        </w:rPr>
        <w:t xml:space="preserve"> </w:t>
      </w:r>
      <w:r w:rsidR="00FB332A">
        <w:rPr>
          <w:rFonts w:hint="cs"/>
          <w:rtl/>
        </w:rPr>
        <w:t>במקביל</w:t>
      </w:r>
      <w:r w:rsidR="002B1EF2">
        <w:rPr>
          <w:rFonts w:hint="cs"/>
          <w:rtl/>
        </w:rPr>
        <w:t>,</w:t>
      </w:r>
      <w:r w:rsidR="002B1EF2" w:rsidRPr="002B1EF2">
        <w:rPr>
          <w:rFonts w:hint="cs"/>
          <w:rtl/>
        </w:rPr>
        <w:t xml:space="preserve"> </w:t>
      </w:r>
      <w:r w:rsidR="002B1EF2">
        <w:rPr>
          <w:rFonts w:hint="cs"/>
          <w:rtl/>
        </w:rPr>
        <w:t xml:space="preserve">הפיקוח נקט בצעדים במטרה </w:t>
      </w:r>
      <w:r w:rsidR="00D66582">
        <w:rPr>
          <w:rFonts w:hint="cs"/>
          <w:rtl/>
        </w:rPr>
        <w:t>להסיר חסמים מהותיים ליישום</w:t>
      </w:r>
      <w:r w:rsidR="00B15AC6">
        <w:rPr>
          <w:rFonts w:hint="cs"/>
          <w:rtl/>
        </w:rPr>
        <w:t xml:space="preserve"> ההתייעלות</w:t>
      </w:r>
      <w:r w:rsidR="00D66582">
        <w:rPr>
          <w:rFonts w:hint="cs"/>
          <w:rtl/>
        </w:rPr>
        <w:t>,</w:t>
      </w:r>
      <w:r w:rsidR="00A55AAB">
        <w:rPr>
          <w:rFonts w:hint="cs"/>
          <w:rtl/>
        </w:rPr>
        <w:t xml:space="preserve"> ובראשם</w:t>
      </w:r>
      <w:r w:rsidR="0011355A">
        <w:rPr>
          <w:rFonts w:hint="cs"/>
          <w:rtl/>
        </w:rPr>
        <w:t xml:space="preserve"> הקלה </w:t>
      </w:r>
      <w:r w:rsidR="0097699C">
        <w:rPr>
          <w:rFonts w:hint="cs"/>
          <w:rtl/>
        </w:rPr>
        <w:t xml:space="preserve">חשבונאית </w:t>
      </w:r>
      <w:r w:rsidR="0011355A">
        <w:rPr>
          <w:rFonts w:hint="cs"/>
          <w:rtl/>
        </w:rPr>
        <w:t>בפריסת עלויות התכנית לצורך</w:t>
      </w:r>
      <w:r w:rsidR="00040568">
        <w:rPr>
          <w:rFonts w:hint="cs"/>
          <w:rtl/>
        </w:rPr>
        <w:t xml:space="preserve"> חישוב הלימות ההון ויחס המינוף. </w:t>
      </w:r>
      <w:r w:rsidR="00EF6D8D" w:rsidRPr="00250183">
        <w:rPr>
          <w:rFonts w:hint="cs"/>
          <w:rtl/>
        </w:rPr>
        <w:t>בתכני</w:t>
      </w:r>
      <w:r w:rsidR="00EF6D8D">
        <w:rPr>
          <w:rFonts w:hint="cs"/>
          <w:rtl/>
        </w:rPr>
        <w:t>ו</w:t>
      </w:r>
      <w:r w:rsidR="00EF6D8D" w:rsidRPr="00250183">
        <w:rPr>
          <w:rFonts w:hint="cs"/>
          <w:rtl/>
        </w:rPr>
        <w:t>ת ההתייעלות שהבנקים הגי</w:t>
      </w:r>
      <w:r w:rsidR="00EF6D8D">
        <w:rPr>
          <w:rFonts w:hint="cs"/>
          <w:rtl/>
        </w:rPr>
        <w:t xml:space="preserve">שו לפיקוח הם </w:t>
      </w:r>
      <w:r w:rsidR="00EF6D8D" w:rsidRPr="00250183">
        <w:rPr>
          <w:rFonts w:hint="cs"/>
          <w:rtl/>
        </w:rPr>
        <w:t xml:space="preserve">נדרשו לכלול פעולות ספציפיות שינקטו במשך חמש השנים הבאות </w:t>
      </w:r>
      <w:r w:rsidR="00EF6D8D">
        <w:rPr>
          <w:rFonts w:hint="cs"/>
          <w:rtl/>
        </w:rPr>
        <w:t xml:space="preserve">(2021-2016) </w:t>
      </w:r>
      <w:r w:rsidR="00EF6D8D" w:rsidRPr="00250183">
        <w:rPr>
          <w:rFonts w:hint="cs"/>
          <w:rtl/>
        </w:rPr>
        <w:t xml:space="preserve">לצד עקרונות להתייעלות </w:t>
      </w:r>
      <w:r w:rsidR="00EF6D8D">
        <w:rPr>
          <w:rFonts w:hint="cs"/>
          <w:rtl/>
        </w:rPr>
        <w:t>ב</w:t>
      </w:r>
      <w:r w:rsidR="00EF6D8D" w:rsidRPr="00250183">
        <w:rPr>
          <w:rFonts w:hint="cs"/>
          <w:rtl/>
        </w:rPr>
        <w:t xml:space="preserve">טווח הארוך יותר. בנוסף, נדרשו הבנקים להגדיר יעדי ביניים, לכל הפחות בתדירות שנתית, ואמצעי מעקב ופיקוח של דירקטוריון הבנק אחר עמידה ביעדים ועדכון התכנית במידת הצורך. </w:t>
      </w:r>
      <w:r w:rsidR="00FD1846">
        <w:rPr>
          <w:rFonts w:hint="cs"/>
          <w:rtl/>
        </w:rPr>
        <w:t>תכניות ההתייעלות שהגישו הבנקים כוללות ייעול תהליכים פנימיים וצמצום בכוח האדם, התאמת מרכזי הרווח ונכסי הנדל"ן, וזאת בין היתר על ידי הטמעה ושימוש בטכנולוגיות מתקדמות.</w:t>
      </w:r>
    </w:p>
    <w:p w:rsidR="00960916" w:rsidRDefault="00960916" w:rsidP="00FC080F">
      <w:pPr>
        <w:spacing w:after="120"/>
        <w:rPr>
          <w:b/>
          <w:bCs/>
          <w:color w:val="0070C0"/>
          <w:rtl/>
        </w:rPr>
      </w:pPr>
    </w:p>
    <w:p w:rsidR="00380860" w:rsidRPr="0078142D" w:rsidRDefault="00380860" w:rsidP="006E02C1">
      <w:pPr>
        <w:pStyle w:val="2"/>
        <w:rPr>
          <w:rtl/>
        </w:rPr>
      </w:pPr>
      <w:r w:rsidRPr="0078142D">
        <w:rPr>
          <w:rFonts w:hint="cs"/>
          <w:rtl/>
        </w:rPr>
        <w:t xml:space="preserve">התועלת </w:t>
      </w:r>
      <w:r w:rsidR="006E2B24" w:rsidRPr="0078142D">
        <w:rPr>
          <w:rFonts w:hint="cs"/>
          <w:rtl/>
        </w:rPr>
        <w:t xml:space="preserve">הצפויה </w:t>
      </w:r>
      <w:r w:rsidRPr="0078142D">
        <w:rPr>
          <w:rFonts w:hint="cs"/>
          <w:rtl/>
        </w:rPr>
        <w:t xml:space="preserve">לציבור </w:t>
      </w:r>
      <w:r w:rsidR="00FC080F" w:rsidRPr="0078142D">
        <w:rPr>
          <w:rFonts w:hint="cs"/>
          <w:rtl/>
        </w:rPr>
        <w:t>מהתייעלות המערכת הבנקאית</w:t>
      </w:r>
    </w:p>
    <w:p w:rsidR="003378F0" w:rsidRDefault="00F639A9" w:rsidP="00771E8A">
      <w:pPr>
        <w:rPr>
          <w:rtl/>
        </w:rPr>
      </w:pPr>
      <w:r>
        <w:rPr>
          <w:rFonts w:hint="cs"/>
          <w:rtl/>
        </w:rPr>
        <w:t xml:space="preserve">בטווח הזמן הקצר תהליכי ההתייעלות כרוכים בהשקעה גבוהה מאוד מצד הבנקים ולעיתים </w:t>
      </w:r>
      <w:r w:rsidR="001E587D">
        <w:rPr>
          <w:rFonts w:hint="cs"/>
          <w:rtl/>
        </w:rPr>
        <w:t xml:space="preserve">עלולים להביא </w:t>
      </w:r>
      <w:r>
        <w:rPr>
          <w:rFonts w:hint="cs"/>
          <w:rtl/>
        </w:rPr>
        <w:t xml:space="preserve">לפגיעה </w:t>
      </w:r>
      <w:proofErr w:type="spellStart"/>
      <w:r>
        <w:rPr>
          <w:rFonts w:hint="cs"/>
          <w:rtl/>
        </w:rPr>
        <w:t>מסויימת</w:t>
      </w:r>
      <w:proofErr w:type="spellEnd"/>
      <w:r>
        <w:rPr>
          <w:rFonts w:hint="cs"/>
          <w:rtl/>
        </w:rPr>
        <w:t xml:space="preserve"> בזמינות ובאיכות </w:t>
      </w:r>
      <w:r w:rsidR="00576800">
        <w:rPr>
          <w:rFonts w:hint="cs"/>
          <w:rtl/>
        </w:rPr>
        <w:t>השירותים הבנקאיים</w:t>
      </w:r>
      <w:r w:rsidR="00257DF9">
        <w:rPr>
          <w:rFonts w:hint="cs"/>
          <w:rtl/>
        </w:rPr>
        <w:t>,</w:t>
      </w:r>
      <w:r w:rsidR="00576800">
        <w:rPr>
          <w:rFonts w:hint="cs"/>
          <w:rtl/>
        </w:rPr>
        <w:t xml:space="preserve"> </w:t>
      </w:r>
      <w:r w:rsidR="00CD3A1A">
        <w:rPr>
          <w:rFonts w:hint="cs"/>
          <w:rtl/>
        </w:rPr>
        <w:t xml:space="preserve">כפי </w:t>
      </w:r>
      <w:r w:rsidR="001E587D">
        <w:rPr>
          <w:rFonts w:hint="cs"/>
          <w:rtl/>
        </w:rPr>
        <w:t xml:space="preserve">שהלקוחות </w:t>
      </w:r>
      <w:r w:rsidR="00CD3A1A">
        <w:rPr>
          <w:rFonts w:hint="cs"/>
          <w:rtl/>
        </w:rPr>
        <w:t>הורגלו</w:t>
      </w:r>
      <w:r>
        <w:rPr>
          <w:rFonts w:hint="cs"/>
          <w:rtl/>
        </w:rPr>
        <w:t xml:space="preserve"> </w:t>
      </w:r>
      <w:r w:rsidR="00257DF9">
        <w:rPr>
          <w:rFonts w:hint="cs"/>
          <w:rtl/>
        </w:rPr>
        <w:t>לצרוך אותם</w:t>
      </w:r>
      <w:r w:rsidR="00A04BF3">
        <w:rPr>
          <w:rFonts w:hint="cs"/>
          <w:rtl/>
        </w:rPr>
        <w:t xml:space="preserve"> בעבר</w:t>
      </w:r>
      <w:r>
        <w:rPr>
          <w:rFonts w:hint="cs"/>
          <w:rtl/>
        </w:rPr>
        <w:t xml:space="preserve">. </w:t>
      </w:r>
      <w:r w:rsidR="009B0690">
        <w:rPr>
          <w:rFonts w:hint="cs"/>
          <w:rtl/>
        </w:rPr>
        <w:t xml:space="preserve">עם זאת, </w:t>
      </w:r>
      <w:r w:rsidR="0079792F">
        <w:rPr>
          <w:rFonts w:hint="cs"/>
          <w:rtl/>
        </w:rPr>
        <w:t xml:space="preserve">עם התקדמות </w:t>
      </w:r>
      <w:r w:rsidR="00771E8A">
        <w:rPr>
          <w:rFonts w:hint="cs"/>
          <w:rtl/>
        </w:rPr>
        <w:t>ה</w:t>
      </w:r>
      <w:r>
        <w:rPr>
          <w:rFonts w:hint="cs"/>
          <w:rtl/>
        </w:rPr>
        <w:t xml:space="preserve">תהליך </w:t>
      </w:r>
      <w:r w:rsidR="0079792F">
        <w:rPr>
          <w:rFonts w:hint="cs"/>
          <w:rtl/>
        </w:rPr>
        <w:t xml:space="preserve">הוא </w:t>
      </w:r>
      <w:r>
        <w:rPr>
          <w:rFonts w:hint="cs"/>
          <w:rtl/>
        </w:rPr>
        <w:t xml:space="preserve">צפוי </w:t>
      </w:r>
      <w:r w:rsidR="00AC6EA6">
        <w:rPr>
          <w:rFonts w:hint="cs"/>
          <w:rtl/>
        </w:rPr>
        <w:t>להביא תועלת</w:t>
      </w:r>
      <w:r w:rsidR="00CD3A1A">
        <w:rPr>
          <w:rFonts w:hint="cs"/>
          <w:rtl/>
        </w:rPr>
        <w:t xml:space="preserve"> </w:t>
      </w:r>
      <w:r w:rsidR="00AC6EA6">
        <w:rPr>
          <w:rFonts w:hint="cs"/>
          <w:rtl/>
        </w:rPr>
        <w:t>ל</w:t>
      </w:r>
      <w:r w:rsidR="00CD3A1A">
        <w:rPr>
          <w:rFonts w:hint="cs"/>
          <w:rtl/>
        </w:rPr>
        <w:t xml:space="preserve">ציבור הלקוחות </w:t>
      </w:r>
      <w:r w:rsidR="001C6E11">
        <w:rPr>
          <w:rFonts w:hint="cs"/>
          <w:rtl/>
        </w:rPr>
        <w:t xml:space="preserve">והחוסכים </w:t>
      </w:r>
      <w:r w:rsidR="00CD3A1A">
        <w:rPr>
          <w:rFonts w:hint="cs"/>
          <w:rtl/>
        </w:rPr>
        <w:t>במספר היבטים</w:t>
      </w:r>
      <w:r w:rsidR="00AC6EA6">
        <w:rPr>
          <w:rFonts w:hint="cs"/>
          <w:rtl/>
        </w:rPr>
        <w:t xml:space="preserve">, חלקם בטווח הזמן </w:t>
      </w:r>
      <w:proofErr w:type="spellStart"/>
      <w:r w:rsidR="00AC6EA6">
        <w:rPr>
          <w:rFonts w:hint="cs"/>
          <w:rtl/>
        </w:rPr>
        <w:t>המיידי</w:t>
      </w:r>
      <w:proofErr w:type="spellEnd"/>
      <w:r w:rsidR="00AC6EA6">
        <w:rPr>
          <w:rFonts w:hint="cs"/>
          <w:rtl/>
        </w:rPr>
        <w:t xml:space="preserve"> וחלקם בעתיד הקרוב</w:t>
      </w:r>
      <w:r w:rsidR="00CD3A1A">
        <w:rPr>
          <w:rFonts w:hint="cs"/>
          <w:rtl/>
        </w:rPr>
        <w:t>:</w:t>
      </w:r>
    </w:p>
    <w:p w:rsidR="00F1259A" w:rsidRPr="00F1259A" w:rsidRDefault="00EF008D" w:rsidP="006E02C1">
      <w:pPr>
        <w:pStyle w:val="af0"/>
        <w:numPr>
          <w:ilvl w:val="0"/>
          <w:numId w:val="13"/>
        </w:numPr>
        <w:spacing w:after="0" w:line="360" w:lineRule="auto"/>
        <w:jc w:val="both"/>
        <w:rPr>
          <w:rFonts w:cs="David"/>
        </w:rPr>
      </w:pPr>
      <w:r w:rsidRPr="006E02C1">
        <w:rPr>
          <w:rFonts w:cs="David" w:hint="cs"/>
          <w:sz w:val="24"/>
          <w:szCs w:val="24"/>
          <w:rtl/>
        </w:rPr>
        <w:lastRenderedPageBreak/>
        <w:t>נוחות וחדשנות</w:t>
      </w:r>
      <w:r w:rsidR="005B61EE" w:rsidRPr="006E02C1">
        <w:rPr>
          <w:rFonts w:cs="David" w:hint="cs"/>
          <w:sz w:val="24"/>
          <w:szCs w:val="24"/>
          <w:rtl/>
        </w:rPr>
        <w:t xml:space="preserve"> בשירות</w:t>
      </w:r>
      <w:r w:rsidR="00EA3AA8" w:rsidRPr="006E02C1">
        <w:rPr>
          <w:rFonts w:cs="David" w:hint="cs"/>
          <w:sz w:val="24"/>
          <w:szCs w:val="24"/>
          <w:rtl/>
        </w:rPr>
        <w:t>:</w:t>
      </w:r>
      <w:r w:rsidR="00C96EFE" w:rsidRPr="00F1259A">
        <w:rPr>
          <w:rFonts w:cs="David" w:hint="cs"/>
          <w:sz w:val="24"/>
          <w:szCs w:val="24"/>
          <w:rtl/>
        </w:rPr>
        <w:t xml:space="preserve"> </w:t>
      </w:r>
      <w:r w:rsidR="00932FE8">
        <w:rPr>
          <w:rFonts w:cs="David" w:hint="cs"/>
          <w:sz w:val="24"/>
          <w:szCs w:val="24"/>
          <w:rtl/>
        </w:rPr>
        <w:t>הגידול בהיצע השירותים אותם ניתן לקבל באמצעים טכנולוגיים, בד בבד עם השינוי שחל בטעמי חלק נרחב מן הציבור בשנים האחרונות בנוגע לאופן צריכת השירותים הבנקאיים</w:t>
      </w:r>
      <w:r w:rsidR="008D2E90">
        <w:rPr>
          <w:rFonts w:cs="David" w:hint="cs"/>
          <w:sz w:val="24"/>
          <w:szCs w:val="24"/>
          <w:rtl/>
        </w:rPr>
        <w:t>,</w:t>
      </w:r>
      <w:r w:rsidR="00932FE8">
        <w:rPr>
          <w:rFonts w:cs="David" w:hint="cs"/>
          <w:sz w:val="24"/>
          <w:szCs w:val="24"/>
          <w:rtl/>
        </w:rPr>
        <w:t xml:space="preserve"> </w:t>
      </w:r>
      <w:r w:rsidR="008219EB" w:rsidRPr="00F1259A">
        <w:rPr>
          <w:rFonts w:cs="David" w:hint="cs"/>
          <w:sz w:val="24"/>
          <w:szCs w:val="24"/>
          <w:rtl/>
        </w:rPr>
        <w:t xml:space="preserve">הביא לשימוש הולך וגובר באמצעים טכנולוגיים בתחום הבנקאות ומעבר לבנקאות ישירה, </w:t>
      </w:r>
      <w:r w:rsidR="00F0563F" w:rsidRPr="00F1259A">
        <w:rPr>
          <w:rFonts w:cs="David" w:hint="cs"/>
          <w:sz w:val="24"/>
          <w:szCs w:val="24"/>
          <w:rtl/>
        </w:rPr>
        <w:t>במקביל להפחתת ההגעה לסניפים</w:t>
      </w:r>
      <w:r w:rsidR="008219EB" w:rsidRPr="00F1259A">
        <w:rPr>
          <w:rFonts w:cs="David" w:hint="cs"/>
          <w:sz w:val="24"/>
          <w:szCs w:val="24"/>
          <w:rtl/>
        </w:rPr>
        <w:t xml:space="preserve">. </w:t>
      </w:r>
      <w:r w:rsidR="009B4115" w:rsidRPr="00F1259A">
        <w:rPr>
          <w:rFonts w:cs="David" w:hint="cs"/>
          <w:sz w:val="24"/>
          <w:szCs w:val="24"/>
          <w:rtl/>
        </w:rPr>
        <w:t>המעבר לעולם הבנקאות הדיגיטלית מאפשר נוחות גדולה</w:t>
      </w:r>
      <w:r w:rsidR="008219EB" w:rsidRPr="00F1259A">
        <w:rPr>
          <w:rFonts w:cs="David" w:hint="cs"/>
          <w:sz w:val="24"/>
          <w:szCs w:val="24"/>
          <w:rtl/>
        </w:rPr>
        <w:t xml:space="preserve"> ללקוח הן מבחינת חיסכון בזמן</w:t>
      </w:r>
      <w:r w:rsidR="006E73B2" w:rsidRPr="00F1259A">
        <w:rPr>
          <w:rFonts w:cs="David" w:hint="cs"/>
          <w:sz w:val="24"/>
          <w:szCs w:val="24"/>
          <w:rtl/>
        </w:rPr>
        <w:t>, שכן הוא לא נדרש להגיע לסניף בשעות פתיחתו,</w:t>
      </w:r>
      <w:r w:rsidR="008219EB" w:rsidRPr="00F1259A">
        <w:rPr>
          <w:rFonts w:cs="David" w:hint="cs"/>
          <w:sz w:val="24"/>
          <w:szCs w:val="24"/>
          <w:rtl/>
        </w:rPr>
        <w:t xml:space="preserve"> והן מבחינת חיסכון בעלויות.</w:t>
      </w:r>
      <w:r w:rsidR="001B4E20" w:rsidRPr="00F1259A">
        <w:rPr>
          <w:rFonts w:cs="David" w:hint="cs"/>
          <w:sz w:val="24"/>
          <w:szCs w:val="24"/>
          <w:rtl/>
        </w:rPr>
        <w:t xml:space="preserve"> </w:t>
      </w:r>
      <w:r w:rsidR="00F1259A">
        <w:rPr>
          <w:rFonts w:cs="David" w:hint="cs"/>
          <w:sz w:val="24"/>
          <w:szCs w:val="24"/>
          <w:rtl/>
        </w:rPr>
        <w:t>כבר היום ניתן להבחין במעבר של הלקוחות לבנקאות דיגיטלית, תוך שימוש גובר במכשירים האוטומטיים (</w:t>
      </w:r>
      <w:r w:rsidR="00F1259A">
        <w:rPr>
          <w:rFonts w:cs="David" w:hint="cs"/>
          <w:sz w:val="24"/>
          <w:szCs w:val="24"/>
        </w:rPr>
        <w:t>ATM</w:t>
      </w:r>
      <w:r w:rsidR="00F1259A">
        <w:rPr>
          <w:rFonts w:cs="David" w:hint="cs"/>
          <w:sz w:val="24"/>
          <w:szCs w:val="24"/>
          <w:rtl/>
        </w:rPr>
        <w:t>) לביצוע פעולות שגרתיות מגוונות מבעבר, כגון הפקדת מזומן, הפק</w:t>
      </w:r>
      <w:r w:rsidR="00204F80">
        <w:rPr>
          <w:rFonts w:cs="David" w:hint="cs"/>
          <w:sz w:val="24"/>
          <w:szCs w:val="24"/>
          <w:rtl/>
        </w:rPr>
        <w:t>דת שיקים, נטילת הלוואה, פתיחת ת</w:t>
      </w:r>
      <w:r w:rsidR="00F1259A">
        <w:rPr>
          <w:rFonts w:cs="David" w:hint="cs"/>
          <w:sz w:val="24"/>
          <w:szCs w:val="24"/>
          <w:rtl/>
        </w:rPr>
        <w:t xml:space="preserve">כנית חיסכון ועוד; שימוש גובר באתרי האינטרנט ובאפליקציות בסלולר לביצוע פעולות בנקאיות רבות ומעקב שוטף אחר מצב החשבון; ובשנה האחרונה - מעבר לעולם תשלומים דיגיטלי תוך סליקה עצמאית ואלקטרונית של צ'קים, ושימוש גובר באפליקציות תשלומים שהציעו חלק מהבנקים. השינויים צפויים להימשך והקצב צפוי להתגבר. </w:t>
      </w:r>
    </w:p>
    <w:p w:rsidR="00CD3A1A" w:rsidRPr="00F1259A" w:rsidRDefault="001B37F1" w:rsidP="00650100">
      <w:pPr>
        <w:pStyle w:val="af0"/>
        <w:numPr>
          <w:ilvl w:val="0"/>
          <w:numId w:val="13"/>
        </w:numPr>
        <w:spacing w:after="0" w:line="360" w:lineRule="auto"/>
        <w:jc w:val="both"/>
        <w:rPr>
          <w:rFonts w:cs="David"/>
        </w:rPr>
      </w:pPr>
      <w:r w:rsidRPr="006E02C1">
        <w:rPr>
          <w:rFonts w:cs="David" w:hint="cs"/>
          <w:sz w:val="24"/>
          <w:szCs w:val="24"/>
          <w:rtl/>
        </w:rPr>
        <w:t>הוזלת השירות הבנקאי</w:t>
      </w:r>
      <w:r w:rsidR="00EA3AA8" w:rsidRPr="006E02C1">
        <w:rPr>
          <w:rFonts w:cs="David" w:hint="cs"/>
          <w:sz w:val="24"/>
          <w:szCs w:val="24"/>
          <w:rtl/>
        </w:rPr>
        <w:t>:</w:t>
      </w:r>
      <w:r w:rsidR="00C96EFE" w:rsidRPr="00F1259A">
        <w:rPr>
          <w:rFonts w:cs="David" w:hint="cs"/>
          <w:sz w:val="24"/>
          <w:szCs w:val="24"/>
          <w:rtl/>
        </w:rPr>
        <w:t xml:space="preserve"> השינויים הטכנולוגיים מאפשרים הוזלה משמעותית של עלות השירותים ללקוח.</w:t>
      </w:r>
      <w:r w:rsidR="008372F6" w:rsidRPr="00F1259A">
        <w:rPr>
          <w:rFonts w:cs="David" w:hint="cs"/>
          <w:sz w:val="24"/>
          <w:szCs w:val="24"/>
          <w:rtl/>
        </w:rPr>
        <w:t xml:space="preserve"> </w:t>
      </w:r>
      <w:r w:rsidR="00AD735E" w:rsidRPr="00F1259A">
        <w:rPr>
          <w:rFonts w:cs="David"/>
          <w:sz w:val="24"/>
          <w:szCs w:val="24"/>
          <w:rtl/>
        </w:rPr>
        <w:t xml:space="preserve">עלות </w:t>
      </w:r>
      <w:r w:rsidR="00CA2736" w:rsidRPr="00F1259A">
        <w:rPr>
          <w:rFonts w:cs="David" w:hint="cs"/>
          <w:sz w:val="24"/>
          <w:szCs w:val="24"/>
          <w:rtl/>
        </w:rPr>
        <w:t xml:space="preserve">שירותי חשבון עובר ושב </w:t>
      </w:r>
      <w:r w:rsidR="001A66CB" w:rsidRPr="00F1259A">
        <w:rPr>
          <w:rFonts w:cs="David" w:hint="cs"/>
          <w:sz w:val="24"/>
          <w:szCs w:val="24"/>
          <w:rtl/>
        </w:rPr>
        <w:t xml:space="preserve">הניתנים </w:t>
      </w:r>
      <w:r w:rsidR="00AD735E" w:rsidRPr="00F1259A">
        <w:rPr>
          <w:rFonts w:cs="David"/>
          <w:sz w:val="24"/>
          <w:szCs w:val="24"/>
          <w:rtl/>
        </w:rPr>
        <w:t>ב</w:t>
      </w:r>
      <w:r w:rsidR="001A66CB" w:rsidRPr="00F1259A">
        <w:rPr>
          <w:rFonts w:cs="David" w:hint="cs"/>
          <w:sz w:val="24"/>
          <w:szCs w:val="24"/>
          <w:rtl/>
        </w:rPr>
        <w:t xml:space="preserve">אמצעות </w:t>
      </w:r>
      <w:r w:rsidR="00AD735E" w:rsidRPr="00F1259A">
        <w:rPr>
          <w:rFonts w:cs="David"/>
          <w:sz w:val="24"/>
          <w:szCs w:val="24"/>
          <w:rtl/>
        </w:rPr>
        <w:t>ערוצים ישירים</w:t>
      </w:r>
      <w:r w:rsidR="001A66CB">
        <w:rPr>
          <w:rStyle w:val="ad"/>
          <w:rtl/>
        </w:rPr>
        <w:footnoteReference w:id="4"/>
      </w:r>
      <w:r w:rsidR="00193361" w:rsidRPr="00F1259A">
        <w:rPr>
          <w:rFonts w:cs="David"/>
          <w:sz w:val="24"/>
          <w:szCs w:val="24"/>
          <w:rtl/>
        </w:rPr>
        <w:t xml:space="preserve"> </w:t>
      </w:r>
      <w:r w:rsidR="00AD735E" w:rsidRPr="00F1259A">
        <w:rPr>
          <w:rFonts w:cs="David"/>
          <w:sz w:val="24"/>
          <w:szCs w:val="24"/>
          <w:rtl/>
        </w:rPr>
        <w:t xml:space="preserve">נמוכה </w:t>
      </w:r>
      <w:r w:rsidR="00AD735E" w:rsidRPr="005A4EF6">
        <w:rPr>
          <w:rFonts w:cs="David" w:hint="cs"/>
          <w:sz w:val="24"/>
          <w:szCs w:val="24"/>
          <w:rtl/>
        </w:rPr>
        <w:t xml:space="preserve">כיום </w:t>
      </w:r>
      <w:r w:rsidR="00AD735E" w:rsidRPr="005A4EF6">
        <w:rPr>
          <w:rFonts w:cs="David"/>
          <w:sz w:val="24"/>
          <w:szCs w:val="24"/>
          <w:rtl/>
        </w:rPr>
        <w:t xml:space="preserve">בכ-75% מהעלות של אותם </w:t>
      </w:r>
      <w:r w:rsidR="00F12B8D" w:rsidRPr="005A4EF6">
        <w:rPr>
          <w:rFonts w:cs="David" w:hint="cs"/>
          <w:sz w:val="24"/>
          <w:szCs w:val="24"/>
          <w:rtl/>
        </w:rPr>
        <w:t>ה</w:t>
      </w:r>
      <w:r w:rsidR="00AD735E" w:rsidRPr="005A4EF6">
        <w:rPr>
          <w:rFonts w:cs="David"/>
          <w:sz w:val="24"/>
          <w:szCs w:val="24"/>
          <w:rtl/>
        </w:rPr>
        <w:t xml:space="preserve">שירותים </w:t>
      </w:r>
      <w:r w:rsidR="00F12B8D" w:rsidRPr="005A4EF6">
        <w:rPr>
          <w:rFonts w:cs="David" w:hint="cs"/>
          <w:sz w:val="24"/>
          <w:szCs w:val="24"/>
          <w:rtl/>
        </w:rPr>
        <w:t xml:space="preserve">הניתנים </w:t>
      </w:r>
      <w:r w:rsidR="00AD735E" w:rsidRPr="005A4EF6">
        <w:rPr>
          <w:rFonts w:cs="David"/>
          <w:sz w:val="24"/>
          <w:szCs w:val="24"/>
          <w:rtl/>
        </w:rPr>
        <w:t xml:space="preserve">באמצעות פקיד. </w:t>
      </w:r>
      <w:r w:rsidR="001E587D" w:rsidRPr="005A4EF6">
        <w:rPr>
          <w:rFonts w:cs="David" w:hint="cs"/>
          <w:sz w:val="24"/>
          <w:szCs w:val="24"/>
          <w:rtl/>
        </w:rPr>
        <w:t>ב</w:t>
      </w:r>
      <w:r w:rsidR="00CA2736" w:rsidRPr="005A4EF6">
        <w:rPr>
          <w:rFonts w:cs="David" w:hint="cs"/>
          <w:sz w:val="24"/>
          <w:szCs w:val="24"/>
          <w:rtl/>
        </w:rPr>
        <w:t xml:space="preserve">חודש נובמבר השנה </w:t>
      </w:r>
      <w:r w:rsidR="00650100">
        <w:rPr>
          <w:rFonts w:cs="David" w:hint="cs"/>
          <w:sz w:val="24"/>
          <w:szCs w:val="24"/>
          <w:rtl/>
        </w:rPr>
        <w:t>נכנסו</w:t>
      </w:r>
      <w:r w:rsidR="00650100" w:rsidRPr="005A4EF6">
        <w:rPr>
          <w:rFonts w:cs="David" w:hint="cs"/>
          <w:sz w:val="24"/>
          <w:szCs w:val="24"/>
          <w:rtl/>
        </w:rPr>
        <w:t xml:space="preserve"> </w:t>
      </w:r>
      <w:r w:rsidR="0078142D" w:rsidRPr="005A4EF6">
        <w:rPr>
          <w:rFonts w:cs="David" w:hint="cs"/>
          <w:sz w:val="24"/>
          <w:szCs w:val="24"/>
          <w:rtl/>
        </w:rPr>
        <w:t>שינויי</w:t>
      </w:r>
      <w:r w:rsidR="00AD735E" w:rsidRPr="005A4EF6">
        <w:rPr>
          <w:rFonts w:cs="David"/>
          <w:sz w:val="24"/>
          <w:szCs w:val="24"/>
          <w:rtl/>
        </w:rPr>
        <w:t xml:space="preserve"> חקיקה בתחום העמלות</w:t>
      </w:r>
      <w:r w:rsidR="00CA2736" w:rsidRPr="005A4EF6">
        <w:rPr>
          <w:rFonts w:cs="David" w:hint="cs"/>
          <w:sz w:val="24"/>
          <w:szCs w:val="24"/>
          <w:rtl/>
        </w:rPr>
        <w:t>, שיזם הפיקוח על הבנקים,</w:t>
      </w:r>
      <w:r w:rsidR="00AD735E" w:rsidRPr="005A4EF6">
        <w:rPr>
          <w:rFonts w:cs="David"/>
          <w:sz w:val="24"/>
          <w:szCs w:val="24"/>
          <w:rtl/>
        </w:rPr>
        <w:t xml:space="preserve"> </w:t>
      </w:r>
      <w:r w:rsidR="0078142D" w:rsidRPr="005A4EF6">
        <w:rPr>
          <w:rFonts w:cs="David" w:hint="cs"/>
          <w:sz w:val="24"/>
          <w:szCs w:val="24"/>
          <w:rtl/>
        </w:rPr>
        <w:t xml:space="preserve">לפיהם </w:t>
      </w:r>
      <w:r w:rsidR="00AD735E" w:rsidRPr="005A4EF6">
        <w:rPr>
          <w:rFonts w:cs="David" w:hint="cs"/>
          <w:sz w:val="24"/>
          <w:szCs w:val="24"/>
          <w:rtl/>
        </w:rPr>
        <w:t>ה</w:t>
      </w:r>
      <w:r w:rsidR="00AD735E" w:rsidRPr="005A4EF6">
        <w:rPr>
          <w:rFonts w:cs="David"/>
          <w:sz w:val="24"/>
          <w:szCs w:val="24"/>
          <w:rtl/>
        </w:rPr>
        <w:t xml:space="preserve">בנקים </w:t>
      </w:r>
      <w:r w:rsidR="0078142D" w:rsidRPr="005A4EF6">
        <w:rPr>
          <w:rFonts w:cs="David" w:hint="cs"/>
          <w:sz w:val="24"/>
          <w:szCs w:val="24"/>
          <w:rtl/>
        </w:rPr>
        <w:t>נ</w:t>
      </w:r>
      <w:r w:rsidR="00AD735E" w:rsidRPr="005A4EF6">
        <w:rPr>
          <w:rFonts w:cs="David" w:hint="cs"/>
          <w:sz w:val="24"/>
          <w:szCs w:val="24"/>
          <w:rtl/>
        </w:rPr>
        <w:t>דרשו</w:t>
      </w:r>
      <w:r w:rsidR="00AD735E" w:rsidRPr="005A4EF6">
        <w:rPr>
          <w:rFonts w:cs="David"/>
          <w:sz w:val="24"/>
          <w:szCs w:val="24"/>
          <w:rtl/>
        </w:rPr>
        <w:t xml:space="preserve"> להעניק</w:t>
      </w:r>
      <w:r w:rsidR="00AD735E" w:rsidRPr="00F1259A">
        <w:rPr>
          <w:rFonts w:cs="David"/>
          <w:sz w:val="24"/>
          <w:szCs w:val="24"/>
          <w:rtl/>
        </w:rPr>
        <w:t xml:space="preserve"> </w:t>
      </w:r>
      <w:r w:rsidR="00AD735E" w:rsidRPr="00F1259A">
        <w:rPr>
          <w:rFonts w:cs="David" w:hint="cs"/>
          <w:sz w:val="24"/>
          <w:szCs w:val="24"/>
          <w:rtl/>
        </w:rPr>
        <w:t>תעריף מוזל</w:t>
      </w:r>
      <w:r w:rsidR="00A52F88" w:rsidRPr="00F1259A">
        <w:rPr>
          <w:rFonts w:cs="David"/>
          <w:sz w:val="24"/>
          <w:szCs w:val="24"/>
          <w:rtl/>
        </w:rPr>
        <w:t xml:space="preserve"> </w:t>
      </w:r>
      <w:r w:rsidR="00A52F88" w:rsidRPr="00F1259A">
        <w:rPr>
          <w:rFonts w:cs="David" w:hint="cs"/>
          <w:sz w:val="24"/>
          <w:szCs w:val="24"/>
          <w:rtl/>
        </w:rPr>
        <w:t>עבור</w:t>
      </w:r>
      <w:r w:rsidR="00AD735E" w:rsidRPr="00F1259A">
        <w:rPr>
          <w:rFonts w:cs="David"/>
          <w:sz w:val="24"/>
          <w:szCs w:val="24"/>
          <w:rtl/>
        </w:rPr>
        <w:t xml:space="preserve"> </w:t>
      </w:r>
      <w:r w:rsidR="00070ACB" w:rsidRPr="00F1259A">
        <w:rPr>
          <w:rFonts w:cs="David" w:hint="cs"/>
          <w:b/>
          <w:bCs/>
          <w:sz w:val="24"/>
          <w:szCs w:val="24"/>
          <w:rtl/>
        </w:rPr>
        <w:t>כל</w:t>
      </w:r>
      <w:r w:rsidR="00070ACB" w:rsidRPr="00F1259A">
        <w:rPr>
          <w:rFonts w:cs="David" w:hint="cs"/>
          <w:sz w:val="24"/>
          <w:szCs w:val="24"/>
          <w:rtl/>
        </w:rPr>
        <w:t xml:space="preserve"> ה</w:t>
      </w:r>
      <w:r w:rsidR="00AD735E" w:rsidRPr="00F1259A">
        <w:rPr>
          <w:rFonts w:cs="David"/>
          <w:sz w:val="24"/>
          <w:szCs w:val="24"/>
          <w:rtl/>
        </w:rPr>
        <w:t>שירות</w:t>
      </w:r>
      <w:r w:rsidR="00A52F88" w:rsidRPr="00F1259A">
        <w:rPr>
          <w:rFonts w:cs="David" w:hint="cs"/>
          <w:sz w:val="24"/>
          <w:szCs w:val="24"/>
          <w:rtl/>
        </w:rPr>
        <w:t>ים</w:t>
      </w:r>
      <w:r w:rsidR="00AD735E" w:rsidRPr="00F1259A">
        <w:rPr>
          <w:rFonts w:cs="David" w:hint="cs"/>
          <w:sz w:val="24"/>
          <w:szCs w:val="24"/>
          <w:rtl/>
        </w:rPr>
        <w:t xml:space="preserve"> </w:t>
      </w:r>
      <w:r w:rsidR="00A52F88" w:rsidRPr="00F1259A">
        <w:rPr>
          <w:rFonts w:cs="David"/>
          <w:sz w:val="24"/>
          <w:szCs w:val="24"/>
          <w:rtl/>
        </w:rPr>
        <w:t>הנית</w:t>
      </w:r>
      <w:r w:rsidR="00A52F88" w:rsidRPr="00F1259A">
        <w:rPr>
          <w:rFonts w:cs="David" w:hint="cs"/>
          <w:sz w:val="24"/>
          <w:szCs w:val="24"/>
          <w:rtl/>
        </w:rPr>
        <w:t>נים</w:t>
      </w:r>
      <w:r w:rsidR="00AD735E" w:rsidRPr="00F1259A">
        <w:rPr>
          <w:rFonts w:cs="David"/>
          <w:sz w:val="24"/>
          <w:szCs w:val="24"/>
          <w:rtl/>
        </w:rPr>
        <w:t xml:space="preserve"> באמצעים ישירים</w:t>
      </w:r>
      <w:r w:rsidR="00A52F88" w:rsidRPr="00F1259A">
        <w:rPr>
          <w:rFonts w:cs="David"/>
          <w:sz w:val="24"/>
          <w:szCs w:val="24"/>
          <w:rtl/>
        </w:rPr>
        <w:t>, בהשוואה לתעריף הנגבה בגין אות</w:t>
      </w:r>
      <w:r w:rsidR="00A52F88" w:rsidRPr="00F1259A">
        <w:rPr>
          <w:rFonts w:cs="David" w:hint="cs"/>
          <w:sz w:val="24"/>
          <w:szCs w:val="24"/>
          <w:rtl/>
        </w:rPr>
        <w:t>ם</w:t>
      </w:r>
      <w:r w:rsidR="00AD735E" w:rsidRPr="00F1259A">
        <w:rPr>
          <w:rFonts w:cs="David"/>
          <w:sz w:val="24"/>
          <w:szCs w:val="24"/>
          <w:rtl/>
        </w:rPr>
        <w:t xml:space="preserve"> השירות</w:t>
      </w:r>
      <w:r w:rsidR="00A52F88" w:rsidRPr="00F1259A">
        <w:rPr>
          <w:rFonts w:cs="David" w:hint="cs"/>
          <w:sz w:val="24"/>
          <w:szCs w:val="24"/>
          <w:rtl/>
        </w:rPr>
        <w:t>ים</w:t>
      </w:r>
      <w:r w:rsidR="00AD735E" w:rsidRPr="00F1259A">
        <w:rPr>
          <w:rFonts w:cs="David"/>
          <w:sz w:val="24"/>
          <w:szCs w:val="24"/>
          <w:rtl/>
        </w:rPr>
        <w:t xml:space="preserve"> </w:t>
      </w:r>
      <w:r w:rsidR="00C340AC" w:rsidRPr="00F1259A">
        <w:rPr>
          <w:rFonts w:cs="David" w:hint="cs"/>
          <w:sz w:val="24"/>
          <w:szCs w:val="24"/>
          <w:rtl/>
        </w:rPr>
        <w:t>הניתנים</w:t>
      </w:r>
      <w:r w:rsidR="00AD735E" w:rsidRPr="00F1259A">
        <w:rPr>
          <w:rFonts w:cs="David" w:hint="cs"/>
          <w:sz w:val="24"/>
          <w:szCs w:val="24"/>
          <w:rtl/>
        </w:rPr>
        <w:t xml:space="preserve"> </w:t>
      </w:r>
      <w:r w:rsidR="00AD735E" w:rsidRPr="00F1259A">
        <w:rPr>
          <w:rFonts w:cs="David"/>
          <w:sz w:val="24"/>
          <w:szCs w:val="24"/>
          <w:rtl/>
        </w:rPr>
        <w:t xml:space="preserve">באמצעות </w:t>
      </w:r>
      <w:r w:rsidR="00A52F88" w:rsidRPr="00F1259A">
        <w:rPr>
          <w:rFonts w:cs="David"/>
          <w:sz w:val="24"/>
          <w:szCs w:val="24"/>
          <w:rtl/>
        </w:rPr>
        <w:t>פקיד</w:t>
      </w:r>
      <w:r w:rsidR="004B64EE" w:rsidRPr="00F1259A">
        <w:rPr>
          <w:rFonts w:cs="David" w:hint="cs"/>
          <w:sz w:val="24"/>
          <w:szCs w:val="24"/>
          <w:rtl/>
        </w:rPr>
        <w:t>,</w:t>
      </w:r>
      <w:r w:rsidR="00AD735E" w:rsidRPr="00F1259A">
        <w:rPr>
          <w:rFonts w:cs="David"/>
          <w:sz w:val="24"/>
          <w:szCs w:val="24"/>
          <w:rtl/>
        </w:rPr>
        <w:t xml:space="preserve"> </w:t>
      </w:r>
      <w:r w:rsidR="002C2366" w:rsidRPr="00F1259A">
        <w:rPr>
          <w:rFonts w:cs="David" w:hint="cs"/>
          <w:sz w:val="24"/>
          <w:szCs w:val="24"/>
          <w:rtl/>
        </w:rPr>
        <w:t>ו</w:t>
      </w:r>
      <w:r w:rsidR="00A52F88" w:rsidRPr="00F1259A">
        <w:rPr>
          <w:rFonts w:cs="David" w:hint="cs"/>
          <w:sz w:val="24"/>
          <w:szCs w:val="24"/>
          <w:rtl/>
        </w:rPr>
        <w:t xml:space="preserve">להציג </w:t>
      </w:r>
      <w:r w:rsidR="002C2366" w:rsidRPr="00F1259A">
        <w:rPr>
          <w:rFonts w:cs="David"/>
          <w:sz w:val="24"/>
          <w:szCs w:val="24"/>
          <w:rtl/>
        </w:rPr>
        <w:t>השוואה בין תעריפי</w:t>
      </w:r>
      <w:r w:rsidR="004B64EE" w:rsidRPr="00F1259A">
        <w:rPr>
          <w:rFonts w:cs="David" w:hint="cs"/>
          <w:sz w:val="24"/>
          <w:szCs w:val="24"/>
          <w:rtl/>
        </w:rPr>
        <w:t>ם אלה.</w:t>
      </w:r>
    </w:p>
    <w:p w:rsidR="00C60A28" w:rsidRPr="00C60A28" w:rsidRDefault="00EA3AA8" w:rsidP="0015049B">
      <w:pPr>
        <w:pStyle w:val="af0"/>
        <w:numPr>
          <w:ilvl w:val="0"/>
          <w:numId w:val="13"/>
        </w:numPr>
        <w:spacing w:after="120" w:line="360" w:lineRule="auto"/>
        <w:jc w:val="both"/>
      </w:pPr>
      <w:r w:rsidRPr="006E02C1">
        <w:rPr>
          <w:rFonts w:cs="David" w:hint="cs"/>
          <w:sz w:val="24"/>
          <w:szCs w:val="24"/>
          <w:rtl/>
        </w:rPr>
        <w:t>הכנסות</w:t>
      </w:r>
      <w:r w:rsidR="005F585A" w:rsidRPr="006E02C1">
        <w:rPr>
          <w:rFonts w:cs="David" w:hint="cs"/>
          <w:sz w:val="24"/>
          <w:szCs w:val="24"/>
          <w:rtl/>
        </w:rPr>
        <w:t xml:space="preserve"> </w:t>
      </w:r>
      <w:r w:rsidR="00CF030D" w:rsidRPr="006E02C1">
        <w:rPr>
          <w:rFonts w:cs="David" w:hint="cs"/>
          <w:sz w:val="24"/>
          <w:szCs w:val="24"/>
          <w:rtl/>
        </w:rPr>
        <w:t>ל</w:t>
      </w:r>
      <w:r w:rsidR="001B37F1" w:rsidRPr="006E02C1">
        <w:rPr>
          <w:rFonts w:cs="David" w:hint="cs"/>
          <w:sz w:val="24"/>
          <w:szCs w:val="24"/>
          <w:rtl/>
        </w:rPr>
        <w:t>ציבור מחזיקי מניות הבנקים</w:t>
      </w:r>
      <w:r w:rsidR="00A85AB7" w:rsidRPr="006E02C1">
        <w:rPr>
          <w:rFonts w:cs="David" w:hint="cs"/>
          <w:sz w:val="24"/>
          <w:szCs w:val="24"/>
          <w:rtl/>
        </w:rPr>
        <w:t>:</w:t>
      </w:r>
      <w:r w:rsidR="00CF030D" w:rsidRPr="00C60A28">
        <w:rPr>
          <w:rFonts w:cs="David" w:hint="cs"/>
          <w:sz w:val="24"/>
          <w:szCs w:val="24"/>
          <w:rtl/>
        </w:rPr>
        <w:t xml:space="preserve"> </w:t>
      </w:r>
      <w:r w:rsidR="001D749B" w:rsidRPr="00C60A28">
        <w:rPr>
          <w:rFonts w:cs="David" w:hint="cs"/>
          <w:sz w:val="24"/>
          <w:szCs w:val="24"/>
          <w:rtl/>
        </w:rPr>
        <w:t xml:space="preserve">הציבור </w:t>
      </w:r>
      <w:r w:rsidR="00CA2736" w:rsidRPr="00C60A28">
        <w:rPr>
          <w:rFonts w:cs="David" w:hint="cs"/>
          <w:sz w:val="24"/>
          <w:szCs w:val="24"/>
          <w:rtl/>
        </w:rPr>
        <w:t xml:space="preserve">הרחב </w:t>
      </w:r>
      <w:r w:rsidR="006569DC" w:rsidRPr="00C60A28">
        <w:rPr>
          <w:rFonts w:cs="David" w:hint="cs"/>
          <w:sz w:val="24"/>
          <w:szCs w:val="24"/>
          <w:rtl/>
        </w:rPr>
        <w:t xml:space="preserve">מחזיק בסה"כ </w:t>
      </w:r>
      <w:r w:rsidR="00C6566F">
        <w:rPr>
          <w:rFonts w:cs="David" w:hint="cs"/>
          <w:sz w:val="24"/>
          <w:szCs w:val="24"/>
          <w:rtl/>
        </w:rPr>
        <w:t>ב</w:t>
      </w:r>
      <w:r w:rsidR="006569DC" w:rsidRPr="00C60A28">
        <w:rPr>
          <w:rFonts w:cs="David" w:hint="cs"/>
          <w:sz w:val="24"/>
          <w:szCs w:val="24"/>
          <w:rtl/>
        </w:rPr>
        <w:t xml:space="preserve">כ-80% ממניות הבנקים, </w:t>
      </w:r>
      <w:r w:rsidR="00BE77C2">
        <w:rPr>
          <w:rFonts w:cs="David" w:hint="cs"/>
          <w:sz w:val="24"/>
          <w:szCs w:val="24"/>
          <w:rtl/>
        </w:rPr>
        <w:t xml:space="preserve">הן </w:t>
      </w:r>
      <w:r w:rsidR="006569DC" w:rsidRPr="00C60A28">
        <w:rPr>
          <w:rFonts w:cs="David" w:hint="cs"/>
          <w:sz w:val="24"/>
          <w:szCs w:val="24"/>
          <w:rtl/>
        </w:rPr>
        <w:t>בצורה ישירה ו</w:t>
      </w:r>
      <w:r w:rsidR="00BE77C2">
        <w:rPr>
          <w:rFonts w:cs="David" w:hint="cs"/>
          <w:sz w:val="24"/>
          <w:szCs w:val="24"/>
          <w:rtl/>
        </w:rPr>
        <w:t xml:space="preserve">הן </w:t>
      </w:r>
      <w:r w:rsidR="006569DC" w:rsidRPr="00C60A28">
        <w:rPr>
          <w:rFonts w:cs="David" w:hint="cs"/>
          <w:sz w:val="24"/>
          <w:szCs w:val="24"/>
          <w:rtl/>
        </w:rPr>
        <w:t>דרך הגופים המוסדיים</w:t>
      </w:r>
      <w:r w:rsidR="005F585A" w:rsidRPr="00C60A28">
        <w:rPr>
          <w:rFonts w:cs="David" w:hint="cs"/>
          <w:sz w:val="24"/>
          <w:szCs w:val="24"/>
          <w:rtl/>
        </w:rPr>
        <w:t xml:space="preserve"> </w:t>
      </w:r>
      <w:r w:rsidR="00101BF9" w:rsidRPr="00C60A28">
        <w:rPr>
          <w:rFonts w:cs="David" w:hint="cs"/>
          <w:sz w:val="24"/>
          <w:szCs w:val="24"/>
          <w:rtl/>
        </w:rPr>
        <w:t>ה</w:t>
      </w:r>
      <w:r w:rsidR="00CF030D" w:rsidRPr="00C60A28">
        <w:rPr>
          <w:rFonts w:cs="David" w:hint="cs"/>
          <w:sz w:val="24"/>
          <w:szCs w:val="24"/>
          <w:rtl/>
        </w:rPr>
        <w:t>מנהל</w:t>
      </w:r>
      <w:r w:rsidR="00A04BF3" w:rsidRPr="00C60A28">
        <w:rPr>
          <w:rFonts w:cs="David" w:hint="cs"/>
          <w:sz w:val="24"/>
          <w:szCs w:val="24"/>
          <w:rtl/>
        </w:rPr>
        <w:t>ים את חסכונות הציבור לטווח ארוך</w:t>
      </w:r>
      <w:r w:rsidR="005F585A" w:rsidRPr="00C60A28">
        <w:rPr>
          <w:rFonts w:cs="David" w:hint="cs"/>
          <w:sz w:val="24"/>
          <w:szCs w:val="24"/>
          <w:rtl/>
        </w:rPr>
        <w:t xml:space="preserve">, </w:t>
      </w:r>
      <w:r w:rsidR="006569DC" w:rsidRPr="00C60A28">
        <w:rPr>
          <w:rFonts w:cs="David" w:hint="cs"/>
          <w:sz w:val="24"/>
          <w:szCs w:val="24"/>
          <w:rtl/>
        </w:rPr>
        <w:t xml:space="preserve">כך שהוא </w:t>
      </w:r>
      <w:r w:rsidR="006476A0" w:rsidRPr="00C60A28">
        <w:rPr>
          <w:rFonts w:cs="David" w:hint="cs"/>
          <w:sz w:val="24"/>
          <w:szCs w:val="24"/>
          <w:rtl/>
        </w:rPr>
        <w:t>מ</w:t>
      </w:r>
      <w:r w:rsidR="00CA2736" w:rsidRPr="00C60A28">
        <w:rPr>
          <w:rFonts w:cs="David" w:hint="cs"/>
          <w:sz w:val="24"/>
          <w:szCs w:val="24"/>
          <w:rtl/>
        </w:rPr>
        <w:t xml:space="preserve">רוויח </w:t>
      </w:r>
      <w:r w:rsidR="005F585A" w:rsidRPr="00C60A28">
        <w:rPr>
          <w:rFonts w:cs="David" w:hint="cs"/>
          <w:sz w:val="24"/>
          <w:szCs w:val="24"/>
          <w:rtl/>
        </w:rPr>
        <w:t>מ</w:t>
      </w:r>
      <w:r w:rsidR="0084109F" w:rsidRPr="00C60A28">
        <w:rPr>
          <w:rFonts w:cs="David" w:hint="cs"/>
          <w:sz w:val="24"/>
          <w:szCs w:val="24"/>
          <w:rtl/>
        </w:rPr>
        <w:t>גידול ב</w:t>
      </w:r>
      <w:r w:rsidR="005F585A" w:rsidRPr="00C60A28">
        <w:rPr>
          <w:rFonts w:cs="David" w:hint="cs"/>
          <w:sz w:val="24"/>
          <w:szCs w:val="24"/>
          <w:rtl/>
        </w:rPr>
        <w:t xml:space="preserve">רווחי הבנקים כתוצאה מתהליך ההתייעלות, </w:t>
      </w:r>
      <w:r w:rsidR="00CA2736" w:rsidRPr="00C60A28">
        <w:rPr>
          <w:rFonts w:cs="David" w:hint="cs"/>
          <w:sz w:val="24"/>
          <w:szCs w:val="24"/>
          <w:rtl/>
        </w:rPr>
        <w:t xml:space="preserve">גם </w:t>
      </w:r>
      <w:r w:rsidR="005F585A" w:rsidRPr="00C60A28">
        <w:rPr>
          <w:rFonts w:cs="David" w:hint="cs"/>
          <w:sz w:val="24"/>
          <w:szCs w:val="24"/>
          <w:rtl/>
        </w:rPr>
        <w:t xml:space="preserve">דרך </w:t>
      </w:r>
      <w:r w:rsidR="002D7B63" w:rsidRPr="00C60A28">
        <w:rPr>
          <w:rFonts w:cs="David" w:hint="cs"/>
          <w:sz w:val="24"/>
          <w:szCs w:val="24"/>
          <w:rtl/>
        </w:rPr>
        <w:t xml:space="preserve">עליית </w:t>
      </w:r>
      <w:r w:rsidR="005F585A" w:rsidRPr="00C60A28">
        <w:rPr>
          <w:rFonts w:cs="David" w:hint="cs"/>
          <w:sz w:val="24"/>
          <w:szCs w:val="24"/>
          <w:rtl/>
        </w:rPr>
        <w:t>תשלומי הדיבידנד</w:t>
      </w:r>
      <w:r w:rsidR="00BE77C2">
        <w:rPr>
          <w:rFonts w:cs="David" w:hint="cs"/>
          <w:sz w:val="24"/>
          <w:szCs w:val="24"/>
          <w:rtl/>
        </w:rPr>
        <w:t xml:space="preserve"> </w:t>
      </w:r>
      <w:r w:rsidR="006476A0" w:rsidRPr="00C60A28">
        <w:rPr>
          <w:rFonts w:cs="David" w:hint="cs"/>
          <w:sz w:val="24"/>
          <w:szCs w:val="24"/>
          <w:rtl/>
        </w:rPr>
        <w:t>- עליה שחלה בשנה האחרונה</w:t>
      </w:r>
      <w:r w:rsidR="005F585A" w:rsidRPr="00C60A28">
        <w:rPr>
          <w:rFonts w:cs="David" w:hint="cs"/>
          <w:sz w:val="24"/>
          <w:szCs w:val="24"/>
          <w:rtl/>
        </w:rPr>
        <w:t>.</w:t>
      </w:r>
      <w:r w:rsidR="00FF52DC" w:rsidRPr="00C60A28">
        <w:rPr>
          <w:rFonts w:cs="David" w:hint="cs"/>
          <w:sz w:val="24"/>
          <w:szCs w:val="24"/>
          <w:rtl/>
        </w:rPr>
        <w:t xml:space="preserve"> כך</w:t>
      </w:r>
      <w:r w:rsidR="001D749B" w:rsidRPr="00C60A28">
        <w:rPr>
          <w:rFonts w:cs="David" w:hint="cs"/>
          <w:sz w:val="24"/>
          <w:szCs w:val="24"/>
          <w:rtl/>
        </w:rPr>
        <w:t xml:space="preserve"> למשל</w:t>
      </w:r>
      <w:r w:rsidR="00FF52DC" w:rsidRPr="00C60A28">
        <w:rPr>
          <w:rFonts w:cs="David" w:hint="cs"/>
          <w:sz w:val="24"/>
          <w:szCs w:val="24"/>
          <w:rtl/>
        </w:rPr>
        <w:t xml:space="preserve">, עבור רווחי הרבעון השני של 2017 חילקו הבנקים במערכת דיבידנד </w:t>
      </w:r>
      <w:r w:rsidR="00CF030D" w:rsidRPr="00C60A28">
        <w:rPr>
          <w:rFonts w:cs="David" w:hint="cs"/>
          <w:sz w:val="24"/>
          <w:szCs w:val="24"/>
          <w:rtl/>
        </w:rPr>
        <w:t xml:space="preserve">בהיקף של </w:t>
      </w:r>
      <w:r w:rsidR="00FF52DC" w:rsidRPr="00C60A28">
        <w:rPr>
          <w:rFonts w:cs="David" w:hint="cs"/>
          <w:sz w:val="24"/>
          <w:szCs w:val="24"/>
          <w:rtl/>
        </w:rPr>
        <w:t xml:space="preserve">כ-700 מיליוני </w:t>
      </w:r>
      <w:r w:rsidR="00BE77C2">
        <w:rPr>
          <w:rFonts w:cs="David" w:hint="cs"/>
          <w:sz w:val="24"/>
          <w:szCs w:val="24"/>
          <w:rtl/>
        </w:rPr>
        <w:t>ש"ח</w:t>
      </w:r>
      <w:r w:rsidR="00101BF9" w:rsidRPr="00C60A28">
        <w:rPr>
          <w:rFonts w:cs="David" w:hint="cs"/>
          <w:sz w:val="24"/>
          <w:szCs w:val="24"/>
          <w:rtl/>
        </w:rPr>
        <w:t>, בשיעור של 25% מהרווח הנקי</w:t>
      </w:r>
      <w:r w:rsidR="006476A0" w:rsidRPr="00C60A28">
        <w:rPr>
          <w:rFonts w:cs="David" w:hint="cs"/>
          <w:sz w:val="24"/>
          <w:szCs w:val="24"/>
          <w:rtl/>
        </w:rPr>
        <w:t xml:space="preserve">, שיעור </w:t>
      </w:r>
      <w:r w:rsidR="0015049B" w:rsidRPr="00C60A28">
        <w:rPr>
          <w:rFonts w:cs="David" w:hint="cs"/>
          <w:sz w:val="24"/>
          <w:szCs w:val="24"/>
          <w:rtl/>
        </w:rPr>
        <w:t xml:space="preserve">גבוה </w:t>
      </w:r>
      <w:r w:rsidR="0015049B">
        <w:rPr>
          <w:rFonts w:cs="David" w:hint="cs"/>
          <w:sz w:val="24"/>
          <w:szCs w:val="24"/>
          <w:rtl/>
        </w:rPr>
        <w:t>בהשוואה</w:t>
      </w:r>
      <w:r w:rsidR="006476A0" w:rsidRPr="00C60A28">
        <w:rPr>
          <w:rFonts w:cs="David" w:hint="cs"/>
          <w:sz w:val="24"/>
          <w:szCs w:val="24"/>
          <w:rtl/>
        </w:rPr>
        <w:t xml:space="preserve"> </w:t>
      </w:r>
      <w:r w:rsidR="0015049B">
        <w:rPr>
          <w:rFonts w:cs="David" w:hint="cs"/>
          <w:sz w:val="24"/>
          <w:szCs w:val="24"/>
          <w:rtl/>
        </w:rPr>
        <w:t>ל</w:t>
      </w:r>
      <w:r w:rsidR="006476A0" w:rsidRPr="00C60A28">
        <w:rPr>
          <w:rFonts w:cs="David" w:hint="cs"/>
          <w:sz w:val="24"/>
          <w:szCs w:val="24"/>
          <w:rtl/>
        </w:rPr>
        <w:t>שנים האחרונות</w:t>
      </w:r>
      <w:r w:rsidR="00FF52DC" w:rsidRPr="00C60A28">
        <w:rPr>
          <w:rFonts w:cs="David" w:hint="cs"/>
          <w:sz w:val="24"/>
          <w:szCs w:val="24"/>
          <w:rtl/>
        </w:rPr>
        <w:t>.</w:t>
      </w:r>
      <w:r w:rsidR="005F585A" w:rsidRPr="00C60A28">
        <w:rPr>
          <w:rFonts w:cs="David" w:hint="cs"/>
          <w:sz w:val="24"/>
          <w:szCs w:val="24"/>
          <w:rtl/>
        </w:rPr>
        <w:t xml:space="preserve"> </w:t>
      </w:r>
    </w:p>
    <w:p w:rsidR="00FD4461" w:rsidRPr="00C60A28" w:rsidRDefault="00FD4461" w:rsidP="00545F61">
      <w:pPr>
        <w:pStyle w:val="af0"/>
        <w:spacing w:after="120" w:line="360" w:lineRule="auto"/>
        <w:ind w:left="357"/>
        <w:rPr>
          <w:rFonts w:cs="David"/>
          <w:sz w:val="24"/>
          <w:szCs w:val="24"/>
          <w:rtl/>
        </w:rPr>
      </w:pPr>
    </w:p>
    <w:p w:rsidR="003378F0" w:rsidRPr="00A04BF3" w:rsidRDefault="00506509" w:rsidP="006E02C1">
      <w:pPr>
        <w:pStyle w:val="2"/>
        <w:rPr>
          <w:rtl/>
        </w:rPr>
      </w:pPr>
      <w:r w:rsidRPr="00A04BF3">
        <w:rPr>
          <w:rFonts w:hint="cs"/>
          <w:rtl/>
        </w:rPr>
        <w:t xml:space="preserve">סגירת סניפים וצמצום עמדות </w:t>
      </w:r>
      <w:proofErr w:type="spellStart"/>
      <w:r w:rsidRPr="00A04BF3">
        <w:rPr>
          <w:rFonts w:hint="cs"/>
          <w:rtl/>
        </w:rPr>
        <w:t>טלר</w:t>
      </w:r>
      <w:proofErr w:type="spellEnd"/>
    </w:p>
    <w:p w:rsidR="006E4487" w:rsidRDefault="006E4487" w:rsidP="000E3EA9">
      <w:pPr>
        <w:spacing w:after="120"/>
        <w:rPr>
          <w:rtl/>
        </w:rPr>
      </w:pPr>
      <w:r w:rsidRPr="00A04BF3">
        <w:rPr>
          <w:b/>
          <w:bCs/>
          <w:rtl/>
        </w:rPr>
        <w:t xml:space="preserve">תהליך ההתייעלות </w:t>
      </w:r>
      <w:r w:rsidRPr="00A04BF3">
        <w:rPr>
          <w:rFonts w:hint="cs"/>
          <w:b/>
          <w:bCs/>
          <w:rtl/>
        </w:rPr>
        <w:t xml:space="preserve">כולל בין היתר </w:t>
      </w:r>
      <w:r w:rsidRPr="00A04BF3">
        <w:rPr>
          <w:b/>
          <w:bCs/>
          <w:rtl/>
        </w:rPr>
        <w:t>גם</w:t>
      </w:r>
      <w:r w:rsidRPr="00A04BF3">
        <w:rPr>
          <w:rFonts w:hint="cs"/>
          <w:b/>
          <w:bCs/>
          <w:rtl/>
        </w:rPr>
        <w:t xml:space="preserve"> </w:t>
      </w:r>
      <w:r w:rsidRPr="00A04BF3">
        <w:rPr>
          <w:b/>
          <w:bCs/>
          <w:rtl/>
        </w:rPr>
        <w:t xml:space="preserve">צמצום </w:t>
      </w:r>
      <w:r w:rsidRPr="00A04BF3">
        <w:rPr>
          <w:rFonts w:hint="cs"/>
          <w:b/>
          <w:bCs/>
          <w:rtl/>
        </w:rPr>
        <w:t>כמות</w:t>
      </w:r>
      <w:r w:rsidRPr="00A04BF3">
        <w:rPr>
          <w:b/>
          <w:bCs/>
          <w:rtl/>
        </w:rPr>
        <w:t xml:space="preserve"> הסניפים</w:t>
      </w:r>
      <w:r w:rsidR="00BE0384">
        <w:rPr>
          <w:rFonts w:hint="cs"/>
          <w:b/>
          <w:bCs/>
          <w:rtl/>
        </w:rPr>
        <w:t>, שטחיהם ותמהיל השירותים הניתנים</w:t>
      </w:r>
      <w:r w:rsidRPr="00A04BF3">
        <w:rPr>
          <w:rFonts w:hint="cs"/>
          <w:b/>
          <w:bCs/>
          <w:rtl/>
        </w:rPr>
        <w:t xml:space="preserve"> בהם</w:t>
      </w:r>
      <w:r w:rsidRPr="00A04BF3">
        <w:rPr>
          <w:b/>
          <w:bCs/>
          <w:rtl/>
        </w:rPr>
        <w:t xml:space="preserve">, בפרט באזורים </w:t>
      </w:r>
      <w:r w:rsidR="00BE0384">
        <w:rPr>
          <w:rFonts w:hint="cs"/>
          <w:b/>
          <w:bCs/>
          <w:rtl/>
        </w:rPr>
        <w:t>מרכזיים ובערים הגדולות,</w:t>
      </w:r>
      <w:r w:rsidRPr="00A04BF3">
        <w:rPr>
          <w:b/>
          <w:bCs/>
          <w:rtl/>
        </w:rPr>
        <w:t xml:space="preserve"> המתאפיינים </w:t>
      </w:r>
      <w:r w:rsidRPr="00A04BF3">
        <w:rPr>
          <w:rFonts w:hint="cs"/>
          <w:b/>
          <w:bCs/>
          <w:rtl/>
        </w:rPr>
        <w:t xml:space="preserve">בריבוי וסמיכות </w:t>
      </w:r>
      <w:r w:rsidR="00BE0384">
        <w:rPr>
          <w:rFonts w:hint="cs"/>
          <w:b/>
          <w:bCs/>
          <w:rtl/>
        </w:rPr>
        <w:t xml:space="preserve">של </w:t>
      </w:r>
      <w:r w:rsidRPr="00A04BF3">
        <w:rPr>
          <w:rFonts w:hint="cs"/>
          <w:b/>
          <w:bCs/>
          <w:rtl/>
        </w:rPr>
        <w:t>סניפים</w:t>
      </w:r>
      <w:r w:rsidRPr="00A04BF3">
        <w:rPr>
          <w:b/>
          <w:bCs/>
          <w:rtl/>
        </w:rPr>
        <w:t>.</w:t>
      </w:r>
      <w:r>
        <w:rPr>
          <w:rFonts w:hint="cs"/>
          <w:rtl/>
        </w:rPr>
        <w:t xml:space="preserve"> </w:t>
      </w:r>
      <w:r w:rsidR="000E3EA9">
        <w:rPr>
          <w:rFonts w:hint="cs"/>
          <w:rtl/>
        </w:rPr>
        <w:t xml:space="preserve">סגירת הסניפים </w:t>
      </w:r>
      <w:proofErr w:type="spellStart"/>
      <w:r w:rsidR="000E3EA9">
        <w:rPr>
          <w:rFonts w:hint="cs"/>
          <w:rtl/>
        </w:rPr>
        <w:t>והטלרים</w:t>
      </w:r>
      <w:proofErr w:type="spellEnd"/>
      <w:r w:rsidR="000E3EA9">
        <w:rPr>
          <w:rFonts w:hint="cs"/>
          <w:rtl/>
        </w:rPr>
        <w:t xml:space="preserve"> היא פועל יוצא של הגידול בשימוש באמצעים הטכנולוגיים והמעבר לבנקאות ישירה, בפרט בשירותים הבסיסיים והפשוטים. </w:t>
      </w:r>
      <w:r>
        <w:rPr>
          <w:rFonts w:hint="cs"/>
          <w:rtl/>
        </w:rPr>
        <w:t xml:space="preserve">התופעה של סגירת סניפי בנקים מתרחשת גם בעולם. חרף היתרונות הטמונים בתהליך המעבר לדיגיטציה עבור מרבית לקוחות המערכת הבנקאית, הפיקוח דרש מהבנקים לוודא כי התהליך של סגירת הסניפים נעשה תוך ההתייחסות הנדרשת למגוון הלקוחות וצרכיהם השונים, ובכלל זה לקוחות אשר המעבר מעולם הבנקאות המסורתי לעולם הבנקאות הישירה, מערים עליהם קשיים, כגון לקוחות קשישים. </w:t>
      </w:r>
    </w:p>
    <w:p w:rsidR="005C7B5D" w:rsidRDefault="006E4487" w:rsidP="00C94D88">
      <w:pPr>
        <w:spacing w:after="120"/>
        <w:rPr>
          <w:rtl/>
        </w:rPr>
      </w:pPr>
      <w:r>
        <w:rPr>
          <w:rFonts w:hint="cs"/>
          <w:b/>
          <w:bCs/>
          <w:rtl/>
        </w:rPr>
        <w:lastRenderedPageBreak/>
        <w:t xml:space="preserve">בשנה האחרונה </w:t>
      </w:r>
      <w:r w:rsidRPr="00A04BF3">
        <w:rPr>
          <w:rFonts w:hint="cs"/>
          <w:b/>
          <w:bCs/>
          <w:rtl/>
        </w:rPr>
        <w:t>הפיקוח על הבנקים בוחן ומאשר כל בקשה של בנק לסגירת סניף, לא</w:t>
      </w:r>
      <w:r w:rsidR="000E3EA9">
        <w:rPr>
          <w:rFonts w:hint="cs"/>
          <w:b/>
          <w:bCs/>
          <w:rtl/>
        </w:rPr>
        <w:t>חר בדיקה מעמיקה של החלופות שיוצע</w:t>
      </w:r>
      <w:r w:rsidRPr="00A04BF3">
        <w:rPr>
          <w:rFonts w:hint="cs"/>
          <w:b/>
          <w:bCs/>
          <w:rtl/>
        </w:rPr>
        <w:t xml:space="preserve">ו ללקוחות הסניף הנסגר, </w:t>
      </w:r>
      <w:r>
        <w:rPr>
          <w:rFonts w:hint="cs"/>
          <w:b/>
          <w:bCs/>
          <w:rtl/>
        </w:rPr>
        <w:t xml:space="preserve">וזאת </w:t>
      </w:r>
      <w:r w:rsidRPr="00A04BF3">
        <w:rPr>
          <w:rFonts w:hint="cs"/>
          <w:b/>
          <w:bCs/>
          <w:rtl/>
        </w:rPr>
        <w:t>בהתאם לסמכות שניתנה ל</w:t>
      </w:r>
      <w:r>
        <w:rPr>
          <w:rFonts w:hint="cs"/>
          <w:b/>
          <w:bCs/>
          <w:rtl/>
        </w:rPr>
        <w:t>פיקוח</w:t>
      </w:r>
      <w:r w:rsidRPr="00A04BF3">
        <w:rPr>
          <w:rFonts w:hint="cs"/>
          <w:b/>
          <w:bCs/>
          <w:rtl/>
        </w:rPr>
        <w:t xml:space="preserve"> ב</w:t>
      </w:r>
      <w:r w:rsidRPr="00A04BF3">
        <w:rPr>
          <w:b/>
          <w:bCs/>
          <w:rtl/>
        </w:rPr>
        <w:t xml:space="preserve">תיקון לחוק הבנקאות </w:t>
      </w:r>
      <w:r w:rsidRPr="00A04BF3">
        <w:rPr>
          <w:rFonts w:hint="cs"/>
          <w:b/>
          <w:bCs/>
          <w:rtl/>
        </w:rPr>
        <w:t>(</w:t>
      </w:r>
      <w:r w:rsidRPr="00A04BF3">
        <w:rPr>
          <w:b/>
          <w:bCs/>
          <w:rtl/>
        </w:rPr>
        <w:t>רישוי</w:t>
      </w:r>
      <w:r w:rsidRPr="00A04BF3">
        <w:rPr>
          <w:rFonts w:hint="cs"/>
          <w:b/>
          <w:bCs/>
          <w:rtl/>
        </w:rPr>
        <w:t>)</w:t>
      </w:r>
      <w:r w:rsidRPr="00A04BF3">
        <w:rPr>
          <w:rStyle w:val="ad"/>
          <w:b/>
          <w:bCs/>
          <w:rtl/>
        </w:rPr>
        <w:footnoteReference w:id="5"/>
      </w:r>
      <w:r w:rsidRPr="00A04BF3">
        <w:rPr>
          <w:b/>
          <w:bCs/>
          <w:rtl/>
        </w:rPr>
        <w:t xml:space="preserve"> </w:t>
      </w:r>
      <w:r w:rsidR="00F963AD">
        <w:rPr>
          <w:rFonts w:hint="cs"/>
          <w:b/>
          <w:bCs/>
          <w:rtl/>
        </w:rPr>
        <w:t>שנכנס לתוק</w:t>
      </w:r>
      <w:r w:rsidR="000E3EA9">
        <w:rPr>
          <w:rFonts w:hint="cs"/>
          <w:b/>
          <w:bCs/>
          <w:rtl/>
        </w:rPr>
        <w:t>ף ב</w:t>
      </w:r>
      <w:r w:rsidRPr="00A04BF3">
        <w:rPr>
          <w:rFonts w:hint="cs"/>
          <w:b/>
          <w:bCs/>
          <w:rtl/>
        </w:rPr>
        <w:t>חודש אוגוסט 2016.</w:t>
      </w:r>
      <w:r>
        <w:rPr>
          <w:rFonts w:hint="cs"/>
          <w:rtl/>
        </w:rPr>
        <w:t xml:space="preserve"> </w:t>
      </w:r>
      <w:r w:rsidR="00EC1451">
        <w:rPr>
          <w:rFonts w:hint="cs"/>
          <w:rtl/>
        </w:rPr>
        <w:t xml:space="preserve">כדי לנהל את תהליך סגירת הסניפים בצורה </w:t>
      </w:r>
      <w:r w:rsidR="00906D23">
        <w:rPr>
          <w:rFonts w:hint="cs"/>
          <w:rtl/>
        </w:rPr>
        <w:t xml:space="preserve">שתתחשב כמה שיותר </w:t>
      </w:r>
      <w:r w:rsidR="00EC1451">
        <w:rPr>
          <w:rFonts w:hint="cs"/>
          <w:rtl/>
        </w:rPr>
        <w:t xml:space="preserve">בציבור, </w:t>
      </w:r>
      <w:proofErr w:type="spellStart"/>
      <w:r w:rsidR="005C0FB6">
        <w:rPr>
          <w:rFonts w:hint="cs"/>
          <w:rtl/>
        </w:rPr>
        <w:t>פירסם</w:t>
      </w:r>
      <w:proofErr w:type="spellEnd"/>
      <w:r w:rsidR="00EC1451">
        <w:rPr>
          <w:rFonts w:hint="cs"/>
          <w:rtl/>
        </w:rPr>
        <w:t xml:space="preserve"> הפיקוח על הבנקים </w:t>
      </w:r>
      <w:r w:rsidR="003164E6" w:rsidRPr="00D37729">
        <w:rPr>
          <w:rtl/>
        </w:rPr>
        <w:t xml:space="preserve">ב-9.1.2017 </w:t>
      </w:r>
      <w:r w:rsidR="003164E6">
        <w:rPr>
          <w:rFonts w:hint="cs"/>
          <w:rtl/>
        </w:rPr>
        <w:t>הורא</w:t>
      </w:r>
      <w:r w:rsidR="005C0FB6">
        <w:rPr>
          <w:rFonts w:hint="cs"/>
          <w:rtl/>
        </w:rPr>
        <w:t>ה</w:t>
      </w:r>
      <w:r w:rsidR="003164E6">
        <w:rPr>
          <w:rFonts w:hint="cs"/>
          <w:rtl/>
        </w:rPr>
        <w:t xml:space="preserve"> </w:t>
      </w:r>
      <w:r w:rsidR="00A04BF3">
        <w:rPr>
          <w:rtl/>
        </w:rPr>
        <w:t>בנושא "סגירת סניפי בנק ו</w:t>
      </w:r>
      <w:r w:rsidR="003164E6" w:rsidRPr="00D37729">
        <w:rPr>
          <w:rtl/>
        </w:rPr>
        <w:t xml:space="preserve">מצום שירותי </w:t>
      </w:r>
      <w:proofErr w:type="spellStart"/>
      <w:r w:rsidR="003164E6" w:rsidRPr="00D37729">
        <w:rPr>
          <w:rtl/>
        </w:rPr>
        <w:t>טלר</w:t>
      </w:r>
      <w:proofErr w:type="spellEnd"/>
      <w:r w:rsidR="003164E6" w:rsidRPr="00D37729">
        <w:rPr>
          <w:rtl/>
        </w:rPr>
        <w:t>"</w:t>
      </w:r>
      <w:r w:rsidR="003164E6" w:rsidRPr="009E6B17">
        <w:rPr>
          <w:vertAlign w:val="superscript"/>
          <w:rtl/>
        </w:rPr>
        <w:footnoteReference w:id="6"/>
      </w:r>
      <w:r w:rsidR="00430213">
        <w:rPr>
          <w:rFonts w:hint="cs"/>
          <w:rtl/>
        </w:rPr>
        <w:t>,</w:t>
      </w:r>
      <w:r w:rsidR="003164E6" w:rsidRPr="00D37729">
        <w:rPr>
          <w:rtl/>
        </w:rPr>
        <w:t xml:space="preserve"> </w:t>
      </w:r>
      <w:r w:rsidR="003164E6">
        <w:rPr>
          <w:rFonts w:hint="cs"/>
          <w:rtl/>
        </w:rPr>
        <w:t xml:space="preserve">אשר מטרתה </w:t>
      </w:r>
      <w:r w:rsidR="003164E6" w:rsidRPr="00D37729">
        <w:rPr>
          <w:rtl/>
        </w:rPr>
        <w:t xml:space="preserve">להבטיח כי בעת תהליך קבלת ההחלטה על סגירת סניף או שירותי </w:t>
      </w:r>
      <w:proofErr w:type="spellStart"/>
      <w:r w:rsidR="003164E6" w:rsidRPr="00D37729">
        <w:rPr>
          <w:rtl/>
        </w:rPr>
        <w:t>הטלר</w:t>
      </w:r>
      <w:proofErr w:type="spellEnd"/>
      <w:r w:rsidR="003164E6" w:rsidRPr="00D37729">
        <w:rPr>
          <w:rtl/>
        </w:rPr>
        <w:t xml:space="preserve"> בסניף, </w:t>
      </w:r>
      <w:r w:rsidR="00430213">
        <w:rPr>
          <w:rFonts w:hint="cs"/>
          <w:rtl/>
        </w:rPr>
        <w:t>ה</w:t>
      </w:r>
      <w:r w:rsidR="003164E6" w:rsidRPr="00D37729">
        <w:rPr>
          <w:rtl/>
        </w:rPr>
        <w:t>בנק יראה לנגד עיניו את מגוון השיקולים (מעבר לשיקולים העסקיים), ובכלל זה את ההשפעות הפוטנציאליות של השינוי על מגוון לקוחות הסניף וסביבתו.</w:t>
      </w:r>
      <w:r w:rsidR="00D30323">
        <w:rPr>
          <w:rFonts w:hint="cs"/>
          <w:rtl/>
        </w:rPr>
        <w:t xml:space="preserve"> במסגרת </w:t>
      </w:r>
      <w:r w:rsidR="00D30323" w:rsidRPr="001B4DAD">
        <w:rPr>
          <w:rtl/>
        </w:rPr>
        <w:t>דרישות ההוראה, הבנק מתבקש לבחון</w:t>
      </w:r>
      <w:r w:rsidR="00C94D88">
        <w:rPr>
          <w:rFonts w:hint="cs"/>
          <w:rtl/>
        </w:rPr>
        <w:t>,</w:t>
      </w:r>
      <w:r w:rsidR="00D30323" w:rsidRPr="001B4DAD">
        <w:rPr>
          <w:rtl/>
        </w:rPr>
        <w:t xml:space="preserve"> </w:t>
      </w:r>
      <w:r w:rsidR="00A04BF3">
        <w:rPr>
          <w:rFonts w:hint="cs"/>
          <w:rtl/>
        </w:rPr>
        <w:t xml:space="preserve">לפני החלטה על סגירת סניף </w:t>
      </w:r>
      <w:r w:rsidR="00C94D88">
        <w:rPr>
          <w:rFonts w:hint="cs"/>
          <w:rtl/>
        </w:rPr>
        <w:t xml:space="preserve">או עמדת </w:t>
      </w:r>
      <w:proofErr w:type="spellStart"/>
      <w:r w:rsidR="00C94D88">
        <w:rPr>
          <w:rFonts w:hint="cs"/>
          <w:rtl/>
        </w:rPr>
        <w:t>טלר</w:t>
      </w:r>
      <w:proofErr w:type="spellEnd"/>
      <w:r w:rsidR="00C94D88">
        <w:rPr>
          <w:rFonts w:hint="cs"/>
          <w:rtl/>
        </w:rPr>
        <w:t xml:space="preserve">, </w:t>
      </w:r>
      <w:r w:rsidR="00D30323" w:rsidRPr="001B4DAD">
        <w:rPr>
          <w:rtl/>
        </w:rPr>
        <w:t>את דפוסי השימוש וצריכת השירותים הבנקאיים של לקוחותיו</w:t>
      </w:r>
      <w:r w:rsidR="00EC1451">
        <w:rPr>
          <w:rFonts w:hint="cs"/>
          <w:rtl/>
        </w:rPr>
        <w:t xml:space="preserve"> בסניף</w:t>
      </w:r>
      <w:r w:rsidR="00D30323" w:rsidRPr="001B4DAD">
        <w:rPr>
          <w:rtl/>
        </w:rPr>
        <w:t xml:space="preserve">, </w:t>
      </w:r>
      <w:r w:rsidR="00C94D88">
        <w:rPr>
          <w:rFonts w:hint="cs"/>
          <w:rtl/>
        </w:rPr>
        <w:t>ולגבש תכנית שתאפשר ללקוחותיו</w:t>
      </w:r>
      <w:r w:rsidR="00C94D88">
        <w:rPr>
          <w:rtl/>
        </w:rPr>
        <w:t xml:space="preserve"> </w:t>
      </w:r>
      <w:r w:rsidR="00C94D88">
        <w:rPr>
          <w:rFonts w:hint="cs"/>
          <w:rtl/>
        </w:rPr>
        <w:t xml:space="preserve">המשך </w:t>
      </w:r>
      <w:r w:rsidR="00D30323" w:rsidRPr="001B4DAD">
        <w:rPr>
          <w:rtl/>
        </w:rPr>
        <w:t xml:space="preserve">זמינות השירותים, </w:t>
      </w:r>
      <w:r w:rsidR="00C94D88">
        <w:rPr>
          <w:rFonts w:hint="cs"/>
          <w:rtl/>
        </w:rPr>
        <w:t xml:space="preserve">באופן </w:t>
      </w:r>
      <w:r w:rsidR="00D30323" w:rsidRPr="001B4DAD">
        <w:rPr>
          <w:rtl/>
        </w:rPr>
        <w:t>נגיש</w:t>
      </w:r>
      <w:r w:rsidR="00C94D88">
        <w:rPr>
          <w:rFonts w:hint="cs"/>
          <w:rtl/>
        </w:rPr>
        <w:t xml:space="preserve"> </w:t>
      </w:r>
      <w:r w:rsidR="00D30323" w:rsidRPr="001B4DAD">
        <w:rPr>
          <w:rtl/>
        </w:rPr>
        <w:t xml:space="preserve">ולנוח </w:t>
      </w:r>
      <w:r w:rsidR="00EC1451">
        <w:rPr>
          <w:rFonts w:hint="cs"/>
          <w:rtl/>
        </w:rPr>
        <w:t xml:space="preserve">גם לאחר </w:t>
      </w:r>
      <w:r w:rsidR="00C94D88">
        <w:rPr>
          <w:rFonts w:hint="cs"/>
          <w:rtl/>
        </w:rPr>
        <w:t>הסגירה</w:t>
      </w:r>
      <w:r w:rsidR="00D30323" w:rsidRPr="001B4DAD">
        <w:rPr>
          <w:rtl/>
        </w:rPr>
        <w:t>.</w:t>
      </w:r>
      <w:r w:rsidR="00D30323">
        <w:rPr>
          <w:rFonts w:hint="cs"/>
          <w:rtl/>
        </w:rPr>
        <w:t xml:space="preserve"> בהמשך</w:t>
      </w:r>
      <w:r w:rsidR="005C7B5D" w:rsidRPr="00D11691">
        <w:rPr>
          <w:rtl/>
        </w:rPr>
        <w:t xml:space="preserve"> לזאת, הבנקים </w:t>
      </w:r>
      <w:r w:rsidR="00D30323">
        <w:rPr>
          <w:rFonts w:hint="cs"/>
          <w:rtl/>
        </w:rPr>
        <w:t xml:space="preserve">גם </w:t>
      </w:r>
      <w:r w:rsidR="005C7B5D" w:rsidRPr="00D11691">
        <w:rPr>
          <w:rtl/>
        </w:rPr>
        <w:t xml:space="preserve">הרחיבו את המשאבים הניתנים לסיוע ללקוחות במעבר </w:t>
      </w:r>
      <w:r w:rsidR="00D30323">
        <w:rPr>
          <w:rFonts w:hint="cs"/>
          <w:rtl/>
        </w:rPr>
        <w:t>לשימוש באמצעים הדיגיטליים</w:t>
      </w:r>
      <w:r w:rsidR="005C7B5D" w:rsidRPr="00D11691">
        <w:rPr>
          <w:rtl/>
        </w:rPr>
        <w:t xml:space="preserve"> </w:t>
      </w:r>
      <w:r w:rsidR="00D30323">
        <w:rPr>
          <w:rFonts w:hint="cs"/>
          <w:rtl/>
        </w:rPr>
        <w:t>והציבו</w:t>
      </w:r>
      <w:r w:rsidR="00D30323" w:rsidRPr="00D11691">
        <w:rPr>
          <w:rtl/>
        </w:rPr>
        <w:t xml:space="preserve"> </w:t>
      </w:r>
      <w:r w:rsidR="005C7B5D" w:rsidRPr="00D11691">
        <w:rPr>
          <w:rtl/>
        </w:rPr>
        <w:t xml:space="preserve">דיילים ובנקאים שמסייעים ללקוחות המגיעים לסניפים </w:t>
      </w:r>
      <w:r w:rsidR="00D30323">
        <w:rPr>
          <w:rFonts w:hint="cs"/>
          <w:rtl/>
        </w:rPr>
        <w:t>ומנחים את הלקוחות</w:t>
      </w:r>
      <w:r w:rsidR="00D30323" w:rsidRPr="00D11691">
        <w:rPr>
          <w:rtl/>
        </w:rPr>
        <w:t xml:space="preserve"> </w:t>
      </w:r>
      <w:r w:rsidR="00C24D20">
        <w:rPr>
          <w:rFonts w:hint="cs"/>
          <w:rtl/>
        </w:rPr>
        <w:t xml:space="preserve">כיצד </w:t>
      </w:r>
      <w:r w:rsidR="00B51293">
        <w:rPr>
          <w:rtl/>
        </w:rPr>
        <w:t>לבצע פע</w:t>
      </w:r>
      <w:r w:rsidR="00B51293">
        <w:rPr>
          <w:rFonts w:hint="cs"/>
          <w:rtl/>
        </w:rPr>
        <w:t>ו</w:t>
      </w:r>
      <w:r w:rsidR="00B51293">
        <w:rPr>
          <w:rtl/>
        </w:rPr>
        <w:t>לות במכשירים האוטומטיים</w:t>
      </w:r>
      <w:r w:rsidR="00D30323">
        <w:rPr>
          <w:rFonts w:hint="cs"/>
          <w:rtl/>
        </w:rPr>
        <w:t>,</w:t>
      </w:r>
      <w:r w:rsidR="005C7B5D" w:rsidRPr="00D11691">
        <w:rPr>
          <w:rtl/>
        </w:rPr>
        <w:t xml:space="preserve"> </w:t>
      </w:r>
      <w:r w:rsidR="00B51293">
        <w:rPr>
          <w:rFonts w:hint="cs"/>
          <w:rtl/>
        </w:rPr>
        <w:t>ו</w:t>
      </w:r>
      <w:r w:rsidR="005C7B5D" w:rsidRPr="00D11691">
        <w:rPr>
          <w:rtl/>
        </w:rPr>
        <w:t>להשתמש באתר האינטרנט ובאפליקציה הסלולרית של הבנק</w:t>
      </w:r>
      <w:r w:rsidR="005C7B5D">
        <w:rPr>
          <w:rFonts w:hint="cs"/>
          <w:rtl/>
        </w:rPr>
        <w:t>.</w:t>
      </w:r>
      <w:r w:rsidR="005B0BC8" w:rsidRPr="009E6B17">
        <w:rPr>
          <w:rtl/>
        </w:rPr>
        <w:t xml:space="preserve"> </w:t>
      </w:r>
    </w:p>
    <w:p w:rsidR="002F2B0C" w:rsidRDefault="00190234" w:rsidP="00694940">
      <w:pPr>
        <w:spacing w:after="120"/>
        <w:rPr>
          <w:rtl/>
        </w:rPr>
      </w:pPr>
      <w:r w:rsidRPr="00255B6D">
        <w:rPr>
          <w:rFonts w:hint="cs"/>
          <w:b/>
          <w:bCs/>
          <w:rtl/>
        </w:rPr>
        <w:t>עד כה נסגרו (נטו)</w:t>
      </w:r>
      <w:r w:rsidR="00573196" w:rsidRPr="00255B6D">
        <w:rPr>
          <w:rFonts w:hint="cs"/>
          <w:b/>
          <w:bCs/>
          <w:rtl/>
        </w:rPr>
        <w:t xml:space="preserve"> כחלק מתכנית ההתייעלות</w:t>
      </w:r>
      <w:r w:rsidRPr="00255B6D">
        <w:rPr>
          <w:rFonts w:hint="cs"/>
          <w:b/>
          <w:bCs/>
          <w:rtl/>
        </w:rPr>
        <w:t xml:space="preserve"> 68 סניפים</w:t>
      </w:r>
      <w:r w:rsidR="00EC1451" w:rsidRPr="00255B6D">
        <w:rPr>
          <w:rFonts w:hint="cs"/>
          <w:b/>
          <w:bCs/>
          <w:rtl/>
        </w:rPr>
        <w:t xml:space="preserve"> בשנת 2016 ו</w:t>
      </w:r>
      <w:r w:rsidR="00694940">
        <w:rPr>
          <w:rFonts w:hint="cs"/>
          <w:b/>
          <w:bCs/>
          <w:rtl/>
        </w:rPr>
        <w:t>ב</w:t>
      </w:r>
      <w:r w:rsidR="00EC1451" w:rsidRPr="00255B6D">
        <w:rPr>
          <w:rFonts w:hint="cs"/>
          <w:b/>
          <w:bCs/>
          <w:rtl/>
        </w:rPr>
        <w:t xml:space="preserve">מחצית </w:t>
      </w:r>
      <w:r w:rsidR="00694940">
        <w:rPr>
          <w:rFonts w:hint="cs"/>
          <w:b/>
          <w:bCs/>
          <w:rtl/>
        </w:rPr>
        <w:t xml:space="preserve">הראשונה של </w:t>
      </w:r>
      <w:r w:rsidR="00EC1451" w:rsidRPr="00255B6D">
        <w:rPr>
          <w:rFonts w:hint="cs"/>
          <w:b/>
          <w:bCs/>
          <w:rtl/>
        </w:rPr>
        <w:t>2017</w:t>
      </w:r>
      <w:r>
        <w:rPr>
          <w:rStyle w:val="ad"/>
          <w:rtl/>
        </w:rPr>
        <w:footnoteReference w:id="7"/>
      </w:r>
      <w:r>
        <w:rPr>
          <w:rFonts w:hint="cs"/>
          <w:rtl/>
        </w:rPr>
        <w:t xml:space="preserve"> (</w:t>
      </w:r>
      <w:r w:rsidRPr="0063389F">
        <w:rPr>
          <w:rFonts w:hint="cs"/>
          <w:rtl/>
        </w:rPr>
        <w:t>כ-</w:t>
      </w:r>
      <w:r w:rsidR="009F6D97">
        <w:rPr>
          <w:rFonts w:hint="cs"/>
          <w:rtl/>
        </w:rPr>
        <w:t>6</w:t>
      </w:r>
      <w:r w:rsidRPr="0063389F">
        <w:rPr>
          <w:rFonts w:hint="cs"/>
          <w:rtl/>
        </w:rPr>
        <w:t>% ממצבת</w:t>
      </w:r>
      <w:r>
        <w:rPr>
          <w:rFonts w:hint="cs"/>
          <w:rtl/>
        </w:rPr>
        <w:t xml:space="preserve"> הסניפים במערכת</w:t>
      </w:r>
      <w:r>
        <w:rPr>
          <w:rStyle w:val="ad"/>
          <w:rtl/>
        </w:rPr>
        <w:footnoteReference w:id="8"/>
      </w:r>
      <w:r>
        <w:rPr>
          <w:rFonts w:hint="cs"/>
          <w:rtl/>
        </w:rPr>
        <w:t>)</w:t>
      </w:r>
      <w:r w:rsidR="00573196">
        <w:rPr>
          <w:rFonts w:hint="cs"/>
          <w:rtl/>
        </w:rPr>
        <w:t xml:space="preserve">, </w:t>
      </w:r>
      <w:r w:rsidR="00F30AD1">
        <w:rPr>
          <w:rFonts w:hint="cs"/>
          <w:rtl/>
        </w:rPr>
        <w:t>7</w:t>
      </w:r>
      <w:r w:rsidR="00573196">
        <w:rPr>
          <w:rFonts w:hint="cs"/>
          <w:rtl/>
        </w:rPr>
        <w:t xml:space="preserve"> מתוכם ב</w:t>
      </w:r>
      <w:r w:rsidR="00D641D0">
        <w:rPr>
          <w:rFonts w:hint="cs"/>
          <w:rtl/>
        </w:rPr>
        <w:t>שלוחות הבנקים ב</w:t>
      </w:r>
      <w:r w:rsidR="00573196">
        <w:rPr>
          <w:rFonts w:hint="cs"/>
          <w:rtl/>
        </w:rPr>
        <w:t>חו"ל (</w:t>
      </w:r>
      <w:r w:rsidR="00573196" w:rsidRPr="00573196">
        <w:rPr>
          <w:rFonts w:hint="cs"/>
          <w:color w:val="FF0000"/>
          <w:rtl/>
        </w:rPr>
        <w:t xml:space="preserve">לוח </w:t>
      </w:r>
      <w:r w:rsidR="003D0351">
        <w:rPr>
          <w:rFonts w:hint="cs"/>
          <w:color w:val="FF0000"/>
          <w:rtl/>
        </w:rPr>
        <w:t>3</w:t>
      </w:r>
      <w:r w:rsidR="00573196">
        <w:rPr>
          <w:rFonts w:hint="cs"/>
          <w:rtl/>
        </w:rPr>
        <w:t xml:space="preserve">). </w:t>
      </w:r>
      <w:r w:rsidR="00CA2391">
        <w:rPr>
          <w:rFonts w:hint="cs"/>
          <w:rtl/>
        </w:rPr>
        <w:t>מרבית הסניפים שנסגרו נמצאים ביישובים מרכזיים</w:t>
      </w:r>
      <w:r w:rsidR="00EC1451">
        <w:rPr>
          <w:rFonts w:hint="cs"/>
          <w:rtl/>
        </w:rPr>
        <w:t xml:space="preserve"> בהם קיימים סניפים של מספר בנקים</w:t>
      </w:r>
      <w:r w:rsidR="00CA2391">
        <w:rPr>
          <w:rFonts w:hint="cs"/>
          <w:rtl/>
        </w:rPr>
        <w:t>, בעוד ביישובים פריפריאליים מגמת סגירת הסניפים מתונה יותר</w:t>
      </w:r>
      <w:r w:rsidR="001B37F1">
        <w:rPr>
          <w:rFonts w:hint="cs"/>
          <w:rtl/>
        </w:rPr>
        <w:t xml:space="preserve"> (</w:t>
      </w:r>
      <w:r w:rsidR="001B37F1" w:rsidRPr="00C37EBD">
        <w:rPr>
          <w:rFonts w:hint="cs"/>
          <w:color w:val="FF0000"/>
          <w:rtl/>
        </w:rPr>
        <w:t>איור 1)</w:t>
      </w:r>
      <w:r w:rsidR="00906D23">
        <w:rPr>
          <w:rFonts w:hint="cs"/>
          <w:rtl/>
        </w:rPr>
        <w:t xml:space="preserve"> </w:t>
      </w:r>
      <w:r w:rsidR="00906D23" w:rsidRPr="00B54D6C">
        <w:rPr>
          <w:rFonts w:hint="cs"/>
          <w:rtl/>
        </w:rPr>
        <w:t>וביישובים ערביים ישנה מגמה מתמשכת של פתיחת סניפים</w:t>
      </w:r>
      <w:r w:rsidR="00592EA6">
        <w:rPr>
          <w:rFonts w:hint="cs"/>
          <w:rtl/>
        </w:rPr>
        <w:t xml:space="preserve"> חדשים</w:t>
      </w:r>
      <w:r w:rsidR="00B54D6C" w:rsidRPr="00B54D6C">
        <w:rPr>
          <w:rFonts w:hint="cs"/>
          <w:rtl/>
        </w:rPr>
        <w:t>.</w:t>
      </w:r>
      <w:r w:rsidR="00CA2391" w:rsidRPr="00B54D6C">
        <w:rPr>
          <w:rFonts w:hint="cs"/>
          <w:rtl/>
        </w:rPr>
        <w:t xml:space="preserve"> כמו כן, </w:t>
      </w:r>
      <w:r w:rsidR="00846D1C" w:rsidRPr="00B54D6C">
        <w:rPr>
          <w:rFonts w:hint="cs"/>
          <w:rtl/>
        </w:rPr>
        <w:t>ישנה</w:t>
      </w:r>
      <w:r w:rsidR="00846D1C">
        <w:rPr>
          <w:rFonts w:hint="cs"/>
          <w:rtl/>
        </w:rPr>
        <w:t xml:space="preserve"> שונות בין הבנקים </w:t>
      </w:r>
      <w:r w:rsidR="00CA2391">
        <w:rPr>
          <w:rFonts w:hint="cs"/>
          <w:rtl/>
        </w:rPr>
        <w:t>במדיניות</w:t>
      </w:r>
      <w:r w:rsidR="00846D1C">
        <w:rPr>
          <w:rFonts w:hint="cs"/>
          <w:rtl/>
        </w:rPr>
        <w:t xml:space="preserve"> סגירת הסניפים, בין היתר כתוצאה מפערים ביעילות</w:t>
      </w:r>
      <w:r w:rsidR="00CA2391">
        <w:rPr>
          <w:rFonts w:hint="cs"/>
          <w:rtl/>
        </w:rPr>
        <w:t>ם</w:t>
      </w:r>
      <w:r w:rsidR="00846D1C">
        <w:rPr>
          <w:rFonts w:hint="cs"/>
          <w:rtl/>
        </w:rPr>
        <w:t xml:space="preserve"> </w:t>
      </w:r>
      <w:r w:rsidR="002574DE">
        <w:rPr>
          <w:rFonts w:hint="cs"/>
          <w:rtl/>
        </w:rPr>
        <w:t xml:space="preserve">בנקודת </w:t>
      </w:r>
      <w:r w:rsidR="00D44511">
        <w:rPr>
          <w:rFonts w:hint="cs"/>
          <w:rtl/>
        </w:rPr>
        <w:t>הפתיחה</w:t>
      </w:r>
      <w:r w:rsidR="00EC1451">
        <w:rPr>
          <w:rFonts w:hint="cs"/>
          <w:rtl/>
        </w:rPr>
        <w:t xml:space="preserve"> והאסטרטגיה העסקית שלהם</w:t>
      </w:r>
      <w:r w:rsidR="00253799">
        <w:rPr>
          <w:rFonts w:hint="cs"/>
          <w:rtl/>
        </w:rPr>
        <w:t>.</w:t>
      </w:r>
      <w:r w:rsidR="00D75C21">
        <w:rPr>
          <w:rFonts w:hint="cs"/>
          <w:rtl/>
        </w:rPr>
        <w:t xml:space="preserve"> </w:t>
      </w:r>
      <w:r w:rsidR="00253799">
        <w:rPr>
          <w:rFonts w:hint="cs"/>
          <w:rtl/>
        </w:rPr>
        <w:t>האסטרטגיה של אחד הבנקים (מזרחי) היא אף להגדיל את מספר הסניפים.</w:t>
      </w:r>
    </w:p>
    <w:p w:rsidR="00132BCD" w:rsidRDefault="00132BCD" w:rsidP="00650100">
      <w:pPr>
        <w:spacing w:after="120"/>
        <w:rPr>
          <w:rtl/>
        </w:rPr>
      </w:pPr>
      <w:r w:rsidRPr="009D2166">
        <w:rPr>
          <w:rFonts w:hint="cs"/>
          <w:b/>
          <w:bCs/>
          <w:rtl/>
        </w:rPr>
        <w:t xml:space="preserve">לצד </w:t>
      </w:r>
      <w:r w:rsidR="00754BE2" w:rsidRPr="009D2166">
        <w:rPr>
          <w:rFonts w:hint="cs"/>
          <w:b/>
          <w:bCs/>
          <w:rtl/>
        </w:rPr>
        <w:t xml:space="preserve">סגירת הסניפים החלו חלק מהבנקים </w:t>
      </w:r>
      <w:r w:rsidR="00B63DFC" w:rsidRPr="009D2166">
        <w:rPr>
          <w:rFonts w:hint="cs"/>
          <w:b/>
          <w:bCs/>
          <w:rtl/>
        </w:rPr>
        <w:t xml:space="preserve">(פועלים, לאומי ואיגוד) </w:t>
      </w:r>
      <w:r w:rsidRPr="009D2166">
        <w:rPr>
          <w:rFonts w:hint="cs"/>
          <w:b/>
          <w:bCs/>
          <w:rtl/>
        </w:rPr>
        <w:t xml:space="preserve">להפעיל סניף </w:t>
      </w:r>
      <w:r w:rsidR="00754BE2" w:rsidRPr="009D2166">
        <w:rPr>
          <w:rFonts w:hint="cs"/>
          <w:b/>
          <w:bCs/>
          <w:rtl/>
        </w:rPr>
        <w:t xml:space="preserve">בנק </w:t>
      </w:r>
      <w:r w:rsidRPr="009D2166">
        <w:rPr>
          <w:rFonts w:hint="cs"/>
          <w:b/>
          <w:bCs/>
          <w:rtl/>
        </w:rPr>
        <w:t xml:space="preserve">נייד, שמגיע </w:t>
      </w:r>
      <w:r w:rsidR="00F35BDC">
        <w:rPr>
          <w:rFonts w:hint="cs"/>
          <w:b/>
          <w:bCs/>
          <w:rtl/>
        </w:rPr>
        <w:t>לבתי אבות ו</w:t>
      </w:r>
      <w:r w:rsidRPr="009D2166">
        <w:rPr>
          <w:rFonts w:hint="cs"/>
          <w:b/>
          <w:bCs/>
          <w:rtl/>
        </w:rPr>
        <w:t xml:space="preserve">לערים בהן נסגר סניף של </w:t>
      </w:r>
      <w:r w:rsidR="00754BE2" w:rsidRPr="009D2166">
        <w:rPr>
          <w:rFonts w:hint="cs"/>
          <w:b/>
          <w:bCs/>
          <w:rtl/>
        </w:rPr>
        <w:t>ה</w:t>
      </w:r>
      <w:r w:rsidRPr="009D2166">
        <w:rPr>
          <w:rFonts w:hint="cs"/>
          <w:b/>
          <w:bCs/>
          <w:rtl/>
        </w:rPr>
        <w:t>בנק</w:t>
      </w:r>
      <w:r w:rsidR="00253799">
        <w:rPr>
          <w:rFonts w:hint="cs"/>
          <w:b/>
          <w:bCs/>
          <w:rtl/>
        </w:rPr>
        <w:t>,</w:t>
      </w:r>
      <w:r w:rsidRPr="009D2166">
        <w:rPr>
          <w:rFonts w:hint="cs"/>
          <w:b/>
          <w:bCs/>
          <w:rtl/>
        </w:rPr>
        <w:t xml:space="preserve"> </w:t>
      </w:r>
      <w:r>
        <w:rPr>
          <w:rFonts w:hint="cs"/>
          <w:rtl/>
        </w:rPr>
        <w:t>כדי לספק שירות ללקוחות.</w:t>
      </w:r>
      <w:r w:rsidR="00754BE2">
        <w:rPr>
          <w:rFonts w:hint="cs"/>
          <w:rtl/>
        </w:rPr>
        <w:t xml:space="preserve"> כמו כן, הפיקוח דרש מהבנקים</w:t>
      </w:r>
      <w:r w:rsidR="009E2365">
        <w:rPr>
          <w:rFonts w:hint="cs"/>
          <w:rtl/>
        </w:rPr>
        <w:t>,</w:t>
      </w:r>
      <w:r w:rsidR="00754BE2">
        <w:rPr>
          <w:rFonts w:hint="cs"/>
          <w:rtl/>
        </w:rPr>
        <w:t xml:space="preserve"> בחלק מסגירות הסניפים</w:t>
      </w:r>
      <w:r w:rsidR="009E2365">
        <w:rPr>
          <w:rFonts w:hint="cs"/>
          <w:rtl/>
        </w:rPr>
        <w:t>,</w:t>
      </w:r>
      <w:r w:rsidR="00754BE2">
        <w:rPr>
          <w:rFonts w:hint="cs"/>
          <w:rtl/>
        </w:rPr>
        <w:t xml:space="preserve"> לה</w:t>
      </w:r>
      <w:r w:rsidR="00253799">
        <w:rPr>
          <w:rFonts w:hint="cs"/>
          <w:rtl/>
        </w:rPr>
        <w:t>שאיר מכשיר אוטומטי במקום הסגירה.</w:t>
      </w:r>
      <w:r w:rsidR="00253799" w:rsidRPr="00253799">
        <w:rPr>
          <w:rFonts w:hint="cs"/>
          <w:rtl/>
        </w:rPr>
        <w:t xml:space="preserve"> </w:t>
      </w:r>
      <w:r w:rsidR="00253799">
        <w:rPr>
          <w:rFonts w:hint="cs"/>
          <w:rtl/>
        </w:rPr>
        <w:t>בהתאם לתיקון לכללי הבנקאות (שירות ללקוח)(עמלות), ש</w:t>
      </w:r>
      <w:r w:rsidR="00650100">
        <w:rPr>
          <w:rFonts w:hint="cs"/>
          <w:rtl/>
        </w:rPr>
        <w:t>נ</w:t>
      </w:r>
      <w:r w:rsidR="00253799">
        <w:rPr>
          <w:rFonts w:hint="cs"/>
          <w:rtl/>
        </w:rPr>
        <w:t>כנס לתוקף ביום 1.11.2017,</w:t>
      </w:r>
      <w:r w:rsidR="00754BE2">
        <w:rPr>
          <w:rFonts w:hint="cs"/>
          <w:rtl/>
        </w:rPr>
        <w:t xml:space="preserve"> </w:t>
      </w:r>
      <w:r w:rsidR="00CE7236">
        <w:rPr>
          <w:rFonts w:hint="cs"/>
          <w:rtl/>
        </w:rPr>
        <w:t xml:space="preserve">השימוש </w:t>
      </w:r>
      <w:r w:rsidR="00253799">
        <w:rPr>
          <w:rFonts w:hint="cs"/>
          <w:rtl/>
        </w:rPr>
        <w:t xml:space="preserve">במכשיר האוטומטי הנדרש </w:t>
      </w:r>
      <w:r w:rsidR="00CE7236">
        <w:rPr>
          <w:rFonts w:hint="cs"/>
          <w:rtl/>
        </w:rPr>
        <w:t>יהיה כרוך ב</w:t>
      </w:r>
      <w:r w:rsidR="00754BE2">
        <w:rPr>
          <w:rFonts w:hint="cs"/>
          <w:rtl/>
        </w:rPr>
        <w:t>עמלות נמוכות (בדומה למכשיר אוטומטי שנמצא ב</w:t>
      </w:r>
      <w:r w:rsidR="00CE7236">
        <w:rPr>
          <w:rFonts w:hint="cs"/>
          <w:rtl/>
        </w:rPr>
        <w:t>צמוד ל</w:t>
      </w:r>
      <w:r w:rsidR="00754BE2">
        <w:rPr>
          <w:rFonts w:hint="cs"/>
          <w:rtl/>
        </w:rPr>
        <w:t>סניף בנק).</w:t>
      </w:r>
    </w:p>
    <w:p w:rsidR="00F04C2B" w:rsidRDefault="00F04C2B" w:rsidP="00D74FF5">
      <w:pPr>
        <w:spacing w:after="120"/>
        <w:jc w:val="center"/>
        <w:rPr>
          <w:rtl/>
        </w:rPr>
      </w:pPr>
    </w:p>
    <w:p w:rsidR="00F92AA8" w:rsidRDefault="00FD4461" w:rsidP="00F92AA8">
      <w:pPr>
        <w:spacing w:after="120"/>
        <w:jc w:val="center"/>
        <w:rPr>
          <w:b/>
          <w:bCs/>
          <w:color w:val="0070C0"/>
          <w:rtl/>
        </w:rPr>
      </w:pPr>
      <w:r>
        <w:rPr>
          <w:rFonts w:hint="cs"/>
          <w:rtl/>
        </w:rPr>
        <w:lastRenderedPageBreak/>
        <w:t>לוח 3</w:t>
      </w:r>
      <w:r w:rsidR="00F92AA8" w:rsidRPr="00F92AA8">
        <w:rPr>
          <w:noProof/>
        </w:rPr>
        <w:drawing>
          <wp:inline distT="0" distB="0" distL="0" distR="0" wp14:anchorId="635237FA" wp14:editId="643A69EE">
            <wp:extent cx="5274310" cy="1600607"/>
            <wp:effectExtent l="57150" t="57150" r="59690" b="57150"/>
            <wp:docPr id="3" name="תמונה 3" descr="השינוי במצבת הסניפים במערכת הבנקאית, דצמבר 2015 עד יוני 2017" title="השינוי במצבת הסניפים במערכת הבנקא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1600607"/>
                    </a:xfrm>
                    <a:prstGeom prst="rect">
                      <a:avLst/>
                    </a:prstGeom>
                    <a:ln w="47625">
                      <a:solidFill>
                        <a:schemeClr val="accent1"/>
                      </a:solidFill>
                    </a:ln>
                  </pic:spPr>
                </pic:pic>
              </a:graphicData>
            </a:graphic>
          </wp:inline>
        </w:drawing>
      </w:r>
    </w:p>
    <w:p w:rsidR="00CF0040" w:rsidRDefault="00192566" w:rsidP="00E334AB">
      <w:pPr>
        <w:spacing w:after="120"/>
        <w:jc w:val="center"/>
        <w:rPr>
          <w:noProof/>
          <w:rtl/>
        </w:rPr>
      </w:pPr>
      <w:r w:rsidRPr="002771D3">
        <w:rPr>
          <w:rFonts w:hint="cs"/>
          <w:noProof/>
          <w:rtl/>
        </w:rPr>
        <w:t xml:space="preserve">איור </w:t>
      </w:r>
      <w:r w:rsidR="005953D0">
        <w:rPr>
          <w:rFonts w:hint="cs"/>
          <w:noProof/>
          <w:rtl/>
        </w:rPr>
        <w:t>1</w:t>
      </w:r>
      <w:r w:rsidR="00CF0040">
        <w:rPr>
          <w:noProof/>
        </w:rPr>
        <w:drawing>
          <wp:inline distT="0" distB="0" distL="0" distR="0" wp14:anchorId="2FFEAFD2" wp14:editId="58ABD564">
            <wp:extent cx="5274310" cy="3044825"/>
            <wp:effectExtent l="0" t="0" r="2540" b="3175"/>
            <wp:docPr id="12" name="תמונה 12" descr="התפתחות מספר הסניפים לפי רמת הפריפריאליות, סך המערכת הבנקאית, 2005 עד יולי 2017" title="התפתחות מספר הסניפים לפי רמת הפריפריאל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3044825"/>
                    </a:xfrm>
                    <a:prstGeom prst="rect">
                      <a:avLst/>
                    </a:prstGeom>
                  </pic:spPr>
                </pic:pic>
              </a:graphicData>
            </a:graphic>
          </wp:inline>
        </w:drawing>
      </w:r>
    </w:p>
    <w:p w:rsidR="00CF0040" w:rsidRDefault="00CF0040" w:rsidP="00192566">
      <w:pPr>
        <w:spacing w:after="120"/>
        <w:jc w:val="center"/>
        <w:rPr>
          <w:noProof/>
          <w:rtl/>
        </w:rPr>
      </w:pPr>
    </w:p>
    <w:p w:rsidR="00FD4461" w:rsidRPr="00C30774" w:rsidRDefault="00FD4461" w:rsidP="00C30774">
      <w:pPr>
        <w:spacing w:after="120" w:line="240" w:lineRule="auto"/>
        <w:jc w:val="center"/>
        <w:rPr>
          <w:b/>
          <w:bCs/>
          <w:noProof/>
          <w:rtl/>
        </w:rPr>
      </w:pPr>
      <w:r>
        <w:rPr>
          <w:rFonts w:hint="cs"/>
          <w:noProof/>
          <w:rtl/>
        </w:rPr>
        <w:t xml:space="preserve">לוח </w:t>
      </w:r>
      <w:r w:rsidR="00BA399A">
        <w:rPr>
          <w:rFonts w:hint="cs"/>
          <w:noProof/>
          <w:rtl/>
        </w:rPr>
        <w:t>4</w:t>
      </w:r>
    </w:p>
    <w:tbl>
      <w:tblPr>
        <w:tblStyle w:val="ab"/>
        <w:bidiVisual/>
        <w:tblW w:w="0" w:type="auto"/>
        <w:tblBorders>
          <w:top w:val="single" w:sz="36" w:space="0" w:color="4F81BD" w:themeColor="accent1"/>
          <w:left w:val="single" w:sz="36" w:space="0" w:color="4F81BD" w:themeColor="accent1"/>
          <w:bottom w:val="single" w:sz="36" w:space="0" w:color="4F81BD" w:themeColor="accent1"/>
          <w:right w:val="single" w:sz="36" w:space="0" w:color="4F81BD" w:themeColor="accent1"/>
        </w:tblBorders>
        <w:tblLook w:val="04A0" w:firstRow="1" w:lastRow="0" w:firstColumn="1" w:lastColumn="0" w:noHBand="0" w:noVBand="1"/>
        <w:tblCaption w:val="צעדים שבוצעו בעקבות הנחיית הפיקוח ויוזמות הבנקים לצורך תמיכה במעבר לבנקאות ישירה והקלה על הציבור "/>
        <w:tblDescription w:val="צעדים שבוצעו בעקבות הנחיית הפיקוח ויוזמות הבנקים לצורך תמיכה במעבר לבנקאות ישירה והקלה על הציבור "/>
      </w:tblPr>
      <w:tblGrid>
        <w:gridCol w:w="8496"/>
      </w:tblGrid>
      <w:tr w:rsidR="00512AAB" w:rsidRPr="00C30774" w:rsidTr="00ED5874">
        <w:trPr>
          <w:tblHeader/>
        </w:trPr>
        <w:tc>
          <w:tcPr>
            <w:tcW w:w="8496" w:type="dxa"/>
          </w:tcPr>
          <w:p w:rsidR="00512AAB" w:rsidRDefault="00512AAB" w:rsidP="006E02C1">
            <w:pPr>
              <w:pStyle w:val="2"/>
              <w:jc w:val="center"/>
              <w:outlineLvl w:val="1"/>
              <w:rPr>
                <w:noProof/>
                <w:rtl/>
              </w:rPr>
            </w:pPr>
          </w:p>
          <w:p w:rsidR="0026390E" w:rsidRPr="00192566" w:rsidRDefault="0026390E" w:rsidP="006E02C1">
            <w:pPr>
              <w:pStyle w:val="2"/>
              <w:jc w:val="center"/>
              <w:outlineLvl w:val="1"/>
              <w:rPr>
                <w:noProof/>
                <w:rtl/>
              </w:rPr>
            </w:pPr>
            <w:r w:rsidRPr="00192566">
              <w:rPr>
                <w:rFonts w:hint="cs"/>
                <w:noProof/>
                <w:rtl/>
              </w:rPr>
              <w:t xml:space="preserve">צעדים </w:t>
            </w:r>
            <w:r>
              <w:rPr>
                <w:rFonts w:hint="cs"/>
                <w:noProof/>
                <w:rtl/>
              </w:rPr>
              <w:t>ש</w:t>
            </w:r>
            <w:r w:rsidR="00650100">
              <w:rPr>
                <w:rFonts w:hint="cs"/>
                <w:noProof/>
                <w:rtl/>
              </w:rPr>
              <w:t>בוצעו בעקבות הנחיית הפיקוח ו</w:t>
            </w:r>
            <w:r>
              <w:rPr>
                <w:rFonts w:hint="cs"/>
                <w:noProof/>
                <w:rtl/>
              </w:rPr>
              <w:t>יוזמות הבנקים</w:t>
            </w:r>
            <w:r w:rsidRPr="00192566" w:rsidDel="000136E1">
              <w:rPr>
                <w:rFonts w:hint="cs"/>
                <w:noProof/>
                <w:rtl/>
              </w:rPr>
              <w:t xml:space="preserve"> </w:t>
            </w:r>
            <w:r>
              <w:rPr>
                <w:rFonts w:hint="cs"/>
                <w:noProof/>
                <w:rtl/>
              </w:rPr>
              <w:t>לצורך</w:t>
            </w:r>
            <w:r w:rsidRPr="00192566">
              <w:rPr>
                <w:rFonts w:hint="cs"/>
                <w:noProof/>
                <w:rtl/>
              </w:rPr>
              <w:t xml:space="preserve"> </w:t>
            </w:r>
            <w:r>
              <w:rPr>
                <w:rFonts w:hint="cs"/>
                <w:noProof/>
                <w:rtl/>
              </w:rPr>
              <w:t>תמיכה במעבר לבנקאות ישירה ו</w:t>
            </w:r>
            <w:r w:rsidRPr="00192566">
              <w:rPr>
                <w:rFonts w:hint="cs"/>
                <w:noProof/>
                <w:rtl/>
              </w:rPr>
              <w:t>הקלה על הציבור</w:t>
            </w:r>
          </w:p>
        </w:tc>
      </w:tr>
      <w:tr w:rsidR="00512AAB" w:rsidTr="00364170">
        <w:tc>
          <w:tcPr>
            <w:tcW w:w="8496" w:type="dxa"/>
          </w:tcPr>
          <w:p w:rsidR="00512AAB" w:rsidRPr="002D2AB6" w:rsidRDefault="00512AAB" w:rsidP="00B32BCB">
            <w:pPr>
              <w:pStyle w:val="af0"/>
              <w:numPr>
                <w:ilvl w:val="0"/>
                <w:numId w:val="15"/>
              </w:numPr>
              <w:spacing w:after="120" w:line="240" w:lineRule="auto"/>
              <w:rPr>
                <w:rFonts w:ascii="David" w:hAnsi="David" w:cs="David"/>
                <w:noProof/>
                <w:color w:val="0070C0"/>
                <w:rtl/>
              </w:rPr>
            </w:pPr>
            <w:r w:rsidRPr="002D2AB6">
              <w:rPr>
                <w:rFonts w:ascii="David" w:hAnsi="David" w:cs="David"/>
                <w:noProof/>
                <w:color w:val="0070C0"/>
                <w:rtl/>
              </w:rPr>
              <w:t xml:space="preserve">הצבת </w:t>
            </w:r>
            <w:r w:rsidRPr="002D2AB6">
              <w:rPr>
                <w:rFonts w:ascii="David" w:hAnsi="David" w:cs="David"/>
                <w:b/>
                <w:bCs/>
                <w:noProof/>
                <w:color w:val="0070C0"/>
                <w:rtl/>
              </w:rPr>
              <w:t>דיילי שירות</w:t>
            </w:r>
            <w:r w:rsidRPr="002D2AB6">
              <w:rPr>
                <w:rFonts w:ascii="David" w:hAnsi="David" w:cs="David"/>
                <w:noProof/>
                <w:color w:val="0070C0"/>
                <w:rtl/>
              </w:rPr>
              <w:t xml:space="preserve"> ליד המכשירים האוטומטיים לסיוע ללקוחות </w:t>
            </w:r>
          </w:p>
        </w:tc>
      </w:tr>
      <w:tr w:rsidR="00512AAB" w:rsidTr="00364170">
        <w:tc>
          <w:tcPr>
            <w:tcW w:w="8496" w:type="dxa"/>
          </w:tcPr>
          <w:p w:rsidR="00512AAB" w:rsidRPr="002D2AB6" w:rsidRDefault="00512AAB" w:rsidP="00B32BCB">
            <w:pPr>
              <w:pStyle w:val="af0"/>
              <w:numPr>
                <w:ilvl w:val="0"/>
                <w:numId w:val="15"/>
              </w:numPr>
              <w:spacing w:after="120" w:line="240" w:lineRule="auto"/>
              <w:rPr>
                <w:rFonts w:ascii="David" w:hAnsi="David" w:cs="David"/>
                <w:noProof/>
                <w:color w:val="0070C0"/>
                <w:rtl/>
              </w:rPr>
            </w:pPr>
            <w:r w:rsidRPr="002D2AB6">
              <w:rPr>
                <w:rFonts w:ascii="David" w:hAnsi="David" w:cs="David"/>
                <w:noProof/>
                <w:color w:val="0070C0"/>
                <w:rtl/>
              </w:rPr>
              <w:t xml:space="preserve">הפעלת </w:t>
            </w:r>
            <w:r w:rsidRPr="002D2AB6">
              <w:rPr>
                <w:rFonts w:ascii="David" w:hAnsi="David" w:cs="David"/>
                <w:b/>
                <w:bCs/>
                <w:noProof/>
                <w:color w:val="0070C0"/>
                <w:rtl/>
              </w:rPr>
              <w:t>סניף נייד</w:t>
            </w:r>
            <w:r w:rsidRPr="002D2AB6">
              <w:rPr>
                <w:rFonts w:ascii="David" w:hAnsi="David" w:cs="David"/>
                <w:noProof/>
                <w:color w:val="0070C0"/>
                <w:rtl/>
              </w:rPr>
              <w:t>, שמגיע לבתי אבות ואיזורים בהם נסגר סניף ואין סניף קרוב בסביבה</w:t>
            </w:r>
          </w:p>
        </w:tc>
      </w:tr>
      <w:tr w:rsidR="00512AAB" w:rsidTr="00364170">
        <w:tc>
          <w:tcPr>
            <w:tcW w:w="8496" w:type="dxa"/>
          </w:tcPr>
          <w:p w:rsidR="00512AAB" w:rsidRPr="002D2AB6" w:rsidRDefault="00512AAB" w:rsidP="00B32BCB">
            <w:pPr>
              <w:pStyle w:val="af0"/>
              <w:numPr>
                <w:ilvl w:val="0"/>
                <w:numId w:val="15"/>
              </w:numPr>
              <w:spacing w:after="120" w:line="240" w:lineRule="auto"/>
              <w:rPr>
                <w:rFonts w:ascii="David" w:hAnsi="David" w:cs="David"/>
                <w:noProof/>
                <w:color w:val="0070C0"/>
                <w:rtl/>
              </w:rPr>
            </w:pPr>
            <w:r w:rsidRPr="002D2AB6">
              <w:rPr>
                <w:rFonts w:ascii="David" w:hAnsi="David" w:cs="David"/>
                <w:noProof/>
                <w:color w:val="0070C0"/>
                <w:rtl/>
              </w:rPr>
              <w:t xml:space="preserve">הפעלת </w:t>
            </w:r>
            <w:r w:rsidRPr="002D2AB6">
              <w:rPr>
                <w:rFonts w:ascii="David" w:hAnsi="David" w:cs="David"/>
                <w:b/>
                <w:bCs/>
                <w:noProof/>
                <w:color w:val="0070C0"/>
                <w:rtl/>
              </w:rPr>
              <w:t>כספומט מוזל</w:t>
            </w:r>
            <w:r w:rsidRPr="002D2AB6">
              <w:rPr>
                <w:rFonts w:ascii="David" w:hAnsi="David" w:cs="David"/>
                <w:noProof/>
                <w:color w:val="0070C0"/>
                <w:rtl/>
              </w:rPr>
              <w:t xml:space="preserve"> בקרבת סניף שנסגר והרחבת השירותים הניתנים בכספומט</w:t>
            </w:r>
          </w:p>
        </w:tc>
      </w:tr>
      <w:tr w:rsidR="00512AAB" w:rsidTr="00364170">
        <w:tc>
          <w:tcPr>
            <w:tcW w:w="8496" w:type="dxa"/>
          </w:tcPr>
          <w:p w:rsidR="00512AAB" w:rsidRPr="002D2AB6" w:rsidRDefault="00512AAB" w:rsidP="00B32BCB">
            <w:pPr>
              <w:pStyle w:val="af0"/>
              <w:numPr>
                <w:ilvl w:val="0"/>
                <w:numId w:val="15"/>
              </w:numPr>
              <w:spacing w:after="120" w:line="240" w:lineRule="auto"/>
              <w:rPr>
                <w:rFonts w:ascii="David" w:hAnsi="David" w:cs="David"/>
                <w:noProof/>
                <w:color w:val="0070C0"/>
                <w:rtl/>
              </w:rPr>
            </w:pPr>
            <w:r w:rsidRPr="002D2AB6">
              <w:rPr>
                <w:rFonts w:ascii="David" w:hAnsi="David" w:cs="David"/>
                <w:b/>
                <w:bCs/>
                <w:noProof/>
                <w:color w:val="0070C0"/>
                <w:rtl/>
              </w:rPr>
              <w:t>הכשרת לקוחות</w:t>
            </w:r>
            <w:r w:rsidRPr="002D2AB6">
              <w:rPr>
                <w:rFonts w:ascii="David" w:hAnsi="David" w:cs="David"/>
                <w:noProof/>
                <w:color w:val="0070C0"/>
                <w:rtl/>
              </w:rPr>
              <w:t xml:space="preserve"> הבנקים לעולם הדיגיטלי</w:t>
            </w:r>
            <w:r>
              <w:rPr>
                <w:rFonts w:ascii="David" w:hAnsi="David" w:cs="David" w:hint="cs"/>
                <w:noProof/>
                <w:color w:val="0070C0"/>
                <w:rtl/>
              </w:rPr>
              <w:t xml:space="preserve"> </w:t>
            </w:r>
          </w:p>
        </w:tc>
      </w:tr>
      <w:tr w:rsidR="00512AAB" w:rsidTr="00364170">
        <w:tc>
          <w:tcPr>
            <w:tcW w:w="8496" w:type="dxa"/>
          </w:tcPr>
          <w:p w:rsidR="00512AAB" w:rsidRPr="002D2AB6" w:rsidRDefault="00512AAB" w:rsidP="00B32BCB">
            <w:pPr>
              <w:pStyle w:val="af0"/>
              <w:numPr>
                <w:ilvl w:val="0"/>
                <w:numId w:val="15"/>
              </w:numPr>
              <w:spacing w:after="120" w:line="240" w:lineRule="auto"/>
              <w:rPr>
                <w:rFonts w:ascii="David" w:hAnsi="David" w:cs="David"/>
                <w:noProof/>
                <w:color w:val="0070C0"/>
                <w:rtl/>
              </w:rPr>
            </w:pPr>
            <w:r w:rsidRPr="002D2AB6">
              <w:rPr>
                <w:rFonts w:ascii="David" w:hAnsi="David" w:cs="David"/>
                <w:noProof/>
                <w:color w:val="0070C0"/>
                <w:rtl/>
              </w:rPr>
              <w:t xml:space="preserve">מתן קדימות לקשישים </w:t>
            </w:r>
            <w:r w:rsidRPr="002D2AB6">
              <w:rPr>
                <w:rFonts w:ascii="David" w:hAnsi="David" w:cs="David"/>
                <w:b/>
                <w:bCs/>
                <w:noProof/>
                <w:color w:val="0070C0"/>
                <w:rtl/>
              </w:rPr>
              <w:t>במוקד טלפוני בנקאי</w:t>
            </w:r>
            <w:r w:rsidRPr="002D2AB6">
              <w:rPr>
                <w:rFonts w:ascii="David" w:hAnsi="David" w:cs="David"/>
                <w:noProof/>
                <w:color w:val="0070C0"/>
                <w:rtl/>
              </w:rPr>
              <w:t xml:space="preserve"> (יכנס לתוקף</w:t>
            </w:r>
            <w:r w:rsidR="00C3044D">
              <w:rPr>
                <w:rFonts w:ascii="David" w:hAnsi="David" w:cs="David" w:hint="cs"/>
                <w:noProof/>
                <w:color w:val="0070C0"/>
                <w:rtl/>
              </w:rPr>
              <w:t xml:space="preserve"> ב-</w:t>
            </w:r>
            <w:r>
              <w:rPr>
                <w:rFonts w:ascii="David" w:hAnsi="David" w:cs="David" w:hint="cs"/>
                <w:noProof/>
                <w:color w:val="0070C0"/>
                <w:rtl/>
              </w:rPr>
              <w:t>2018)</w:t>
            </w:r>
            <w:r w:rsidRPr="002D2AB6">
              <w:rPr>
                <w:rFonts w:ascii="David" w:hAnsi="David" w:cs="David"/>
                <w:noProof/>
                <w:color w:val="0070C0"/>
                <w:rtl/>
              </w:rPr>
              <w:t xml:space="preserve"> ושיפורים נוספים במוקד</w:t>
            </w:r>
          </w:p>
        </w:tc>
      </w:tr>
      <w:tr w:rsidR="00512AAB" w:rsidTr="00364170">
        <w:tc>
          <w:tcPr>
            <w:tcW w:w="8496" w:type="dxa"/>
          </w:tcPr>
          <w:p w:rsidR="00512AAB" w:rsidRPr="002D2AB6" w:rsidRDefault="00512AAB" w:rsidP="00B32BCB">
            <w:pPr>
              <w:pStyle w:val="af0"/>
              <w:numPr>
                <w:ilvl w:val="0"/>
                <w:numId w:val="15"/>
              </w:numPr>
              <w:spacing w:after="120" w:line="240" w:lineRule="auto"/>
              <w:rPr>
                <w:rFonts w:ascii="David" w:hAnsi="David" w:cs="David"/>
                <w:noProof/>
                <w:color w:val="0070C0"/>
                <w:rtl/>
              </w:rPr>
            </w:pPr>
            <w:r w:rsidRPr="002D2AB6">
              <w:rPr>
                <w:rFonts w:ascii="David" w:hAnsi="David" w:cs="David"/>
                <w:noProof/>
                <w:color w:val="0070C0"/>
                <w:rtl/>
              </w:rPr>
              <w:t xml:space="preserve">מתן </w:t>
            </w:r>
            <w:r w:rsidRPr="002D2AB6">
              <w:rPr>
                <w:rFonts w:ascii="David" w:hAnsi="David" w:cs="David"/>
                <w:b/>
                <w:bCs/>
                <w:noProof/>
                <w:color w:val="0070C0"/>
                <w:rtl/>
              </w:rPr>
              <w:t>הנחה בעמלות</w:t>
            </w:r>
            <w:r w:rsidRPr="002D2AB6">
              <w:rPr>
                <w:rFonts w:ascii="David" w:hAnsi="David" w:cs="David"/>
                <w:noProof/>
                <w:color w:val="0070C0"/>
                <w:rtl/>
              </w:rPr>
              <w:t xml:space="preserve"> </w:t>
            </w:r>
            <w:r w:rsidRPr="002D2AB6">
              <w:rPr>
                <w:rFonts w:ascii="David" w:hAnsi="David" w:cs="David"/>
                <w:noProof/>
                <w:color w:val="0070C0"/>
                <w:u w:val="single"/>
                <w:rtl/>
              </w:rPr>
              <w:t>בכל</w:t>
            </w:r>
            <w:r w:rsidRPr="002D2AB6">
              <w:rPr>
                <w:rFonts w:ascii="David" w:hAnsi="David" w:cs="David"/>
                <w:noProof/>
                <w:color w:val="0070C0"/>
                <w:rtl/>
              </w:rPr>
              <w:t xml:space="preserve"> פעילות בנקאית שמבוצעת באמצעים ישירים</w:t>
            </w:r>
          </w:p>
        </w:tc>
      </w:tr>
      <w:tr w:rsidR="00FD27ED" w:rsidTr="00364170">
        <w:tc>
          <w:tcPr>
            <w:tcW w:w="8496" w:type="dxa"/>
          </w:tcPr>
          <w:p w:rsidR="00FD27ED" w:rsidRPr="002D2AB6" w:rsidRDefault="00FD27ED" w:rsidP="00B32BCB">
            <w:pPr>
              <w:pStyle w:val="af0"/>
              <w:numPr>
                <w:ilvl w:val="0"/>
                <w:numId w:val="15"/>
              </w:numPr>
              <w:spacing w:after="120" w:line="240" w:lineRule="auto"/>
              <w:rPr>
                <w:rFonts w:ascii="David" w:hAnsi="David" w:cs="David"/>
                <w:noProof/>
                <w:color w:val="0070C0"/>
                <w:rtl/>
              </w:rPr>
            </w:pPr>
            <w:r w:rsidRPr="00CA6126">
              <w:rPr>
                <w:rFonts w:ascii="David" w:hAnsi="David" w:cs="David" w:hint="cs"/>
                <w:noProof/>
                <w:color w:val="0070C0"/>
                <w:rtl/>
              </w:rPr>
              <w:t xml:space="preserve">בדיקת הבנק טרם סגירת סניף או עמדת טלר וגיבוש </w:t>
            </w:r>
            <w:r w:rsidRPr="00CA6126">
              <w:rPr>
                <w:rFonts w:ascii="David" w:hAnsi="David" w:cs="David" w:hint="cs"/>
                <w:b/>
                <w:bCs/>
                <w:noProof/>
                <w:color w:val="0070C0"/>
                <w:rtl/>
              </w:rPr>
              <w:t>תוכנית להבטחת המשכיות</w:t>
            </w:r>
            <w:r w:rsidRPr="00CA6126">
              <w:rPr>
                <w:rFonts w:ascii="David" w:hAnsi="David" w:cs="David" w:hint="cs"/>
                <w:noProof/>
                <w:color w:val="0070C0"/>
                <w:rtl/>
              </w:rPr>
              <w:t xml:space="preserve"> </w:t>
            </w:r>
            <w:r>
              <w:rPr>
                <w:rFonts w:ascii="David" w:hAnsi="David" w:cs="David" w:hint="cs"/>
                <w:noProof/>
                <w:color w:val="0070C0"/>
                <w:rtl/>
              </w:rPr>
              <w:t>ב</w:t>
            </w:r>
            <w:r w:rsidRPr="00CA6126">
              <w:rPr>
                <w:rFonts w:ascii="David" w:hAnsi="David" w:cs="David" w:hint="cs"/>
                <w:noProof/>
                <w:color w:val="0070C0"/>
                <w:rtl/>
              </w:rPr>
              <w:t>מתן שירותים.</w:t>
            </w:r>
          </w:p>
        </w:tc>
      </w:tr>
      <w:tr w:rsidR="00FD27ED" w:rsidTr="00364170">
        <w:tc>
          <w:tcPr>
            <w:tcW w:w="8496" w:type="dxa"/>
          </w:tcPr>
          <w:p w:rsidR="00FD27ED" w:rsidRPr="002D2AB6" w:rsidRDefault="00FD27ED" w:rsidP="00B32BCB">
            <w:pPr>
              <w:pStyle w:val="af0"/>
              <w:numPr>
                <w:ilvl w:val="0"/>
                <w:numId w:val="15"/>
              </w:numPr>
              <w:spacing w:after="120" w:line="240" w:lineRule="auto"/>
              <w:rPr>
                <w:rFonts w:ascii="David" w:hAnsi="David" w:cs="David"/>
                <w:noProof/>
                <w:color w:val="0070C0"/>
                <w:rtl/>
              </w:rPr>
            </w:pPr>
            <w:r w:rsidRPr="00CA6126">
              <w:rPr>
                <w:rFonts w:ascii="David" w:hAnsi="David" w:cs="David" w:hint="cs"/>
                <w:b/>
                <w:bCs/>
                <w:noProof/>
                <w:color w:val="0070C0"/>
                <w:rtl/>
              </w:rPr>
              <w:t>הקלות רגולטוריות בהתחברות</w:t>
            </w:r>
            <w:r w:rsidRPr="00CA6126">
              <w:rPr>
                <w:rFonts w:ascii="David" w:hAnsi="David" w:cs="David" w:hint="cs"/>
                <w:noProof/>
                <w:color w:val="0070C0"/>
                <w:rtl/>
              </w:rPr>
              <w:t xml:space="preserve"> </w:t>
            </w:r>
            <w:r w:rsidRPr="00AC5105">
              <w:rPr>
                <w:rFonts w:ascii="David" w:hAnsi="David" w:cs="David" w:hint="cs"/>
                <w:b/>
                <w:bCs/>
                <w:noProof/>
                <w:color w:val="0070C0"/>
                <w:rtl/>
              </w:rPr>
              <w:t>לשירותי</w:t>
            </w:r>
            <w:r w:rsidRPr="00AC5105">
              <w:rPr>
                <w:rFonts w:ascii="David" w:hAnsi="David" w:cs="David"/>
                <w:b/>
                <w:bCs/>
                <w:noProof/>
                <w:color w:val="0070C0"/>
                <w:rtl/>
              </w:rPr>
              <w:t xml:space="preserve"> </w:t>
            </w:r>
            <w:r w:rsidRPr="00AC5105">
              <w:rPr>
                <w:rFonts w:ascii="David" w:hAnsi="David" w:cs="David" w:hint="cs"/>
                <w:b/>
                <w:bCs/>
                <w:noProof/>
                <w:color w:val="0070C0"/>
                <w:rtl/>
              </w:rPr>
              <w:t>בנקאות</w:t>
            </w:r>
            <w:r w:rsidRPr="00AC5105">
              <w:rPr>
                <w:rFonts w:ascii="David" w:hAnsi="David" w:cs="David"/>
                <w:b/>
                <w:bCs/>
                <w:noProof/>
                <w:color w:val="0070C0"/>
                <w:rtl/>
              </w:rPr>
              <w:t xml:space="preserve"> </w:t>
            </w:r>
            <w:r w:rsidRPr="00AC5105">
              <w:rPr>
                <w:rFonts w:ascii="David" w:hAnsi="David" w:cs="David" w:hint="cs"/>
                <w:b/>
                <w:bCs/>
                <w:noProof/>
                <w:color w:val="0070C0"/>
                <w:rtl/>
              </w:rPr>
              <w:t>בתקשורת</w:t>
            </w:r>
            <w:r w:rsidRPr="00CA6126">
              <w:rPr>
                <w:rFonts w:ascii="David" w:hAnsi="David" w:cs="David" w:hint="cs"/>
                <w:noProof/>
                <w:color w:val="0070C0"/>
                <w:rtl/>
              </w:rPr>
              <w:t xml:space="preserve"> ולקבל</w:t>
            </w:r>
            <w:r>
              <w:rPr>
                <w:rFonts w:ascii="David" w:hAnsi="David" w:cs="David" w:hint="cs"/>
                <w:noProof/>
                <w:color w:val="0070C0"/>
                <w:rtl/>
              </w:rPr>
              <w:t>ת</w:t>
            </w:r>
            <w:r w:rsidRPr="00CA6126">
              <w:rPr>
                <w:rFonts w:ascii="David" w:hAnsi="David" w:cs="David" w:hint="cs"/>
                <w:noProof/>
                <w:color w:val="0070C0"/>
                <w:rtl/>
              </w:rPr>
              <w:t xml:space="preserve"> הודעות באמצעים ישירים</w:t>
            </w:r>
            <w:r>
              <w:rPr>
                <w:rFonts w:ascii="David" w:hAnsi="David" w:cs="David" w:hint="cs"/>
                <w:noProof/>
                <w:color w:val="0070C0"/>
                <w:rtl/>
              </w:rPr>
              <w:t>.</w:t>
            </w:r>
          </w:p>
        </w:tc>
      </w:tr>
      <w:tr w:rsidR="00FD27ED" w:rsidTr="00364170">
        <w:tc>
          <w:tcPr>
            <w:tcW w:w="8496" w:type="dxa"/>
          </w:tcPr>
          <w:p w:rsidR="00FD27ED" w:rsidRPr="002D2AB6" w:rsidRDefault="00FD27ED" w:rsidP="00B32BCB">
            <w:pPr>
              <w:pStyle w:val="af0"/>
              <w:numPr>
                <w:ilvl w:val="0"/>
                <w:numId w:val="15"/>
              </w:numPr>
              <w:spacing w:after="120" w:line="240" w:lineRule="auto"/>
              <w:rPr>
                <w:rFonts w:ascii="David" w:hAnsi="David" w:cs="David"/>
                <w:noProof/>
                <w:color w:val="0070C0"/>
                <w:rtl/>
              </w:rPr>
            </w:pPr>
            <w:r w:rsidRPr="00CA6126">
              <w:rPr>
                <w:rFonts w:ascii="David" w:hAnsi="David" w:cs="David" w:hint="cs"/>
                <w:noProof/>
                <w:color w:val="0070C0"/>
                <w:rtl/>
              </w:rPr>
              <w:t>בדיקה דקדקנית של הפיקוח על הבנקים, של בקשות לסגירת סניפים</w:t>
            </w:r>
            <w:r>
              <w:rPr>
                <w:rFonts w:ascii="David" w:hAnsi="David" w:cs="David" w:hint="cs"/>
                <w:noProof/>
                <w:color w:val="0070C0"/>
                <w:rtl/>
              </w:rPr>
              <w:t>.</w:t>
            </w:r>
          </w:p>
        </w:tc>
      </w:tr>
    </w:tbl>
    <w:p w:rsidR="00192566" w:rsidRDefault="00192566" w:rsidP="00753D96">
      <w:pPr>
        <w:spacing w:after="120"/>
        <w:rPr>
          <w:noProof/>
          <w:rtl/>
        </w:rPr>
      </w:pPr>
    </w:p>
    <w:p w:rsidR="004F560D" w:rsidRPr="006C257C" w:rsidRDefault="00B36377" w:rsidP="00D319EA">
      <w:pPr>
        <w:spacing w:after="120"/>
        <w:rPr>
          <w:b/>
          <w:bCs/>
          <w:color w:val="0070C0"/>
          <w:rtl/>
        </w:rPr>
      </w:pPr>
      <w:r w:rsidRPr="006C257C">
        <w:rPr>
          <w:rFonts w:hint="cs"/>
          <w:b/>
          <w:bCs/>
          <w:color w:val="0070C0"/>
          <w:rtl/>
        </w:rPr>
        <w:lastRenderedPageBreak/>
        <w:t xml:space="preserve">תמונת </w:t>
      </w:r>
      <w:r w:rsidR="000330C9" w:rsidRPr="006C257C">
        <w:rPr>
          <w:rFonts w:hint="cs"/>
          <w:b/>
          <w:bCs/>
          <w:color w:val="0070C0"/>
          <w:rtl/>
        </w:rPr>
        <w:t xml:space="preserve">מצב </w:t>
      </w:r>
      <w:r w:rsidRPr="006C257C">
        <w:rPr>
          <w:rFonts w:hint="cs"/>
          <w:b/>
          <w:bCs/>
          <w:color w:val="0070C0"/>
          <w:rtl/>
        </w:rPr>
        <w:t>ל</w:t>
      </w:r>
      <w:r w:rsidR="004F560D" w:rsidRPr="006C257C">
        <w:rPr>
          <w:rFonts w:hint="cs"/>
          <w:b/>
          <w:bCs/>
          <w:color w:val="0070C0"/>
          <w:rtl/>
        </w:rPr>
        <w:t>יישומה של תכנית ההתייעלות</w:t>
      </w:r>
      <w:r w:rsidR="00D319EA" w:rsidRPr="006C257C">
        <w:rPr>
          <w:rFonts w:hint="cs"/>
          <w:b/>
          <w:bCs/>
          <w:color w:val="0070C0"/>
          <w:rtl/>
        </w:rPr>
        <w:t xml:space="preserve"> </w:t>
      </w:r>
    </w:p>
    <w:p w:rsidR="00087DE7" w:rsidRDefault="00FE6145" w:rsidP="00A26C24">
      <w:pPr>
        <w:spacing w:after="120"/>
        <w:rPr>
          <w:rtl/>
        </w:rPr>
      </w:pPr>
      <w:r w:rsidRPr="009D5564">
        <w:rPr>
          <w:rFonts w:hint="cs"/>
          <w:rtl/>
        </w:rPr>
        <w:t xml:space="preserve">על מנת </w:t>
      </w:r>
      <w:r>
        <w:rPr>
          <w:rFonts w:hint="cs"/>
          <w:rtl/>
        </w:rPr>
        <w:t>שהפיקוח יוכל לעקוב אחר</w:t>
      </w:r>
      <w:r w:rsidRPr="009D5564">
        <w:rPr>
          <w:rFonts w:hint="cs"/>
          <w:rtl/>
        </w:rPr>
        <w:t xml:space="preserve"> יישומה של תכנית ההתייעלות, </w:t>
      </w:r>
      <w:r w:rsidRPr="009D5564">
        <w:rPr>
          <w:rtl/>
        </w:rPr>
        <w:t xml:space="preserve">נדרשו הבנקים לדווח בתדירות </w:t>
      </w:r>
      <w:r w:rsidRPr="009D5564">
        <w:rPr>
          <w:rFonts w:hint="cs"/>
          <w:rtl/>
        </w:rPr>
        <w:t>חצי שנתית</w:t>
      </w:r>
      <w:r w:rsidRPr="009D5564">
        <w:rPr>
          <w:rtl/>
        </w:rPr>
        <w:t xml:space="preserve"> על </w:t>
      </w:r>
      <w:r w:rsidR="000330C9">
        <w:rPr>
          <w:rFonts w:hint="cs"/>
          <w:rtl/>
        </w:rPr>
        <w:t xml:space="preserve">מצב </w:t>
      </w:r>
      <w:r w:rsidRPr="009D5564">
        <w:rPr>
          <w:rtl/>
        </w:rPr>
        <w:t xml:space="preserve">יישום התכנית בפועל </w:t>
      </w:r>
      <w:r w:rsidRPr="009D5564">
        <w:rPr>
          <w:rFonts w:hint="cs"/>
          <w:rtl/>
        </w:rPr>
        <w:t>לצד</w:t>
      </w:r>
      <w:r w:rsidRPr="009D5564">
        <w:rPr>
          <w:rtl/>
        </w:rPr>
        <w:t xml:space="preserve"> תחזית מעודכנת לשנים הבאות. </w:t>
      </w:r>
      <w:r w:rsidR="009D5564" w:rsidRPr="009D5564">
        <w:rPr>
          <w:rtl/>
        </w:rPr>
        <w:t>מ</w:t>
      </w:r>
      <w:r w:rsidR="00D54326">
        <w:rPr>
          <w:rFonts w:hint="cs"/>
          <w:rtl/>
        </w:rPr>
        <w:t>ה</w:t>
      </w:r>
      <w:r w:rsidR="00D54326">
        <w:rPr>
          <w:rtl/>
        </w:rPr>
        <w:t>דיווח</w:t>
      </w:r>
      <w:r w:rsidR="0063078B">
        <w:rPr>
          <w:rFonts w:hint="cs"/>
          <w:rtl/>
        </w:rPr>
        <w:t>ים</w:t>
      </w:r>
      <w:r w:rsidR="00D54326">
        <w:rPr>
          <w:rFonts w:hint="cs"/>
          <w:rtl/>
        </w:rPr>
        <w:t xml:space="preserve"> </w:t>
      </w:r>
      <w:r w:rsidR="00B652D4">
        <w:rPr>
          <w:rFonts w:hint="cs"/>
          <w:rtl/>
        </w:rPr>
        <w:t>שהתקבל</w:t>
      </w:r>
      <w:r w:rsidR="0063078B">
        <w:rPr>
          <w:rFonts w:hint="cs"/>
          <w:rtl/>
        </w:rPr>
        <w:t>ו</w:t>
      </w:r>
      <w:r w:rsidR="00B652D4">
        <w:rPr>
          <w:rFonts w:hint="cs"/>
          <w:rtl/>
        </w:rPr>
        <w:t xml:space="preserve"> עבור</w:t>
      </w:r>
      <w:r w:rsidR="00D522F5" w:rsidRPr="009D5564">
        <w:rPr>
          <w:rFonts w:hint="cs"/>
          <w:rtl/>
        </w:rPr>
        <w:t xml:space="preserve"> המחצית הראשונה של 2017 </w:t>
      </w:r>
      <w:r w:rsidR="009D5564" w:rsidRPr="009D5564">
        <w:rPr>
          <w:rtl/>
        </w:rPr>
        <w:t xml:space="preserve">עולה כי </w:t>
      </w:r>
      <w:r w:rsidR="00D54326" w:rsidRPr="009D5564">
        <w:rPr>
          <w:rtl/>
        </w:rPr>
        <w:t xml:space="preserve">הבנקים </w:t>
      </w:r>
      <w:r w:rsidR="009D5564" w:rsidRPr="009D5564">
        <w:rPr>
          <w:rtl/>
        </w:rPr>
        <w:t>ע</w:t>
      </w:r>
      <w:r w:rsidR="009D5564" w:rsidRPr="009D5564">
        <w:rPr>
          <w:rFonts w:hint="cs"/>
          <w:rtl/>
        </w:rPr>
        <w:t>ו</w:t>
      </w:r>
      <w:r w:rsidR="009D5564" w:rsidRPr="009D5564">
        <w:rPr>
          <w:rtl/>
        </w:rPr>
        <w:t>מד</w:t>
      </w:r>
      <w:r w:rsidR="009D5564" w:rsidRPr="009D5564">
        <w:rPr>
          <w:rFonts w:hint="cs"/>
          <w:rtl/>
        </w:rPr>
        <w:t>ים</w:t>
      </w:r>
      <w:r w:rsidR="00D54326">
        <w:rPr>
          <w:rtl/>
        </w:rPr>
        <w:t xml:space="preserve"> ביישום ה</w:t>
      </w:r>
      <w:r w:rsidR="00D54326">
        <w:rPr>
          <w:rFonts w:hint="cs"/>
          <w:rtl/>
        </w:rPr>
        <w:t>ת</w:t>
      </w:r>
      <w:r w:rsidR="009D5564" w:rsidRPr="009D5564">
        <w:rPr>
          <w:rtl/>
        </w:rPr>
        <w:t>כנית בכל הקשור לקיטון במצבת העובדים, סגירת ס</w:t>
      </w:r>
      <w:r w:rsidR="00A94CD1">
        <w:rPr>
          <w:rtl/>
        </w:rPr>
        <w:t>ניפים ו</w:t>
      </w:r>
      <w:r w:rsidR="00A94CD1">
        <w:rPr>
          <w:rFonts w:hint="cs"/>
          <w:rtl/>
        </w:rPr>
        <w:t>שיפור מדדי היעילות</w:t>
      </w:r>
      <w:r w:rsidR="009D5564" w:rsidRPr="009D5564">
        <w:rPr>
          <w:rtl/>
        </w:rPr>
        <w:t xml:space="preserve">. </w:t>
      </w:r>
      <w:r w:rsidR="00092D6C">
        <w:rPr>
          <w:rFonts w:hint="cs"/>
          <w:rtl/>
        </w:rPr>
        <w:t>עד כה רשמו הבנקים</w:t>
      </w:r>
      <w:r w:rsidR="007E7246">
        <w:rPr>
          <w:rFonts w:hint="cs"/>
          <w:rtl/>
        </w:rPr>
        <w:t xml:space="preserve"> </w:t>
      </w:r>
      <w:r w:rsidR="00DD6411">
        <w:rPr>
          <w:rFonts w:hint="cs"/>
          <w:rtl/>
        </w:rPr>
        <w:t xml:space="preserve">פרישה </w:t>
      </w:r>
      <w:r w:rsidR="00916798">
        <w:rPr>
          <w:rFonts w:hint="cs"/>
          <w:rtl/>
        </w:rPr>
        <w:t>(</w:t>
      </w:r>
      <w:r w:rsidR="00DD6411">
        <w:rPr>
          <w:rFonts w:hint="cs"/>
          <w:rtl/>
        </w:rPr>
        <w:t>נטו</w:t>
      </w:r>
      <w:r w:rsidR="00916798">
        <w:rPr>
          <w:rFonts w:hint="cs"/>
          <w:rtl/>
        </w:rPr>
        <w:t>)</w:t>
      </w:r>
      <w:r w:rsidR="00DD6411">
        <w:rPr>
          <w:rFonts w:hint="cs"/>
          <w:rtl/>
        </w:rPr>
        <w:t xml:space="preserve"> </w:t>
      </w:r>
      <w:r w:rsidR="00DD6411" w:rsidRPr="006D6EB5">
        <w:rPr>
          <w:rFonts w:hint="cs"/>
          <w:rtl/>
        </w:rPr>
        <w:t>של כ-1,870</w:t>
      </w:r>
      <w:r w:rsidR="0064561B">
        <w:rPr>
          <w:rFonts w:hint="cs"/>
          <w:rtl/>
        </w:rPr>
        <w:t xml:space="preserve"> עובדים, רובם בפרישה מוקדמת </w:t>
      </w:r>
      <w:r w:rsidR="00966C07">
        <w:rPr>
          <w:rFonts w:hint="cs"/>
          <w:rtl/>
        </w:rPr>
        <w:t xml:space="preserve">של עובדים ותיקים </w:t>
      </w:r>
      <w:r w:rsidR="0064561B">
        <w:rPr>
          <w:rFonts w:hint="cs"/>
          <w:rtl/>
        </w:rPr>
        <w:t>וחלקם בפרישה טבעית</w:t>
      </w:r>
      <w:r w:rsidR="004809A5" w:rsidRPr="006D6EB5">
        <w:rPr>
          <w:rStyle w:val="ad"/>
          <w:rtl/>
        </w:rPr>
        <w:footnoteReference w:id="9"/>
      </w:r>
      <w:r w:rsidR="00DD6411" w:rsidRPr="00A640F8">
        <w:rPr>
          <w:rFonts w:hint="cs"/>
          <w:rtl/>
        </w:rPr>
        <w:t xml:space="preserve"> (</w:t>
      </w:r>
      <w:r w:rsidR="007E7246" w:rsidRPr="00A640F8">
        <w:rPr>
          <w:rFonts w:hint="cs"/>
          <w:rtl/>
        </w:rPr>
        <w:t>כ-4%</w:t>
      </w:r>
      <w:r w:rsidR="0009353D" w:rsidRPr="00A640F8">
        <w:rPr>
          <w:rFonts w:hint="cs"/>
          <w:rtl/>
        </w:rPr>
        <w:t xml:space="preserve"> מ</w:t>
      </w:r>
      <w:r w:rsidR="001D1DBE" w:rsidRPr="00A640F8">
        <w:rPr>
          <w:rFonts w:hint="cs"/>
          <w:rtl/>
        </w:rPr>
        <w:t>מצבת</w:t>
      </w:r>
      <w:r w:rsidR="001D1DBE">
        <w:rPr>
          <w:rFonts w:hint="cs"/>
          <w:rtl/>
        </w:rPr>
        <w:t xml:space="preserve"> </w:t>
      </w:r>
      <w:r w:rsidR="0009353D">
        <w:rPr>
          <w:rFonts w:hint="cs"/>
          <w:rtl/>
        </w:rPr>
        <w:t>העובדים</w:t>
      </w:r>
      <w:r w:rsidR="00277429">
        <w:rPr>
          <w:rFonts w:hint="cs"/>
          <w:rtl/>
        </w:rPr>
        <w:t xml:space="preserve"> במערכת</w:t>
      </w:r>
      <w:r w:rsidR="00A640F8">
        <w:rPr>
          <w:rStyle w:val="ad"/>
          <w:rtl/>
        </w:rPr>
        <w:footnoteReference w:id="10"/>
      </w:r>
      <w:r w:rsidR="0009353D">
        <w:rPr>
          <w:rFonts w:hint="cs"/>
          <w:rtl/>
        </w:rPr>
        <w:t>)</w:t>
      </w:r>
      <w:r w:rsidR="00065433">
        <w:rPr>
          <w:rFonts w:hint="cs"/>
          <w:rtl/>
        </w:rPr>
        <w:t>,</w:t>
      </w:r>
      <w:r w:rsidR="00953FC8">
        <w:rPr>
          <w:rFonts w:hint="cs"/>
          <w:rtl/>
        </w:rPr>
        <w:t xml:space="preserve"> </w:t>
      </w:r>
      <w:r w:rsidR="007E7246">
        <w:rPr>
          <w:rFonts w:hint="cs"/>
          <w:rtl/>
        </w:rPr>
        <w:t>לצד סגירה</w:t>
      </w:r>
      <w:r w:rsidR="00916798">
        <w:rPr>
          <w:rFonts w:hint="cs"/>
          <w:rtl/>
        </w:rPr>
        <w:t xml:space="preserve"> (נטו)</w:t>
      </w:r>
      <w:r w:rsidR="007E7246">
        <w:rPr>
          <w:rFonts w:hint="cs"/>
          <w:rtl/>
        </w:rPr>
        <w:t xml:space="preserve"> של </w:t>
      </w:r>
      <w:r w:rsidR="00580021">
        <w:rPr>
          <w:rFonts w:hint="cs"/>
          <w:rtl/>
        </w:rPr>
        <w:t>68</w:t>
      </w:r>
      <w:r w:rsidR="007E7246">
        <w:rPr>
          <w:rFonts w:hint="cs"/>
          <w:rtl/>
        </w:rPr>
        <w:t xml:space="preserve"> סניפים</w:t>
      </w:r>
      <w:r w:rsidR="00674C95">
        <w:rPr>
          <w:rFonts w:hint="cs"/>
          <w:rtl/>
        </w:rPr>
        <w:t xml:space="preserve">, ביטול שירותי </w:t>
      </w:r>
      <w:proofErr w:type="spellStart"/>
      <w:r w:rsidR="00674C95">
        <w:rPr>
          <w:rFonts w:hint="cs"/>
          <w:rtl/>
        </w:rPr>
        <w:t>טלר</w:t>
      </w:r>
      <w:proofErr w:type="spellEnd"/>
      <w:r w:rsidR="00181CAB">
        <w:rPr>
          <w:rFonts w:hint="cs"/>
          <w:rtl/>
        </w:rPr>
        <w:t xml:space="preserve"> בכ-110 סניפים נוספים</w:t>
      </w:r>
      <w:r w:rsidR="007E7246">
        <w:rPr>
          <w:rFonts w:hint="cs"/>
          <w:rtl/>
        </w:rPr>
        <w:t xml:space="preserve"> וצמצום שטחי </w:t>
      </w:r>
      <w:r w:rsidR="007E7246" w:rsidRPr="007D39EB">
        <w:rPr>
          <w:rFonts w:hint="cs"/>
          <w:rtl/>
        </w:rPr>
        <w:t>נדל"ן</w:t>
      </w:r>
      <w:r w:rsidR="0065075E" w:rsidRPr="007D39EB">
        <w:rPr>
          <w:rFonts w:hint="cs"/>
          <w:rtl/>
        </w:rPr>
        <w:t xml:space="preserve"> בה</w:t>
      </w:r>
      <w:r w:rsidR="00C86C83">
        <w:rPr>
          <w:rFonts w:hint="cs"/>
          <w:rtl/>
        </w:rPr>
        <w:t>י</w:t>
      </w:r>
      <w:r w:rsidR="0065075E" w:rsidRPr="007D39EB">
        <w:rPr>
          <w:rFonts w:hint="cs"/>
          <w:rtl/>
        </w:rPr>
        <w:t>קף של כ-</w:t>
      </w:r>
      <w:r w:rsidR="003A7784">
        <w:rPr>
          <w:rFonts w:hint="cs"/>
          <w:rtl/>
        </w:rPr>
        <w:t>30</w:t>
      </w:r>
      <w:r w:rsidR="0065075E" w:rsidRPr="007D39EB">
        <w:rPr>
          <w:rFonts w:hint="cs"/>
          <w:rtl/>
        </w:rPr>
        <w:t>,000 מ"ר</w:t>
      </w:r>
      <w:r w:rsidR="00805DFB">
        <w:rPr>
          <w:rFonts w:hint="cs"/>
          <w:rtl/>
        </w:rPr>
        <w:t xml:space="preserve"> (</w:t>
      </w:r>
      <w:r w:rsidR="00805DFB" w:rsidRPr="00805DFB">
        <w:rPr>
          <w:rFonts w:hint="cs"/>
          <w:color w:val="FF0000"/>
          <w:rtl/>
        </w:rPr>
        <w:t xml:space="preserve">לוח </w:t>
      </w:r>
      <w:r w:rsidR="00655DFD">
        <w:rPr>
          <w:rFonts w:hint="cs"/>
          <w:color w:val="FF0000"/>
          <w:rtl/>
        </w:rPr>
        <w:t>1</w:t>
      </w:r>
      <w:r w:rsidR="00805DFB">
        <w:rPr>
          <w:rFonts w:hint="cs"/>
          <w:rtl/>
        </w:rPr>
        <w:t>)</w:t>
      </w:r>
      <w:r w:rsidR="007E7246" w:rsidRPr="007D39EB">
        <w:rPr>
          <w:rFonts w:hint="cs"/>
          <w:rtl/>
        </w:rPr>
        <w:t xml:space="preserve">. </w:t>
      </w:r>
      <w:r w:rsidR="00D522F5" w:rsidRPr="007D39EB">
        <w:rPr>
          <w:rFonts w:hint="cs"/>
          <w:rtl/>
        </w:rPr>
        <w:t>על פי</w:t>
      </w:r>
      <w:r w:rsidR="00353BBE" w:rsidRPr="00353BBE">
        <w:rPr>
          <w:rtl/>
        </w:rPr>
        <w:t xml:space="preserve"> </w:t>
      </w:r>
      <w:r w:rsidR="001A1B29">
        <w:rPr>
          <w:rFonts w:hint="cs"/>
          <w:rtl/>
        </w:rPr>
        <w:t>התכניות</w:t>
      </w:r>
      <w:r w:rsidR="00353BBE" w:rsidRPr="00353BBE">
        <w:rPr>
          <w:rtl/>
        </w:rPr>
        <w:t xml:space="preserve"> המעודכנות לשנים </w:t>
      </w:r>
      <w:r w:rsidR="007C0722">
        <w:rPr>
          <w:rFonts w:hint="cs"/>
          <w:rtl/>
        </w:rPr>
        <w:t>2021</w:t>
      </w:r>
      <w:r w:rsidR="0073591D">
        <w:rPr>
          <w:rFonts w:hint="cs"/>
          <w:rtl/>
        </w:rPr>
        <w:t xml:space="preserve">-2017 </w:t>
      </w:r>
      <w:r w:rsidR="00353BBE" w:rsidRPr="00353BBE">
        <w:rPr>
          <w:rtl/>
        </w:rPr>
        <w:t xml:space="preserve">צפויה פרישה </w:t>
      </w:r>
      <w:r w:rsidR="0073591D">
        <w:rPr>
          <w:rFonts w:hint="cs"/>
          <w:rtl/>
        </w:rPr>
        <w:t>(</w:t>
      </w:r>
      <w:r w:rsidR="00353BBE" w:rsidRPr="00353BBE">
        <w:rPr>
          <w:rtl/>
        </w:rPr>
        <w:t>נטו</w:t>
      </w:r>
      <w:r w:rsidR="0073591D">
        <w:rPr>
          <w:rFonts w:hint="cs"/>
          <w:rtl/>
        </w:rPr>
        <w:t>)</w:t>
      </w:r>
      <w:r w:rsidR="00353BBE" w:rsidRPr="00353BBE">
        <w:rPr>
          <w:rtl/>
        </w:rPr>
        <w:t xml:space="preserve"> של כ-</w:t>
      </w:r>
      <w:r w:rsidR="007C0722" w:rsidRPr="007C0722">
        <w:rPr>
          <w:rFonts w:hint="cs"/>
          <w:rtl/>
        </w:rPr>
        <w:t>3</w:t>
      </w:r>
      <w:r w:rsidR="00353BBE" w:rsidRPr="007C0722">
        <w:rPr>
          <w:rtl/>
        </w:rPr>
        <w:t>,</w:t>
      </w:r>
      <w:r w:rsidR="00485A34">
        <w:rPr>
          <w:rFonts w:hint="cs"/>
          <w:rtl/>
        </w:rPr>
        <w:t>900</w:t>
      </w:r>
      <w:r w:rsidR="00D44C4A" w:rsidRPr="007C0722">
        <w:rPr>
          <w:rtl/>
        </w:rPr>
        <w:t xml:space="preserve"> עובדים</w:t>
      </w:r>
      <w:r w:rsidR="00D44C4A">
        <w:rPr>
          <w:rtl/>
        </w:rPr>
        <w:t xml:space="preserve"> נוספים</w:t>
      </w:r>
      <w:r w:rsidR="00EC1451">
        <w:rPr>
          <w:rFonts w:hint="cs"/>
          <w:rtl/>
        </w:rPr>
        <w:t xml:space="preserve">, </w:t>
      </w:r>
      <w:r w:rsidR="00AC7080">
        <w:rPr>
          <w:rFonts w:hint="cs"/>
          <w:rtl/>
        </w:rPr>
        <w:t>מה שצפוי להביא ב</w:t>
      </w:r>
      <w:r w:rsidR="009B1AA6">
        <w:rPr>
          <w:rFonts w:hint="cs"/>
          <w:rtl/>
        </w:rPr>
        <w:t xml:space="preserve">סך </w:t>
      </w:r>
      <w:proofErr w:type="spellStart"/>
      <w:r w:rsidR="009B1AA6">
        <w:rPr>
          <w:rFonts w:hint="cs"/>
          <w:rtl/>
        </w:rPr>
        <w:t>הכל</w:t>
      </w:r>
      <w:proofErr w:type="spellEnd"/>
      <w:r w:rsidR="0056163C">
        <w:rPr>
          <w:rFonts w:hint="cs"/>
          <w:rtl/>
        </w:rPr>
        <w:t xml:space="preserve"> </w:t>
      </w:r>
      <w:r w:rsidR="00AC7080">
        <w:rPr>
          <w:rFonts w:hint="cs"/>
          <w:rtl/>
        </w:rPr>
        <w:t>ל</w:t>
      </w:r>
      <w:r w:rsidR="0056163C">
        <w:rPr>
          <w:rFonts w:hint="cs"/>
          <w:rtl/>
        </w:rPr>
        <w:t>קיטון של כ-</w:t>
      </w:r>
      <w:r w:rsidR="00485A34">
        <w:rPr>
          <w:rFonts w:hint="cs"/>
          <w:rtl/>
        </w:rPr>
        <w:t>12.5</w:t>
      </w:r>
      <w:r w:rsidR="0056163C">
        <w:rPr>
          <w:rFonts w:hint="cs"/>
          <w:rtl/>
        </w:rPr>
        <w:t xml:space="preserve">% </w:t>
      </w:r>
      <w:r w:rsidR="00CD6998">
        <w:rPr>
          <w:rFonts w:hint="cs"/>
          <w:rtl/>
        </w:rPr>
        <w:t xml:space="preserve">במצבת </w:t>
      </w:r>
      <w:r w:rsidR="0056163C">
        <w:rPr>
          <w:rFonts w:hint="cs"/>
          <w:rtl/>
        </w:rPr>
        <w:t>העובדים במערכת הבנקאית</w:t>
      </w:r>
      <w:r w:rsidR="00D44C4A">
        <w:rPr>
          <w:rFonts w:hint="cs"/>
          <w:rtl/>
        </w:rPr>
        <w:t>,</w:t>
      </w:r>
      <w:r w:rsidR="00353BBE" w:rsidRPr="00353BBE">
        <w:rPr>
          <w:rtl/>
        </w:rPr>
        <w:t xml:space="preserve"> </w:t>
      </w:r>
      <w:r w:rsidR="00D44C4A">
        <w:rPr>
          <w:rFonts w:hint="cs"/>
          <w:rtl/>
        </w:rPr>
        <w:t xml:space="preserve">זאת לצד </w:t>
      </w:r>
      <w:r w:rsidR="00D44C4A">
        <w:rPr>
          <w:rtl/>
        </w:rPr>
        <w:t>ה</w:t>
      </w:r>
      <w:r w:rsidR="00EC1451">
        <w:rPr>
          <w:rFonts w:hint="cs"/>
          <w:rtl/>
        </w:rPr>
        <w:t>משך סגירת סניפים, אם כי בקצב</w:t>
      </w:r>
      <w:r w:rsidR="00D44C4A">
        <w:rPr>
          <w:rtl/>
        </w:rPr>
        <w:t xml:space="preserve"> </w:t>
      </w:r>
      <w:r w:rsidR="00EC1451">
        <w:rPr>
          <w:rFonts w:hint="cs"/>
          <w:rtl/>
        </w:rPr>
        <w:t>נמוך יותר</w:t>
      </w:r>
      <w:r w:rsidR="00CE7236">
        <w:rPr>
          <w:rFonts w:hint="cs"/>
          <w:rtl/>
        </w:rPr>
        <w:t xml:space="preserve"> מזה שהיה בשנים האחרונות</w:t>
      </w:r>
      <w:r w:rsidR="007B3B83">
        <w:rPr>
          <w:rStyle w:val="ad"/>
          <w:rtl/>
        </w:rPr>
        <w:footnoteReference w:id="11"/>
      </w:r>
      <w:r w:rsidR="00D44C4A">
        <w:rPr>
          <w:rFonts w:hint="cs"/>
          <w:rtl/>
        </w:rPr>
        <w:t>.</w:t>
      </w:r>
      <w:r w:rsidR="00485A34">
        <w:rPr>
          <w:rFonts w:hint="cs"/>
          <w:rtl/>
        </w:rPr>
        <w:t xml:space="preserve"> </w:t>
      </w:r>
      <w:r w:rsidR="00BE42EE" w:rsidRPr="00617C3D">
        <w:rPr>
          <w:rFonts w:hint="cs"/>
          <w:rtl/>
        </w:rPr>
        <w:t>הוצאות</w:t>
      </w:r>
      <w:r w:rsidR="00BE42EE" w:rsidRPr="00617C3D">
        <w:rPr>
          <w:rtl/>
        </w:rPr>
        <w:t xml:space="preserve"> השכר </w:t>
      </w:r>
      <w:r w:rsidR="00916271" w:rsidRPr="00617C3D">
        <w:rPr>
          <w:rFonts w:hint="cs"/>
          <w:rtl/>
        </w:rPr>
        <w:t>שנרשמו</w:t>
      </w:r>
      <w:r w:rsidR="00916271" w:rsidRPr="00617C3D">
        <w:rPr>
          <w:rtl/>
        </w:rPr>
        <w:t xml:space="preserve"> </w:t>
      </w:r>
      <w:r w:rsidR="00BE42EE" w:rsidRPr="00617C3D">
        <w:rPr>
          <w:rFonts w:hint="cs"/>
          <w:rtl/>
        </w:rPr>
        <w:t>בגין</w:t>
      </w:r>
      <w:r w:rsidR="00BE42EE" w:rsidRPr="00617C3D">
        <w:rPr>
          <w:rtl/>
        </w:rPr>
        <w:t xml:space="preserve"> </w:t>
      </w:r>
      <w:r w:rsidR="00BE42EE" w:rsidRPr="00617C3D">
        <w:rPr>
          <w:rFonts w:hint="cs"/>
          <w:rtl/>
        </w:rPr>
        <w:t>תכני</w:t>
      </w:r>
      <w:r w:rsidR="00197784" w:rsidRPr="00617C3D">
        <w:rPr>
          <w:rFonts w:hint="cs"/>
          <w:rtl/>
        </w:rPr>
        <w:t>ו</w:t>
      </w:r>
      <w:r w:rsidR="00BE42EE" w:rsidRPr="00617C3D">
        <w:rPr>
          <w:rFonts w:hint="cs"/>
          <w:rtl/>
        </w:rPr>
        <w:t>ת</w:t>
      </w:r>
      <w:r w:rsidR="00BE42EE" w:rsidRPr="00617C3D">
        <w:rPr>
          <w:rtl/>
        </w:rPr>
        <w:t xml:space="preserve"> ההתייעלות </w:t>
      </w:r>
      <w:r w:rsidR="00197784" w:rsidRPr="00617C3D">
        <w:rPr>
          <w:rFonts w:hint="cs"/>
          <w:rtl/>
        </w:rPr>
        <w:t>במערכת</w:t>
      </w:r>
      <w:r w:rsidR="00197784" w:rsidRPr="00617C3D">
        <w:rPr>
          <w:rtl/>
        </w:rPr>
        <w:t xml:space="preserve"> הבנקאית</w:t>
      </w:r>
      <w:r w:rsidR="00617C3D" w:rsidRPr="00617C3D">
        <w:rPr>
          <w:rFonts w:hint="cs"/>
          <w:rtl/>
        </w:rPr>
        <w:t>, שכללו ב</w:t>
      </w:r>
      <w:r w:rsidR="00617C3D">
        <w:rPr>
          <w:rFonts w:hint="cs"/>
          <w:rtl/>
        </w:rPr>
        <w:t>ע</w:t>
      </w:r>
      <w:r w:rsidR="00617C3D" w:rsidRPr="00617C3D">
        <w:rPr>
          <w:rFonts w:hint="cs"/>
          <w:rtl/>
        </w:rPr>
        <w:t>יקרן את עלויות תכניות הפרישה מרצון, עמדו</w:t>
      </w:r>
      <w:r w:rsidR="00197784" w:rsidRPr="00617C3D">
        <w:rPr>
          <w:rtl/>
        </w:rPr>
        <w:t xml:space="preserve"> </w:t>
      </w:r>
      <w:r w:rsidR="00B26991" w:rsidRPr="00617C3D">
        <w:rPr>
          <w:rFonts w:hint="cs"/>
          <w:rtl/>
        </w:rPr>
        <w:t>במחצית</w:t>
      </w:r>
      <w:r w:rsidR="00B26991" w:rsidRPr="00617C3D">
        <w:rPr>
          <w:rtl/>
        </w:rPr>
        <w:t xml:space="preserve"> הראשונה של 2017 </w:t>
      </w:r>
      <w:r w:rsidR="00BE42EE" w:rsidRPr="00617C3D">
        <w:rPr>
          <w:rFonts w:hint="cs"/>
          <w:rtl/>
        </w:rPr>
        <w:t>על</w:t>
      </w:r>
      <w:r w:rsidR="00BE42EE" w:rsidRPr="00617C3D">
        <w:rPr>
          <w:rtl/>
        </w:rPr>
        <w:t xml:space="preserve"> </w:t>
      </w:r>
      <w:r w:rsidR="00BE42EE" w:rsidRPr="00617C3D">
        <w:rPr>
          <w:rFonts w:hint="cs"/>
          <w:rtl/>
        </w:rPr>
        <w:t>כ</w:t>
      </w:r>
      <w:r w:rsidR="00BE42EE" w:rsidRPr="00617C3D">
        <w:rPr>
          <w:rtl/>
        </w:rPr>
        <w:t>-</w:t>
      </w:r>
      <w:r w:rsidR="007D39EB" w:rsidRPr="00617C3D">
        <w:rPr>
          <w:rtl/>
        </w:rPr>
        <w:t>130</w:t>
      </w:r>
      <w:r w:rsidR="00BE42EE" w:rsidRPr="00617C3D">
        <w:rPr>
          <w:rtl/>
        </w:rPr>
        <w:t xml:space="preserve"> מיליוני </w:t>
      </w:r>
      <w:r w:rsidR="00A11324">
        <w:rPr>
          <w:rFonts w:hint="cs"/>
          <w:rtl/>
        </w:rPr>
        <w:t>ש"ח</w:t>
      </w:r>
      <w:r w:rsidR="00617C3D">
        <w:rPr>
          <w:rFonts w:hint="cs"/>
          <w:rtl/>
        </w:rPr>
        <w:t>,</w:t>
      </w:r>
      <w:r w:rsidR="00C34011" w:rsidRPr="00617C3D">
        <w:rPr>
          <w:rtl/>
        </w:rPr>
        <w:t xml:space="preserve"> והן מתווספות להוצאות בגובה של כ-570 מיליוני ש"ח בשנת 2016.</w:t>
      </w:r>
      <w:r w:rsidR="005874B4">
        <w:rPr>
          <w:rFonts w:hint="cs"/>
          <w:rtl/>
        </w:rPr>
        <w:t xml:space="preserve"> </w:t>
      </w:r>
      <w:r w:rsidR="00087DE7">
        <w:rPr>
          <w:rFonts w:hint="cs"/>
          <w:rtl/>
        </w:rPr>
        <w:t>סך הוצאות השכר וההוצאות הנלוות</w:t>
      </w:r>
      <w:r w:rsidR="00B12089">
        <w:rPr>
          <w:rStyle w:val="ad"/>
          <w:rtl/>
        </w:rPr>
        <w:footnoteReference w:id="12"/>
      </w:r>
      <w:r w:rsidR="00087DE7">
        <w:rPr>
          <w:rFonts w:hint="cs"/>
          <w:rtl/>
        </w:rPr>
        <w:t xml:space="preserve"> </w:t>
      </w:r>
      <w:r w:rsidR="00BE4F6A">
        <w:rPr>
          <w:rFonts w:hint="cs"/>
          <w:rtl/>
        </w:rPr>
        <w:t>ירדו</w:t>
      </w:r>
      <w:r w:rsidR="00087DE7">
        <w:rPr>
          <w:rFonts w:hint="cs"/>
          <w:rtl/>
        </w:rPr>
        <w:t xml:space="preserve"> </w:t>
      </w:r>
      <w:r w:rsidR="00726B6E">
        <w:rPr>
          <w:rFonts w:hint="cs"/>
          <w:rtl/>
        </w:rPr>
        <w:t xml:space="preserve">במחצית הראשונה של 2017 </w:t>
      </w:r>
      <w:r w:rsidR="0005083E">
        <w:rPr>
          <w:rFonts w:hint="cs"/>
          <w:rtl/>
        </w:rPr>
        <w:t>בכ-2.</w:t>
      </w:r>
      <w:r w:rsidR="00CB5886">
        <w:rPr>
          <w:rFonts w:hint="cs"/>
          <w:rtl/>
        </w:rPr>
        <w:t>2</w:t>
      </w:r>
      <w:r w:rsidR="0005083E">
        <w:rPr>
          <w:rFonts w:hint="cs"/>
          <w:rtl/>
        </w:rPr>
        <w:t xml:space="preserve">% </w:t>
      </w:r>
      <w:r w:rsidR="00087DE7">
        <w:rPr>
          <w:rFonts w:hint="cs"/>
          <w:rtl/>
        </w:rPr>
        <w:t>ביחס לתקופה המקבילה אשתקד</w:t>
      </w:r>
      <w:r w:rsidR="00CB5886">
        <w:rPr>
          <w:rFonts w:hint="cs"/>
          <w:rtl/>
        </w:rPr>
        <w:t xml:space="preserve"> (כ-200 מיל</w:t>
      </w:r>
      <w:r w:rsidR="00DE1A3A">
        <w:rPr>
          <w:rFonts w:hint="cs"/>
          <w:rtl/>
        </w:rPr>
        <w:t>י</w:t>
      </w:r>
      <w:r w:rsidR="00CB5886">
        <w:rPr>
          <w:rFonts w:hint="cs"/>
          <w:rtl/>
        </w:rPr>
        <w:t>ון ש"ח)</w:t>
      </w:r>
      <w:r w:rsidR="0005083E">
        <w:rPr>
          <w:rFonts w:hint="cs"/>
          <w:rtl/>
        </w:rPr>
        <w:t>, בין היתר</w:t>
      </w:r>
      <w:r w:rsidR="00B26991">
        <w:rPr>
          <w:rFonts w:hint="cs"/>
          <w:rtl/>
        </w:rPr>
        <w:t xml:space="preserve"> </w:t>
      </w:r>
      <w:r w:rsidR="0005083E">
        <w:rPr>
          <w:rFonts w:hint="cs"/>
          <w:rtl/>
        </w:rPr>
        <w:t>כתוצאה</w:t>
      </w:r>
      <w:r w:rsidR="00BE4F6A" w:rsidRPr="001C5E04">
        <w:rPr>
          <w:rFonts w:hint="cs"/>
          <w:rtl/>
        </w:rPr>
        <w:t xml:space="preserve"> </w:t>
      </w:r>
      <w:r w:rsidR="0005083E">
        <w:rPr>
          <w:rFonts w:hint="cs"/>
          <w:rtl/>
        </w:rPr>
        <w:t>מ</w:t>
      </w:r>
      <w:r w:rsidR="00BE4F6A" w:rsidRPr="001C5E04">
        <w:rPr>
          <w:rFonts w:hint="cs"/>
          <w:rtl/>
        </w:rPr>
        <w:t>יישו</w:t>
      </w:r>
      <w:r w:rsidR="00BE4F6A">
        <w:rPr>
          <w:rFonts w:hint="cs"/>
          <w:rtl/>
        </w:rPr>
        <w:t>מן</w:t>
      </w:r>
      <w:r w:rsidR="00BE4F6A" w:rsidRPr="001C5E04">
        <w:rPr>
          <w:rFonts w:hint="cs"/>
          <w:rtl/>
        </w:rPr>
        <w:t xml:space="preserve"> של תכניות התייעלות</w:t>
      </w:r>
      <w:r w:rsidR="00087DE7">
        <w:rPr>
          <w:rFonts w:hint="cs"/>
          <w:rtl/>
        </w:rPr>
        <w:t xml:space="preserve">. </w:t>
      </w:r>
    </w:p>
    <w:p w:rsidR="003F06D3" w:rsidRDefault="002D0C55" w:rsidP="002D0C55">
      <w:pPr>
        <w:spacing w:after="120"/>
        <w:rPr>
          <w:b/>
          <w:bCs/>
          <w:rtl/>
        </w:rPr>
      </w:pPr>
      <w:r w:rsidRPr="003611F5">
        <w:rPr>
          <w:rFonts w:hint="cs"/>
          <w:b/>
          <w:bCs/>
          <w:rtl/>
        </w:rPr>
        <w:t xml:space="preserve">יעילותה של המערכת הבנקאית </w:t>
      </w:r>
      <w:r>
        <w:rPr>
          <w:rFonts w:hint="cs"/>
          <w:b/>
          <w:bCs/>
          <w:rtl/>
        </w:rPr>
        <w:t>משתפרת</w:t>
      </w:r>
      <w:r>
        <w:rPr>
          <w:rFonts w:hint="cs"/>
          <w:rtl/>
        </w:rPr>
        <w:t xml:space="preserve"> </w:t>
      </w:r>
      <w:r w:rsidR="001E567C">
        <w:rPr>
          <w:rFonts w:hint="cs"/>
          <w:rtl/>
        </w:rPr>
        <w:t>(</w:t>
      </w:r>
      <w:r w:rsidR="00E31E01">
        <w:rPr>
          <w:rFonts w:hint="cs"/>
          <w:color w:val="FF0000"/>
          <w:rtl/>
        </w:rPr>
        <w:t>אי</w:t>
      </w:r>
      <w:r w:rsidR="004A31F7">
        <w:rPr>
          <w:rFonts w:hint="cs"/>
          <w:color w:val="FF0000"/>
          <w:rtl/>
        </w:rPr>
        <w:t>ור</w:t>
      </w:r>
      <w:r w:rsidR="00E31E01" w:rsidRPr="00E31E01">
        <w:rPr>
          <w:rFonts w:hint="cs"/>
          <w:color w:val="FF0000"/>
          <w:rtl/>
        </w:rPr>
        <w:t xml:space="preserve"> </w:t>
      </w:r>
      <w:r w:rsidR="004A31F7">
        <w:rPr>
          <w:rFonts w:hint="cs"/>
          <w:color w:val="FF0000"/>
          <w:rtl/>
        </w:rPr>
        <w:t>3</w:t>
      </w:r>
      <w:r w:rsidR="00B70738">
        <w:rPr>
          <w:rFonts w:hint="cs"/>
          <w:rtl/>
        </w:rPr>
        <w:t xml:space="preserve">, </w:t>
      </w:r>
      <w:r w:rsidR="00B70738" w:rsidRPr="00B70738">
        <w:rPr>
          <w:rFonts w:hint="cs"/>
          <w:color w:val="FF0000"/>
          <w:rtl/>
        </w:rPr>
        <w:t>לוח 5</w:t>
      </w:r>
      <w:r w:rsidR="001E567C">
        <w:rPr>
          <w:rFonts w:hint="cs"/>
          <w:rtl/>
        </w:rPr>
        <w:t>)</w:t>
      </w:r>
      <w:r w:rsidR="0057794F">
        <w:rPr>
          <w:rFonts w:hint="cs"/>
          <w:rtl/>
        </w:rPr>
        <w:t>.</w:t>
      </w:r>
      <w:r w:rsidR="00332AE5">
        <w:rPr>
          <w:rFonts w:hint="cs"/>
          <w:rtl/>
        </w:rPr>
        <w:t xml:space="preserve"> </w:t>
      </w:r>
      <w:r>
        <w:rPr>
          <w:rFonts w:hint="cs"/>
          <w:rtl/>
        </w:rPr>
        <w:t>היחס בין ההוצאות התפעוליות לנכסים</w:t>
      </w:r>
      <w:r w:rsidRPr="007C1224">
        <w:rPr>
          <w:rStyle w:val="ad"/>
          <w:rtl/>
        </w:rPr>
        <w:footnoteReference w:id="13"/>
      </w:r>
      <w:r w:rsidRPr="007C1224">
        <w:rPr>
          <w:rFonts w:hint="cs"/>
          <w:rtl/>
        </w:rPr>
        <w:t xml:space="preserve"> </w:t>
      </w:r>
      <w:r>
        <w:rPr>
          <w:rFonts w:hint="cs"/>
          <w:rtl/>
        </w:rPr>
        <w:t>עמד</w:t>
      </w:r>
      <w:r w:rsidRPr="007C1224">
        <w:rPr>
          <w:rFonts w:hint="cs"/>
          <w:rtl/>
        </w:rPr>
        <w:t xml:space="preserve"> </w:t>
      </w:r>
      <w:r>
        <w:rPr>
          <w:rFonts w:hint="cs"/>
          <w:rtl/>
        </w:rPr>
        <w:t xml:space="preserve">במחצית הראשונה של 2017 </w:t>
      </w:r>
      <w:r w:rsidRPr="007C1224">
        <w:rPr>
          <w:rFonts w:hint="cs"/>
          <w:rtl/>
        </w:rPr>
        <w:t>על כ-1.95%, זאת בהמשך למגמת</w:t>
      </w:r>
      <w:r>
        <w:rPr>
          <w:rFonts w:hint="cs"/>
          <w:rtl/>
        </w:rPr>
        <w:t xml:space="preserve"> השיפור במדד זה בשנים האחרונות. היחס בין ההוצאות התפעוליות לסך ההכנסות</w:t>
      </w:r>
      <w:r>
        <w:rPr>
          <w:rStyle w:val="ad"/>
          <w:rtl/>
        </w:rPr>
        <w:footnoteReference w:id="14"/>
      </w:r>
      <w:r>
        <w:rPr>
          <w:rFonts w:hint="cs"/>
          <w:rtl/>
        </w:rPr>
        <w:t xml:space="preserve"> עמד </w:t>
      </w:r>
      <w:r w:rsidRPr="006A1324">
        <w:rPr>
          <w:rFonts w:hint="cs"/>
          <w:rtl/>
        </w:rPr>
        <w:t>על כ-62.7%, מתחת</w:t>
      </w:r>
      <w:r>
        <w:rPr>
          <w:rFonts w:hint="cs"/>
          <w:rtl/>
        </w:rPr>
        <w:t xml:space="preserve"> לממוצע של השנים האחרונות. עם זאת, תהליכי ההתייעלות הם ארוכי טווח, כך ששינויים משמעותיים נוספים צפויים בשנים הקרובות. בממוצע בשנים האחרונות, היחס בין ההוצאות התפעוליות וההכנסות של מערכת הבנקאות בישראל עדין גבוה בהשוואה למדינות המפותחות</w:t>
      </w:r>
      <w:r w:rsidRPr="0000343E">
        <w:rPr>
          <w:rFonts w:hint="cs"/>
          <w:rtl/>
        </w:rPr>
        <w:t xml:space="preserve"> </w:t>
      </w:r>
      <w:r w:rsidR="00F65172">
        <w:rPr>
          <w:rFonts w:hint="cs"/>
          <w:rtl/>
        </w:rPr>
        <w:t>(</w:t>
      </w:r>
      <w:r w:rsidR="00F65172" w:rsidRPr="00CE42FE">
        <w:rPr>
          <w:rFonts w:hint="cs"/>
          <w:color w:val="FF0000"/>
          <w:rtl/>
        </w:rPr>
        <w:t>איור</w:t>
      </w:r>
      <w:r w:rsidR="00787947">
        <w:rPr>
          <w:rFonts w:hint="cs"/>
          <w:color w:val="FF0000"/>
          <w:rtl/>
        </w:rPr>
        <w:t>י</w:t>
      </w:r>
      <w:r w:rsidR="00787947" w:rsidRPr="00787947">
        <w:rPr>
          <w:rFonts w:hint="cs"/>
          <w:color w:val="FF0000"/>
          <w:rtl/>
        </w:rPr>
        <w:t>ם 2,3</w:t>
      </w:r>
      <w:r w:rsidR="00F65172">
        <w:rPr>
          <w:rFonts w:hint="cs"/>
          <w:rtl/>
        </w:rPr>
        <w:t>)</w:t>
      </w:r>
      <w:r w:rsidR="00101816">
        <w:rPr>
          <w:rFonts w:hint="cs"/>
          <w:rtl/>
        </w:rPr>
        <w:t xml:space="preserve">, </w:t>
      </w:r>
      <w:r>
        <w:rPr>
          <w:rFonts w:hint="cs"/>
          <w:rtl/>
        </w:rPr>
        <w:t xml:space="preserve">אשר גם בהן הבנקים פועלים להמשיך ולהתייעל. הציפייה הפיקוחית היא כי בשנת 2020 יחס היעילות שנמדד כיחס שבין ההוצאות להכנסות יעמוד על כ-60% בממוצע במערכת הבנקאית, עם שונות של הבנקים סביב יחס זה. עם זאת, חשוב לציין כי יחס זה מושפע מאוד </w:t>
      </w:r>
      <w:r>
        <w:rPr>
          <w:rFonts w:hint="cs"/>
          <w:rtl/>
        </w:rPr>
        <w:lastRenderedPageBreak/>
        <w:t>מהתפתחויות חד פעמיות, הן בצד ההכנסות והן בצד ההוצאות, ועל כן יש לבחון את התפתחותו לאורך זמן.</w:t>
      </w:r>
    </w:p>
    <w:p w:rsidR="00C30774" w:rsidRDefault="00C30774" w:rsidP="00BC078D">
      <w:pPr>
        <w:spacing w:after="120"/>
        <w:jc w:val="center"/>
        <w:rPr>
          <w:rtl/>
        </w:rPr>
      </w:pPr>
    </w:p>
    <w:p w:rsidR="001B37F1" w:rsidRDefault="001B37F1" w:rsidP="001F17F7">
      <w:pPr>
        <w:spacing w:after="120"/>
        <w:jc w:val="center"/>
        <w:rPr>
          <w:rtl/>
        </w:rPr>
      </w:pPr>
      <w:r w:rsidRPr="002771D3">
        <w:rPr>
          <w:rFonts w:hint="cs"/>
          <w:rtl/>
        </w:rPr>
        <w:t>איור</w:t>
      </w:r>
      <w:r>
        <w:rPr>
          <w:rFonts w:hint="cs"/>
          <w:b/>
          <w:bCs/>
          <w:rtl/>
        </w:rPr>
        <w:t xml:space="preserve"> </w:t>
      </w:r>
      <w:r w:rsidR="00BC078D">
        <w:rPr>
          <w:rFonts w:hint="cs"/>
          <w:rtl/>
        </w:rPr>
        <w:t>2</w:t>
      </w:r>
      <w:r w:rsidRPr="007063B7">
        <w:rPr>
          <w:noProof/>
        </w:rPr>
        <w:t xml:space="preserve"> </w:t>
      </w:r>
      <w:r>
        <w:rPr>
          <w:noProof/>
        </w:rPr>
        <w:drawing>
          <wp:inline distT="0" distB="0" distL="0" distR="0" wp14:anchorId="08159ABA" wp14:editId="3FDD802D">
            <wp:extent cx="5267086" cy="3597215"/>
            <wp:effectExtent l="0" t="0" r="0" b="3810"/>
            <wp:docPr id="16" name="תמונה 16" descr="ההוצאות התפעוליות ביחד לסך ההכנסות במערכות בנקאות במדינות OECD, ממוצע על פני שלוש שנים" title="השוואה בין לאומ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3602149"/>
                    </a:xfrm>
                    <a:prstGeom prst="rect">
                      <a:avLst/>
                    </a:prstGeom>
                  </pic:spPr>
                </pic:pic>
              </a:graphicData>
            </a:graphic>
          </wp:inline>
        </w:drawing>
      </w:r>
    </w:p>
    <w:p w:rsidR="00060DF2" w:rsidRDefault="00060DF2" w:rsidP="00B545E3">
      <w:pPr>
        <w:spacing w:after="120"/>
        <w:jc w:val="center"/>
      </w:pPr>
    </w:p>
    <w:p w:rsidR="00B031D1" w:rsidRDefault="00B545E3" w:rsidP="00BC078D">
      <w:pPr>
        <w:spacing w:after="120"/>
        <w:jc w:val="center"/>
        <w:rPr>
          <w:b/>
          <w:bCs/>
          <w:rtl/>
        </w:rPr>
      </w:pPr>
      <w:r w:rsidRPr="002771D3">
        <w:rPr>
          <w:rFonts w:hint="cs"/>
          <w:rtl/>
        </w:rPr>
        <w:t xml:space="preserve">איור </w:t>
      </w:r>
      <w:r w:rsidR="00BC078D">
        <w:rPr>
          <w:rFonts w:hint="cs"/>
          <w:rtl/>
        </w:rPr>
        <w:t>3</w:t>
      </w:r>
      <w:r w:rsidR="00D8215D">
        <w:rPr>
          <w:noProof/>
        </w:rPr>
        <w:drawing>
          <wp:inline distT="0" distB="0" distL="0" distR="0" wp14:anchorId="23529E57" wp14:editId="33913717">
            <wp:extent cx="5267087" cy="3433313"/>
            <wp:effectExtent l="0" t="0" r="0" b="0"/>
            <wp:docPr id="14" name="תמונה 14" descr="ההוצאות התפעוליות ביחס לסך ההכנסות בישראל מול מערכות בנקאות במדינות OECD. בשנים 2009 עד 2016" title="השוואה בין לאומ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3438022"/>
                    </a:xfrm>
                    <a:prstGeom prst="rect">
                      <a:avLst/>
                    </a:prstGeom>
                  </pic:spPr>
                </pic:pic>
              </a:graphicData>
            </a:graphic>
          </wp:inline>
        </w:drawing>
      </w:r>
    </w:p>
    <w:p w:rsidR="002D3218" w:rsidRDefault="00153920" w:rsidP="002D3218">
      <w:pPr>
        <w:spacing w:after="120"/>
        <w:jc w:val="center"/>
        <w:rPr>
          <w:b/>
          <w:bCs/>
        </w:rPr>
      </w:pPr>
      <w:r w:rsidRPr="00153920">
        <w:rPr>
          <w:rFonts w:hint="cs"/>
          <w:rtl/>
        </w:rPr>
        <w:lastRenderedPageBreak/>
        <w:t>לוח 5</w:t>
      </w:r>
      <w:r w:rsidR="002D3218" w:rsidRPr="002D3218">
        <w:rPr>
          <w:noProof/>
        </w:rPr>
        <w:drawing>
          <wp:inline distT="0" distB="0" distL="0" distR="0" wp14:anchorId="37C48BB6" wp14:editId="0A30942C">
            <wp:extent cx="5274310" cy="2296522"/>
            <wp:effectExtent l="57150" t="57150" r="59690" b="66040"/>
            <wp:docPr id="8" name="תמונה 8" descr="מדדי יעילות של המערכת הבנקאית בישראל, דצמבר 2015 עד יוני 2017" title="מדדי יעילות של המערכת הבנקאית ב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2296522"/>
                    </a:xfrm>
                    <a:prstGeom prst="rect">
                      <a:avLst/>
                    </a:prstGeom>
                    <a:ln w="47625">
                      <a:solidFill>
                        <a:schemeClr val="accent1"/>
                      </a:solidFill>
                    </a:ln>
                  </pic:spPr>
                </pic:pic>
              </a:graphicData>
            </a:graphic>
          </wp:inline>
        </w:drawing>
      </w:r>
    </w:p>
    <w:sectPr w:rsidR="002D3218" w:rsidSect="000922DC">
      <w:pgSz w:w="11906" w:h="16838"/>
      <w:pgMar w:top="1440" w:right="1800" w:bottom="1135" w:left="1800" w:header="708" w:footer="708" w:gutter="0"/>
      <w:cols w:space="708"/>
      <w:titlePg/>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65922" w15:done="0"/>
  <w15:commentEx w15:paraId="22365581" w15:done="0"/>
  <w15:commentEx w15:paraId="197AFBC6" w15:done="0"/>
  <w15:commentEx w15:paraId="1E19A077" w15:done="0"/>
  <w15:commentEx w15:paraId="582DBE49" w15:done="0"/>
  <w15:commentEx w15:paraId="6DE9D42D" w15:done="0"/>
  <w15:commentEx w15:paraId="3E7DC480" w15:done="0"/>
  <w15:commentEx w15:paraId="79E829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36" w:rsidRDefault="00327736" w:rsidP="00721FBE">
      <w:pPr>
        <w:spacing w:line="240" w:lineRule="auto"/>
      </w:pPr>
      <w:r>
        <w:separator/>
      </w:r>
    </w:p>
    <w:p w:rsidR="00327736" w:rsidRDefault="00327736"/>
  </w:endnote>
  <w:endnote w:type="continuationSeparator" w:id="0">
    <w:p w:rsidR="00327736" w:rsidRDefault="00327736" w:rsidP="00721FBE">
      <w:pPr>
        <w:spacing w:line="240" w:lineRule="auto"/>
      </w:pPr>
      <w:r>
        <w:continuationSeparator/>
      </w:r>
    </w:p>
    <w:p w:rsidR="00327736" w:rsidRDefault="00327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36" w:rsidRDefault="00327736" w:rsidP="000922DC">
      <w:pPr>
        <w:spacing w:line="240" w:lineRule="auto"/>
      </w:pPr>
      <w:r>
        <w:separator/>
      </w:r>
    </w:p>
  </w:footnote>
  <w:footnote w:type="continuationSeparator" w:id="0">
    <w:p w:rsidR="00327736" w:rsidRDefault="00327736" w:rsidP="00A93135">
      <w:pPr>
        <w:spacing w:line="240" w:lineRule="auto"/>
      </w:pPr>
      <w:r>
        <w:continuationSeparator/>
      </w:r>
    </w:p>
    <w:p w:rsidR="00327736" w:rsidRDefault="00327736"/>
  </w:footnote>
  <w:footnote w:type="continuationNotice" w:id="1">
    <w:p w:rsidR="00327736" w:rsidRDefault="00327736" w:rsidP="00A93135">
      <w:pPr>
        <w:spacing w:line="240" w:lineRule="auto"/>
      </w:pPr>
    </w:p>
    <w:p w:rsidR="00327736" w:rsidRDefault="00327736"/>
  </w:footnote>
  <w:footnote w:id="2">
    <w:p w:rsidR="00CF7F64" w:rsidRPr="006E02C1" w:rsidRDefault="00CF7F64" w:rsidP="006E02C1">
      <w:pPr>
        <w:pStyle w:val="a5"/>
        <w:spacing w:line="360" w:lineRule="auto"/>
        <w:rPr>
          <w:sz w:val="24"/>
          <w:szCs w:val="24"/>
          <w:rtl/>
        </w:rPr>
      </w:pPr>
      <w:r w:rsidRPr="006E02C1">
        <w:rPr>
          <w:rStyle w:val="ad"/>
        </w:rPr>
        <w:footnoteRef/>
      </w:r>
      <w:r w:rsidRPr="006E02C1">
        <w:rPr>
          <w:sz w:val="24"/>
          <w:szCs w:val="24"/>
          <w:rtl/>
        </w:rPr>
        <w:t xml:space="preserve"> </w:t>
      </w:r>
      <w:r w:rsidRPr="006E02C1">
        <w:rPr>
          <w:rFonts w:hint="cs"/>
          <w:sz w:val="24"/>
          <w:szCs w:val="24"/>
          <w:rtl/>
        </w:rPr>
        <w:t xml:space="preserve">ראו </w:t>
      </w:r>
      <w:hyperlink r:id="rId1" w:history="1">
        <w:r w:rsidRPr="006E02C1">
          <w:rPr>
            <w:rStyle w:val="Hyperlink"/>
            <w:rFonts w:hint="cs"/>
            <w:sz w:val="24"/>
            <w:rtl/>
          </w:rPr>
          <w:t>מכתב המפקחת בנושא התייעלות תפעולית של המערכת הבנקאית בישראל מיום 12.</w:t>
        </w:r>
        <w:r w:rsidR="00D70EF9" w:rsidRPr="006E02C1">
          <w:rPr>
            <w:rStyle w:val="Hyperlink"/>
            <w:rFonts w:hint="cs"/>
            <w:sz w:val="24"/>
            <w:rtl/>
          </w:rPr>
          <w:t>01</w:t>
        </w:r>
        <w:r w:rsidRPr="006E02C1">
          <w:rPr>
            <w:rStyle w:val="Hyperlink"/>
            <w:rFonts w:hint="cs"/>
            <w:sz w:val="24"/>
            <w:rtl/>
          </w:rPr>
          <w:t>.2016</w:t>
        </w:r>
      </w:hyperlink>
      <w:r w:rsidRPr="006E02C1">
        <w:rPr>
          <w:rFonts w:hint="cs"/>
          <w:sz w:val="24"/>
          <w:szCs w:val="24"/>
          <w:rtl/>
        </w:rPr>
        <w:t>.</w:t>
      </w:r>
      <w:r w:rsidR="00327350" w:rsidRPr="006E02C1">
        <w:rPr>
          <w:rFonts w:hint="cs"/>
          <w:sz w:val="24"/>
          <w:szCs w:val="24"/>
          <w:rtl/>
        </w:rPr>
        <w:t xml:space="preserve"> הרחבה בנושא בתיבה ב'-2 בסקירת מערכת הבנקאות לשנת 2016: תכנית ההתייעלות במערכת הבנקאות.</w:t>
      </w:r>
    </w:p>
  </w:footnote>
  <w:footnote w:id="3">
    <w:p w:rsidR="00147CB4" w:rsidRDefault="00147CB4" w:rsidP="006E02C1">
      <w:pPr>
        <w:pStyle w:val="a5"/>
        <w:spacing w:line="360" w:lineRule="auto"/>
      </w:pPr>
      <w:r w:rsidRPr="006E02C1">
        <w:rPr>
          <w:rStyle w:val="ad"/>
        </w:rPr>
        <w:footnoteRef/>
      </w:r>
      <w:r w:rsidRPr="006E02C1">
        <w:rPr>
          <w:sz w:val="24"/>
          <w:szCs w:val="24"/>
          <w:rtl/>
        </w:rPr>
        <w:t xml:space="preserve"> </w:t>
      </w:r>
      <w:r w:rsidRPr="006E02C1">
        <w:rPr>
          <w:rFonts w:hint="cs"/>
          <w:sz w:val="24"/>
          <w:szCs w:val="24"/>
          <w:rtl/>
        </w:rPr>
        <w:t xml:space="preserve">ראו </w:t>
      </w:r>
      <w:hyperlink r:id="rId2" w:history="1">
        <w:r w:rsidRPr="006E02C1">
          <w:rPr>
            <w:rStyle w:val="Hyperlink"/>
            <w:rFonts w:hint="cs"/>
            <w:sz w:val="24"/>
            <w:rtl/>
          </w:rPr>
          <w:t xml:space="preserve">מכתב המפקחת בנושא התייעלות תפעולית של המערכת הבנקאית בישראל </w:t>
        </w:r>
        <w:r w:rsidRPr="006E02C1">
          <w:rPr>
            <w:rStyle w:val="Hyperlink"/>
            <w:sz w:val="24"/>
            <w:rtl/>
          </w:rPr>
          <w:t>–</w:t>
        </w:r>
        <w:r w:rsidRPr="006E02C1">
          <w:rPr>
            <w:rStyle w:val="Hyperlink"/>
            <w:rFonts w:hint="cs"/>
            <w:sz w:val="24"/>
            <w:rtl/>
          </w:rPr>
          <w:t xml:space="preserve"> התייעלות בתחום הנדל"ן מיום 13.06.2017</w:t>
        </w:r>
      </w:hyperlink>
      <w:r w:rsidRPr="006E02C1">
        <w:rPr>
          <w:rFonts w:hint="cs"/>
          <w:sz w:val="24"/>
          <w:szCs w:val="24"/>
          <w:rtl/>
        </w:rPr>
        <w:t>.</w:t>
      </w:r>
      <w:r w:rsidR="001C6E11">
        <w:rPr>
          <w:rFonts w:hint="cs"/>
          <w:rtl/>
        </w:rPr>
        <w:t xml:space="preserve"> </w:t>
      </w:r>
    </w:p>
  </w:footnote>
  <w:footnote w:id="4">
    <w:p w:rsidR="001A66CB" w:rsidRPr="006E02C1" w:rsidRDefault="001A66CB" w:rsidP="006E02C1">
      <w:pPr>
        <w:pStyle w:val="a5"/>
        <w:spacing w:line="360" w:lineRule="auto"/>
        <w:rPr>
          <w:sz w:val="24"/>
          <w:szCs w:val="24"/>
          <w:rtl/>
        </w:rPr>
      </w:pPr>
      <w:r w:rsidRPr="006E02C1">
        <w:rPr>
          <w:rStyle w:val="ad"/>
        </w:rPr>
        <w:footnoteRef/>
      </w:r>
      <w:r w:rsidRPr="006E02C1">
        <w:rPr>
          <w:rStyle w:val="ad"/>
          <w:rtl/>
        </w:rPr>
        <w:t xml:space="preserve"> </w:t>
      </w:r>
      <w:r w:rsidRPr="006E02C1">
        <w:rPr>
          <w:rFonts w:hint="cs"/>
          <w:sz w:val="24"/>
          <w:szCs w:val="24"/>
          <w:rtl/>
        </w:rPr>
        <w:t xml:space="preserve">כגון </w:t>
      </w:r>
      <w:r w:rsidRPr="006E02C1">
        <w:rPr>
          <w:sz w:val="24"/>
          <w:szCs w:val="24"/>
          <w:rtl/>
        </w:rPr>
        <w:t>מכשירים אוטומטיים, אינטרנט, אפליקציה בטלפון החכם</w:t>
      </w:r>
      <w:r w:rsidRPr="006E02C1">
        <w:rPr>
          <w:rFonts w:hint="cs"/>
          <w:sz w:val="24"/>
          <w:szCs w:val="24"/>
          <w:rtl/>
        </w:rPr>
        <w:t>.</w:t>
      </w:r>
    </w:p>
  </w:footnote>
  <w:footnote w:id="5">
    <w:p w:rsidR="006E4487" w:rsidRDefault="006E4487" w:rsidP="006E02C1">
      <w:pPr>
        <w:pStyle w:val="a5"/>
        <w:spacing w:line="360" w:lineRule="auto"/>
        <w:rPr>
          <w:rtl/>
        </w:rPr>
      </w:pPr>
      <w:r w:rsidRPr="006E02C1">
        <w:rPr>
          <w:rStyle w:val="ad"/>
        </w:rPr>
        <w:footnoteRef/>
      </w:r>
      <w:r w:rsidRPr="006E02C1">
        <w:rPr>
          <w:sz w:val="24"/>
          <w:szCs w:val="24"/>
          <w:rtl/>
        </w:rPr>
        <w:t xml:space="preserve"> </w:t>
      </w:r>
      <w:r w:rsidRPr="006E02C1">
        <w:rPr>
          <w:rFonts w:hint="cs"/>
          <w:sz w:val="24"/>
          <w:szCs w:val="24"/>
          <w:rtl/>
        </w:rPr>
        <w:t xml:space="preserve">חוק הבנקאות (רישוי) (תיקון מס' 22), </w:t>
      </w:r>
      <w:proofErr w:type="spellStart"/>
      <w:r w:rsidRPr="006E02C1">
        <w:rPr>
          <w:rFonts w:hint="cs"/>
          <w:sz w:val="24"/>
          <w:szCs w:val="24"/>
          <w:rtl/>
        </w:rPr>
        <w:t>התשע"ו</w:t>
      </w:r>
      <w:proofErr w:type="spellEnd"/>
      <w:r w:rsidRPr="006E02C1">
        <w:rPr>
          <w:rFonts w:hint="cs"/>
          <w:sz w:val="24"/>
          <w:szCs w:val="24"/>
          <w:rtl/>
        </w:rPr>
        <w:t xml:space="preserve"> 2016.</w:t>
      </w:r>
      <w:r>
        <w:rPr>
          <w:rFonts w:hint="cs"/>
          <w:rtl/>
        </w:rPr>
        <w:t xml:space="preserve"> </w:t>
      </w:r>
    </w:p>
  </w:footnote>
  <w:footnote w:id="6">
    <w:p w:rsidR="003164E6" w:rsidRPr="006E02C1" w:rsidRDefault="003164E6" w:rsidP="006E02C1">
      <w:pPr>
        <w:pStyle w:val="a5"/>
        <w:spacing w:line="360" w:lineRule="auto"/>
        <w:rPr>
          <w:sz w:val="24"/>
          <w:szCs w:val="24"/>
          <w:rtl/>
        </w:rPr>
      </w:pPr>
      <w:r w:rsidRPr="006E02C1">
        <w:rPr>
          <w:rStyle w:val="ad"/>
        </w:rPr>
        <w:footnoteRef/>
      </w:r>
      <w:r w:rsidRPr="006E02C1">
        <w:rPr>
          <w:sz w:val="24"/>
          <w:szCs w:val="24"/>
          <w:rtl/>
        </w:rPr>
        <w:t xml:space="preserve"> </w:t>
      </w:r>
      <w:r w:rsidRPr="006E02C1">
        <w:rPr>
          <w:rFonts w:hint="cs"/>
          <w:sz w:val="24"/>
          <w:szCs w:val="24"/>
          <w:rtl/>
        </w:rPr>
        <w:t xml:space="preserve">להרחבה ראו </w:t>
      </w:r>
      <w:hyperlink r:id="rId3" w:history="1">
        <w:r w:rsidRPr="006E02C1">
          <w:rPr>
            <w:rStyle w:val="Hyperlink"/>
            <w:rFonts w:hint="cs"/>
            <w:sz w:val="24"/>
            <w:rtl/>
          </w:rPr>
          <w:t xml:space="preserve">הוראת ניהול בנקאי תקין מס' 400 בנושא סגירת סניפי בנק וצמצום שירותי </w:t>
        </w:r>
        <w:proofErr w:type="spellStart"/>
        <w:r w:rsidRPr="006E02C1">
          <w:rPr>
            <w:rStyle w:val="Hyperlink"/>
            <w:rFonts w:hint="cs"/>
            <w:sz w:val="24"/>
            <w:rtl/>
          </w:rPr>
          <w:t>טלר</w:t>
        </w:r>
        <w:proofErr w:type="spellEnd"/>
        <w:r w:rsidRPr="006E02C1">
          <w:rPr>
            <w:rStyle w:val="Hyperlink"/>
            <w:rFonts w:hint="cs"/>
            <w:sz w:val="24"/>
            <w:rtl/>
          </w:rPr>
          <w:t xml:space="preserve"> מיום 9.01.2017</w:t>
        </w:r>
      </w:hyperlink>
      <w:r w:rsidRPr="006E02C1">
        <w:rPr>
          <w:rFonts w:hint="cs"/>
          <w:sz w:val="24"/>
          <w:szCs w:val="24"/>
          <w:rtl/>
        </w:rPr>
        <w:t xml:space="preserve">. </w:t>
      </w:r>
    </w:p>
  </w:footnote>
  <w:footnote w:id="7">
    <w:p w:rsidR="00190234" w:rsidRPr="006E02C1" w:rsidRDefault="00190234" w:rsidP="006E02C1">
      <w:pPr>
        <w:pStyle w:val="a5"/>
        <w:spacing w:line="360" w:lineRule="auto"/>
        <w:rPr>
          <w:sz w:val="24"/>
          <w:szCs w:val="24"/>
          <w:rtl/>
        </w:rPr>
      </w:pPr>
      <w:r w:rsidRPr="006E02C1">
        <w:rPr>
          <w:rStyle w:val="ad"/>
        </w:rPr>
        <w:footnoteRef/>
      </w:r>
      <w:r w:rsidRPr="006E02C1">
        <w:rPr>
          <w:sz w:val="24"/>
          <w:szCs w:val="24"/>
          <w:rtl/>
        </w:rPr>
        <w:t xml:space="preserve"> </w:t>
      </w:r>
      <w:r w:rsidR="00694940" w:rsidRPr="006E02C1">
        <w:rPr>
          <w:rFonts w:hint="cs"/>
          <w:sz w:val="24"/>
          <w:szCs w:val="24"/>
          <w:rtl/>
        </w:rPr>
        <w:t>45</w:t>
      </w:r>
      <w:r w:rsidRPr="006E02C1">
        <w:rPr>
          <w:rFonts w:hint="cs"/>
          <w:sz w:val="24"/>
          <w:szCs w:val="24"/>
          <w:rtl/>
        </w:rPr>
        <w:t xml:space="preserve"> סניפים (נטו) נסגרו בשנת 2016 בעוד ש-23 סניפים (נטו) נסגרו במחצית </w:t>
      </w:r>
      <w:proofErr w:type="spellStart"/>
      <w:r w:rsidRPr="006E02C1">
        <w:rPr>
          <w:rFonts w:hint="cs"/>
          <w:sz w:val="24"/>
          <w:szCs w:val="24"/>
          <w:rtl/>
        </w:rPr>
        <w:t>במחצית</w:t>
      </w:r>
      <w:proofErr w:type="spellEnd"/>
      <w:r w:rsidRPr="006E02C1">
        <w:rPr>
          <w:rFonts w:hint="cs"/>
          <w:sz w:val="24"/>
          <w:szCs w:val="24"/>
          <w:rtl/>
        </w:rPr>
        <w:t xml:space="preserve"> הראשונה של 2017. </w:t>
      </w:r>
    </w:p>
  </w:footnote>
  <w:footnote w:id="8">
    <w:p w:rsidR="00190234" w:rsidRDefault="00190234" w:rsidP="006E02C1">
      <w:pPr>
        <w:pStyle w:val="a5"/>
        <w:spacing w:line="360" w:lineRule="auto"/>
      </w:pPr>
      <w:r w:rsidRPr="006E02C1">
        <w:rPr>
          <w:rStyle w:val="ad"/>
        </w:rPr>
        <w:footnoteRef/>
      </w:r>
      <w:r w:rsidRPr="006E02C1">
        <w:rPr>
          <w:rStyle w:val="ad"/>
          <w:rtl/>
        </w:rPr>
        <w:t xml:space="preserve"> </w:t>
      </w:r>
      <w:r w:rsidRPr="006E02C1">
        <w:rPr>
          <w:rFonts w:hint="cs"/>
          <w:sz w:val="24"/>
          <w:szCs w:val="24"/>
          <w:rtl/>
        </w:rPr>
        <w:t>ביחס למצבת הסניפים במערכת הבנקאית בתחילת שנת 2016.</w:t>
      </w:r>
      <w:r w:rsidRPr="006E02C1">
        <w:rPr>
          <w:rFonts w:hint="cs"/>
          <w:sz w:val="20"/>
          <w:szCs w:val="20"/>
          <w:rtl/>
        </w:rPr>
        <w:t xml:space="preserve">  </w:t>
      </w:r>
    </w:p>
  </w:footnote>
  <w:footnote w:id="9">
    <w:p w:rsidR="004809A5" w:rsidRPr="006E02C1" w:rsidRDefault="004809A5" w:rsidP="006E02C1">
      <w:pPr>
        <w:pStyle w:val="a5"/>
        <w:spacing w:line="360" w:lineRule="auto"/>
        <w:rPr>
          <w:sz w:val="24"/>
          <w:szCs w:val="24"/>
          <w:rtl/>
        </w:rPr>
      </w:pPr>
      <w:r w:rsidRPr="006E02C1">
        <w:rPr>
          <w:rStyle w:val="ad"/>
        </w:rPr>
        <w:footnoteRef/>
      </w:r>
      <w:r w:rsidRPr="006E02C1">
        <w:rPr>
          <w:sz w:val="24"/>
          <w:szCs w:val="24"/>
          <w:rtl/>
        </w:rPr>
        <w:t xml:space="preserve"> </w:t>
      </w:r>
      <w:r w:rsidRPr="006E02C1">
        <w:rPr>
          <w:rFonts w:hint="cs"/>
          <w:sz w:val="24"/>
          <w:szCs w:val="24"/>
          <w:rtl/>
        </w:rPr>
        <w:t>כ-1,</w:t>
      </w:r>
      <w:r w:rsidR="00630CC6" w:rsidRPr="006E02C1">
        <w:rPr>
          <w:rFonts w:hint="cs"/>
          <w:sz w:val="24"/>
          <w:szCs w:val="24"/>
          <w:rtl/>
        </w:rPr>
        <w:t>700</w:t>
      </w:r>
      <w:r w:rsidRPr="006E02C1">
        <w:rPr>
          <w:rFonts w:hint="cs"/>
          <w:sz w:val="24"/>
          <w:szCs w:val="24"/>
          <w:rtl/>
        </w:rPr>
        <w:t xml:space="preserve"> </w:t>
      </w:r>
      <w:r w:rsidR="00277429" w:rsidRPr="006E02C1">
        <w:rPr>
          <w:rFonts w:hint="cs"/>
          <w:sz w:val="24"/>
          <w:szCs w:val="24"/>
          <w:rtl/>
        </w:rPr>
        <w:t>מתוכם</w:t>
      </w:r>
      <w:r w:rsidRPr="006E02C1">
        <w:rPr>
          <w:rFonts w:hint="cs"/>
          <w:sz w:val="24"/>
          <w:szCs w:val="24"/>
          <w:rtl/>
        </w:rPr>
        <w:t xml:space="preserve"> </w:t>
      </w:r>
      <w:r w:rsidR="00277429" w:rsidRPr="006E02C1">
        <w:rPr>
          <w:rFonts w:hint="cs"/>
          <w:sz w:val="24"/>
          <w:szCs w:val="24"/>
          <w:rtl/>
        </w:rPr>
        <w:t xml:space="preserve">בפרישה מוקדמת </w:t>
      </w:r>
      <w:r w:rsidR="000229F7" w:rsidRPr="006E02C1">
        <w:rPr>
          <w:rFonts w:hint="cs"/>
          <w:sz w:val="24"/>
          <w:szCs w:val="24"/>
          <w:rtl/>
        </w:rPr>
        <w:t>ו</w:t>
      </w:r>
      <w:r w:rsidRPr="006E02C1">
        <w:rPr>
          <w:rFonts w:hint="cs"/>
          <w:sz w:val="24"/>
          <w:szCs w:val="24"/>
          <w:rtl/>
        </w:rPr>
        <w:t>כ-</w:t>
      </w:r>
      <w:r w:rsidR="00630CC6" w:rsidRPr="006E02C1">
        <w:rPr>
          <w:rFonts w:hint="cs"/>
          <w:sz w:val="24"/>
          <w:szCs w:val="24"/>
          <w:rtl/>
        </w:rPr>
        <w:t>450</w:t>
      </w:r>
      <w:r w:rsidRPr="006E02C1">
        <w:rPr>
          <w:rFonts w:hint="cs"/>
          <w:sz w:val="24"/>
          <w:szCs w:val="24"/>
          <w:rtl/>
        </w:rPr>
        <w:t xml:space="preserve"> בפרישה טבעית, לצד קיטון נוסף ב</w:t>
      </w:r>
      <w:r w:rsidR="00630CC6" w:rsidRPr="006E02C1">
        <w:rPr>
          <w:rFonts w:hint="cs"/>
          <w:sz w:val="24"/>
          <w:szCs w:val="24"/>
          <w:rtl/>
        </w:rPr>
        <w:t>גין עובדים זמניים/חיצוניים ובניכ</w:t>
      </w:r>
      <w:r w:rsidRPr="006E02C1">
        <w:rPr>
          <w:rFonts w:hint="cs"/>
          <w:sz w:val="24"/>
          <w:szCs w:val="24"/>
          <w:rtl/>
        </w:rPr>
        <w:t xml:space="preserve">וי גיוסים. </w:t>
      </w:r>
      <w:r w:rsidR="00B64481" w:rsidRPr="006E02C1">
        <w:rPr>
          <w:rFonts w:hint="cs"/>
          <w:sz w:val="24"/>
          <w:szCs w:val="24"/>
          <w:rtl/>
        </w:rPr>
        <w:t>במחצית הראשונה של 2017 לא נראה קיטון במצבת העובדים, זאת מכיוון שמרבית העובדים צפויים לפרוש בסוף השנה.</w:t>
      </w:r>
    </w:p>
  </w:footnote>
  <w:footnote w:id="10">
    <w:p w:rsidR="00A640F8" w:rsidRPr="006E02C1" w:rsidRDefault="00A640F8" w:rsidP="006E02C1">
      <w:pPr>
        <w:pStyle w:val="a5"/>
        <w:spacing w:line="360" w:lineRule="auto"/>
        <w:rPr>
          <w:sz w:val="24"/>
          <w:szCs w:val="24"/>
        </w:rPr>
      </w:pPr>
      <w:r w:rsidRPr="006E02C1">
        <w:rPr>
          <w:rStyle w:val="ad"/>
        </w:rPr>
        <w:footnoteRef/>
      </w:r>
      <w:r w:rsidRPr="006E02C1">
        <w:rPr>
          <w:rStyle w:val="ad"/>
          <w:rtl/>
        </w:rPr>
        <w:t xml:space="preserve"> </w:t>
      </w:r>
      <w:r w:rsidRPr="006E02C1">
        <w:rPr>
          <w:rFonts w:hint="cs"/>
          <w:sz w:val="24"/>
          <w:szCs w:val="24"/>
          <w:rtl/>
        </w:rPr>
        <w:t xml:space="preserve">ביחס למצבת העובדים במערכת הבנקאית בתחילת שנת 2016.  </w:t>
      </w:r>
    </w:p>
  </w:footnote>
  <w:footnote w:id="11">
    <w:p w:rsidR="007B3B83" w:rsidRPr="006E02C1" w:rsidRDefault="007B3B83" w:rsidP="006E02C1">
      <w:pPr>
        <w:pStyle w:val="a5"/>
        <w:spacing w:line="360" w:lineRule="auto"/>
        <w:rPr>
          <w:sz w:val="24"/>
          <w:szCs w:val="24"/>
          <w:rtl/>
        </w:rPr>
      </w:pPr>
      <w:r w:rsidRPr="006E02C1">
        <w:rPr>
          <w:rStyle w:val="ad"/>
        </w:rPr>
        <w:footnoteRef/>
      </w:r>
      <w:r w:rsidR="00A45559" w:rsidRPr="006E02C1">
        <w:rPr>
          <w:rFonts w:hint="cs"/>
          <w:sz w:val="24"/>
          <w:szCs w:val="24"/>
          <w:rtl/>
        </w:rPr>
        <w:t xml:space="preserve"> </w:t>
      </w:r>
      <w:r w:rsidRPr="006E02C1">
        <w:rPr>
          <w:rFonts w:hint="cs"/>
          <w:sz w:val="24"/>
          <w:szCs w:val="24"/>
          <w:rtl/>
        </w:rPr>
        <w:t xml:space="preserve">בנק לאומי ובנק הפועלים בוחנים מחדש את פריסת הסניפים בשנים </w:t>
      </w:r>
      <w:r w:rsidR="00B63E34" w:rsidRPr="006E02C1">
        <w:rPr>
          <w:rFonts w:hint="cs"/>
          <w:sz w:val="24"/>
          <w:szCs w:val="24"/>
          <w:rtl/>
        </w:rPr>
        <w:t>2018</w:t>
      </w:r>
      <w:r w:rsidRPr="006E02C1">
        <w:rPr>
          <w:rFonts w:hint="cs"/>
          <w:sz w:val="24"/>
          <w:szCs w:val="24"/>
          <w:rtl/>
        </w:rPr>
        <w:t xml:space="preserve"> ואילך </w:t>
      </w:r>
      <w:r w:rsidR="009C7DDB" w:rsidRPr="006E02C1">
        <w:rPr>
          <w:rFonts w:hint="cs"/>
          <w:sz w:val="24"/>
          <w:szCs w:val="24"/>
          <w:rtl/>
        </w:rPr>
        <w:t>ו</w:t>
      </w:r>
      <w:r w:rsidRPr="006E02C1">
        <w:rPr>
          <w:rFonts w:hint="cs"/>
          <w:sz w:val="24"/>
          <w:szCs w:val="24"/>
          <w:rtl/>
        </w:rPr>
        <w:t xml:space="preserve">לכן לא ניתן להעריך במדויק את </w:t>
      </w:r>
      <w:r w:rsidR="00C51617" w:rsidRPr="006E02C1">
        <w:rPr>
          <w:rFonts w:hint="cs"/>
          <w:sz w:val="24"/>
          <w:szCs w:val="24"/>
          <w:rtl/>
        </w:rPr>
        <w:t xml:space="preserve">היקף </w:t>
      </w:r>
      <w:r w:rsidRPr="006E02C1">
        <w:rPr>
          <w:rFonts w:hint="cs"/>
          <w:sz w:val="24"/>
          <w:szCs w:val="24"/>
          <w:rtl/>
        </w:rPr>
        <w:t>סגירת הסניפים במערכת בהמשך התכנית.</w:t>
      </w:r>
    </w:p>
  </w:footnote>
  <w:footnote w:id="12">
    <w:p w:rsidR="00B12089" w:rsidRPr="006E02C1" w:rsidRDefault="00B12089" w:rsidP="006E02C1">
      <w:pPr>
        <w:pStyle w:val="a5"/>
        <w:spacing w:line="360" w:lineRule="auto"/>
        <w:rPr>
          <w:sz w:val="24"/>
          <w:szCs w:val="24"/>
        </w:rPr>
      </w:pPr>
      <w:r w:rsidRPr="006E02C1">
        <w:rPr>
          <w:rStyle w:val="ad"/>
        </w:rPr>
        <w:footnoteRef/>
      </w:r>
      <w:r w:rsidRPr="006E02C1">
        <w:rPr>
          <w:sz w:val="24"/>
          <w:szCs w:val="24"/>
          <w:rtl/>
        </w:rPr>
        <w:t xml:space="preserve"> </w:t>
      </w:r>
      <w:r w:rsidRPr="006E02C1">
        <w:rPr>
          <w:rFonts w:hint="cs"/>
          <w:sz w:val="24"/>
          <w:szCs w:val="24"/>
          <w:rtl/>
        </w:rPr>
        <w:t>ההוצאות הנלוות כוללות פיצויים, תגמולים, קרן השתלמות, פנסיה, חופשה, ביטוח לאומי ומס שכר, הוצאות נלוות אחרות, הוצאות פרישה</w:t>
      </w:r>
      <w:r w:rsidR="00092D6C" w:rsidRPr="006E02C1">
        <w:rPr>
          <w:rFonts w:hint="cs"/>
          <w:sz w:val="24"/>
          <w:szCs w:val="24"/>
          <w:rtl/>
        </w:rPr>
        <w:t xml:space="preserve"> </w:t>
      </w:r>
      <w:r w:rsidR="00B237A8" w:rsidRPr="006E02C1">
        <w:rPr>
          <w:rFonts w:hint="cs"/>
          <w:sz w:val="24"/>
          <w:szCs w:val="24"/>
          <w:rtl/>
        </w:rPr>
        <w:t>מרצון והט</w:t>
      </w:r>
      <w:r w:rsidRPr="006E02C1">
        <w:rPr>
          <w:rFonts w:hint="cs"/>
          <w:sz w:val="24"/>
          <w:szCs w:val="24"/>
          <w:rtl/>
        </w:rPr>
        <w:t>בה עקב הקצאת אופציות לעובדים.</w:t>
      </w:r>
    </w:p>
  </w:footnote>
  <w:footnote w:id="13">
    <w:p w:rsidR="002D0C55" w:rsidRPr="006E02C1" w:rsidRDefault="002D0C55" w:rsidP="006E02C1">
      <w:pPr>
        <w:pStyle w:val="a5"/>
        <w:spacing w:line="360" w:lineRule="auto"/>
        <w:rPr>
          <w:sz w:val="24"/>
          <w:szCs w:val="24"/>
          <w:rtl/>
        </w:rPr>
      </w:pPr>
      <w:r w:rsidRPr="006E02C1">
        <w:rPr>
          <w:rStyle w:val="ad"/>
        </w:rPr>
        <w:footnoteRef/>
      </w:r>
      <w:r w:rsidRPr="006E02C1">
        <w:rPr>
          <w:rStyle w:val="ad"/>
          <w:rtl/>
        </w:rPr>
        <w:t xml:space="preserve"> </w:t>
      </w:r>
      <w:r w:rsidRPr="006E02C1">
        <w:rPr>
          <w:rFonts w:hint="cs"/>
          <w:sz w:val="24"/>
          <w:szCs w:val="24"/>
          <w:rtl/>
        </w:rPr>
        <w:t>העלות הממוצעת ליחידת תפוקה</w:t>
      </w:r>
      <w:r w:rsidRPr="006E02C1">
        <w:rPr>
          <w:sz w:val="24"/>
          <w:szCs w:val="24"/>
          <w:rtl/>
        </w:rPr>
        <w:t xml:space="preserve"> (</w:t>
      </w:r>
      <w:r w:rsidRPr="006E02C1">
        <w:rPr>
          <w:sz w:val="24"/>
          <w:szCs w:val="24"/>
        </w:rPr>
        <w:t>average cost</w:t>
      </w:r>
      <w:r w:rsidRPr="006E02C1">
        <w:rPr>
          <w:sz w:val="24"/>
          <w:szCs w:val="24"/>
          <w:rtl/>
        </w:rPr>
        <w:t>).</w:t>
      </w:r>
    </w:p>
  </w:footnote>
  <w:footnote w:id="14">
    <w:p w:rsidR="002D0C55" w:rsidRDefault="002D0C55" w:rsidP="006E02C1">
      <w:pPr>
        <w:pStyle w:val="a5"/>
        <w:spacing w:line="360" w:lineRule="auto"/>
        <w:rPr>
          <w:rtl/>
        </w:rPr>
      </w:pPr>
      <w:r w:rsidRPr="006E02C1">
        <w:rPr>
          <w:rStyle w:val="ad"/>
        </w:rPr>
        <w:footnoteRef/>
      </w:r>
      <w:r w:rsidRPr="006E02C1">
        <w:rPr>
          <w:rStyle w:val="ad"/>
          <w:rtl/>
        </w:rPr>
        <w:t xml:space="preserve"> </w:t>
      </w:r>
      <w:r w:rsidRPr="006E02C1">
        <w:rPr>
          <w:rFonts w:hint="cs"/>
          <w:sz w:val="24"/>
          <w:szCs w:val="24"/>
          <w:rtl/>
        </w:rPr>
        <w:t>יחס היעילות התפעולית</w:t>
      </w:r>
      <w:r w:rsidRPr="006E02C1">
        <w:rPr>
          <w:sz w:val="24"/>
          <w:szCs w:val="24"/>
          <w:rtl/>
        </w:rPr>
        <w:t xml:space="preserve"> (</w:t>
      </w:r>
      <w:r w:rsidRPr="006E02C1">
        <w:rPr>
          <w:sz w:val="24"/>
          <w:szCs w:val="24"/>
        </w:rPr>
        <w:t>cost to income</w:t>
      </w:r>
      <w:r w:rsidRPr="006E02C1">
        <w:rPr>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7F6"/>
    <w:multiLevelType w:val="multilevel"/>
    <w:tmpl w:val="EF46FAE4"/>
    <w:styleLink w:val="a"/>
    <w:lvl w:ilvl="0">
      <w:start w:val="1"/>
      <w:numFmt w:val="decimal"/>
      <w:lvlText w:val="%1."/>
      <w:lvlJc w:val="left"/>
      <w:pPr>
        <w:ind w:left="567" w:hanging="567"/>
      </w:pPr>
      <w:rPr>
        <w:rFonts w:cs="David" w:hint="default"/>
      </w:rPr>
    </w:lvl>
    <w:lvl w:ilvl="1">
      <w:start w:val="1"/>
      <w:numFmt w:val="decimal"/>
      <w:lvlText w:val="%1.%2."/>
      <w:lvlJc w:val="left"/>
      <w:pPr>
        <w:ind w:left="851" w:hanging="284"/>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06756A"/>
    <w:multiLevelType w:val="hybridMultilevel"/>
    <w:tmpl w:val="7620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37E43"/>
    <w:multiLevelType w:val="multilevel"/>
    <w:tmpl w:val="08B8E9C2"/>
    <w:lvl w:ilvl="0">
      <w:start w:val="1"/>
      <w:numFmt w:val="decimal"/>
      <w:lvlText w:val="%1."/>
      <w:lvlJc w:val="left"/>
      <w:pPr>
        <w:ind w:left="360" w:hanging="360"/>
      </w:pPr>
      <w:rPr>
        <w:rFonts w:cs="David"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204C4130"/>
    <w:multiLevelType w:val="hybridMultilevel"/>
    <w:tmpl w:val="F8DCA932"/>
    <w:lvl w:ilvl="0" w:tplc="666A8DA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5629A6"/>
    <w:multiLevelType w:val="hybridMultilevel"/>
    <w:tmpl w:val="25989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0751EB"/>
    <w:multiLevelType w:val="hybridMultilevel"/>
    <w:tmpl w:val="D7E65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88415C0"/>
    <w:multiLevelType w:val="hybridMultilevel"/>
    <w:tmpl w:val="402C4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91123"/>
    <w:multiLevelType w:val="hybridMultilevel"/>
    <w:tmpl w:val="18F027F0"/>
    <w:lvl w:ilvl="0" w:tplc="6E90FB8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7E70C0"/>
    <w:multiLevelType w:val="hybridMultilevel"/>
    <w:tmpl w:val="B2B69B2C"/>
    <w:lvl w:ilvl="0" w:tplc="B76411FA">
      <w:start w:val="1"/>
      <w:numFmt w:val="bullet"/>
      <w:lvlText w:val=""/>
      <w:lvlJc w:val="left"/>
      <w:pPr>
        <w:ind w:left="360" w:hanging="360"/>
      </w:pPr>
      <w:rPr>
        <w:rFonts w:ascii="Symbol" w:hAnsi="Symbo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906947"/>
    <w:multiLevelType w:val="hybridMultilevel"/>
    <w:tmpl w:val="CC64D1A0"/>
    <w:lvl w:ilvl="0" w:tplc="D832A6F0">
      <w:numFmt w:val="bullet"/>
      <w:lvlText w:val="-"/>
      <w:lvlJc w:val="left"/>
      <w:pPr>
        <w:ind w:left="720" w:hanging="360"/>
      </w:pPr>
      <w:rPr>
        <w:rFonts w:ascii="Times New Roman" w:eastAsia="Times New Roman" w:hAnsi="Times New Roman"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47C7D"/>
    <w:multiLevelType w:val="hybridMultilevel"/>
    <w:tmpl w:val="75B4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A46F3A"/>
    <w:multiLevelType w:val="hybridMultilevel"/>
    <w:tmpl w:val="A620B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FD2582"/>
    <w:multiLevelType w:val="hybridMultilevel"/>
    <w:tmpl w:val="0EE8521C"/>
    <w:lvl w:ilvl="0" w:tplc="75B4F7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8862D1"/>
    <w:multiLevelType w:val="hybridMultilevel"/>
    <w:tmpl w:val="539639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380D7A"/>
    <w:multiLevelType w:val="hybridMultilevel"/>
    <w:tmpl w:val="4C62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BA7C1A"/>
    <w:multiLevelType w:val="hybridMultilevel"/>
    <w:tmpl w:val="8E944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7"/>
  </w:num>
  <w:num w:numId="5">
    <w:abstractNumId w:val="13"/>
  </w:num>
  <w:num w:numId="6">
    <w:abstractNumId w:val="12"/>
  </w:num>
  <w:num w:numId="7">
    <w:abstractNumId w:val="14"/>
  </w:num>
  <w:num w:numId="8">
    <w:abstractNumId w:val="11"/>
  </w:num>
  <w:num w:numId="9">
    <w:abstractNumId w:val="3"/>
  </w:num>
  <w:num w:numId="10">
    <w:abstractNumId w:val="8"/>
  </w:num>
  <w:num w:numId="11">
    <w:abstractNumId w:val="9"/>
  </w:num>
  <w:num w:numId="12">
    <w:abstractNumId w:val="1"/>
  </w:num>
  <w:num w:numId="13">
    <w:abstractNumId w:val="5"/>
  </w:num>
  <w:num w:numId="14">
    <w:abstractNumId w:val="4"/>
  </w:num>
  <w:num w:numId="15">
    <w:abstractNumId w:val="15"/>
  </w:num>
  <w:num w:numId="16">
    <w:abstractNumId w:val="6"/>
  </w:num>
  <w:num w:numId="17">
    <w:abstractNumId w:val="1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iuser">
    <w15:presenceInfo w15:providerId="None" w15:userId="boiuser"/>
  </w15:person>
  <w15:person w15:author="Yoav Soffer">
    <w15:presenceInfo w15:providerId="None" w15:userId="Yoav So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BE"/>
    <w:rsid w:val="00002B5F"/>
    <w:rsid w:val="0000343E"/>
    <w:rsid w:val="0000474A"/>
    <w:rsid w:val="000063ED"/>
    <w:rsid w:val="0000755E"/>
    <w:rsid w:val="00012261"/>
    <w:rsid w:val="000137D3"/>
    <w:rsid w:val="00013E03"/>
    <w:rsid w:val="00014179"/>
    <w:rsid w:val="000142D2"/>
    <w:rsid w:val="00016413"/>
    <w:rsid w:val="00021C6B"/>
    <w:rsid w:val="000229F7"/>
    <w:rsid w:val="000235A4"/>
    <w:rsid w:val="00030AEF"/>
    <w:rsid w:val="00030C3B"/>
    <w:rsid w:val="00031A32"/>
    <w:rsid w:val="00031EFC"/>
    <w:rsid w:val="00032902"/>
    <w:rsid w:val="000330C9"/>
    <w:rsid w:val="0003528E"/>
    <w:rsid w:val="00036DF7"/>
    <w:rsid w:val="00037913"/>
    <w:rsid w:val="00040568"/>
    <w:rsid w:val="00042E40"/>
    <w:rsid w:val="00044210"/>
    <w:rsid w:val="00044BF6"/>
    <w:rsid w:val="000478DB"/>
    <w:rsid w:val="00047A94"/>
    <w:rsid w:val="0005083E"/>
    <w:rsid w:val="000516C2"/>
    <w:rsid w:val="0005195B"/>
    <w:rsid w:val="00052178"/>
    <w:rsid w:val="0005303A"/>
    <w:rsid w:val="00053FEF"/>
    <w:rsid w:val="00060BC3"/>
    <w:rsid w:val="00060DF2"/>
    <w:rsid w:val="00061CB4"/>
    <w:rsid w:val="00063703"/>
    <w:rsid w:val="00063C81"/>
    <w:rsid w:val="00065433"/>
    <w:rsid w:val="000671E4"/>
    <w:rsid w:val="00067250"/>
    <w:rsid w:val="00067C95"/>
    <w:rsid w:val="00070ACB"/>
    <w:rsid w:val="00072525"/>
    <w:rsid w:val="00072593"/>
    <w:rsid w:val="00072A86"/>
    <w:rsid w:val="00072C8D"/>
    <w:rsid w:val="00073D67"/>
    <w:rsid w:val="00075070"/>
    <w:rsid w:val="000811AF"/>
    <w:rsid w:val="00081511"/>
    <w:rsid w:val="0008531C"/>
    <w:rsid w:val="00085DD8"/>
    <w:rsid w:val="0008788B"/>
    <w:rsid w:val="00087DE7"/>
    <w:rsid w:val="000903CA"/>
    <w:rsid w:val="000910B2"/>
    <w:rsid w:val="000917E6"/>
    <w:rsid w:val="00091D92"/>
    <w:rsid w:val="000922DC"/>
    <w:rsid w:val="00092D6C"/>
    <w:rsid w:val="0009353D"/>
    <w:rsid w:val="000938B8"/>
    <w:rsid w:val="000945D4"/>
    <w:rsid w:val="00094F60"/>
    <w:rsid w:val="00095544"/>
    <w:rsid w:val="000961CE"/>
    <w:rsid w:val="000A03AA"/>
    <w:rsid w:val="000A26B4"/>
    <w:rsid w:val="000A2B67"/>
    <w:rsid w:val="000A3905"/>
    <w:rsid w:val="000A6F7B"/>
    <w:rsid w:val="000B301B"/>
    <w:rsid w:val="000B58A2"/>
    <w:rsid w:val="000B7DAA"/>
    <w:rsid w:val="000C0220"/>
    <w:rsid w:val="000C159C"/>
    <w:rsid w:val="000C3A3A"/>
    <w:rsid w:val="000C41D7"/>
    <w:rsid w:val="000C5C80"/>
    <w:rsid w:val="000C5F40"/>
    <w:rsid w:val="000C720B"/>
    <w:rsid w:val="000D2064"/>
    <w:rsid w:val="000D2E26"/>
    <w:rsid w:val="000D3613"/>
    <w:rsid w:val="000D3DF9"/>
    <w:rsid w:val="000D4423"/>
    <w:rsid w:val="000D5002"/>
    <w:rsid w:val="000D6E03"/>
    <w:rsid w:val="000D7B0F"/>
    <w:rsid w:val="000E36D5"/>
    <w:rsid w:val="000E3EA9"/>
    <w:rsid w:val="000E5D27"/>
    <w:rsid w:val="000E6414"/>
    <w:rsid w:val="000E727E"/>
    <w:rsid w:val="000E75A8"/>
    <w:rsid w:val="000F2439"/>
    <w:rsid w:val="000F5B7C"/>
    <w:rsid w:val="000F6A40"/>
    <w:rsid w:val="00100598"/>
    <w:rsid w:val="00101816"/>
    <w:rsid w:val="00101A81"/>
    <w:rsid w:val="00101BF9"/>
    <w:rsid w:val="00101CFA"/>
    <w:rsid w:val="001028B5"/>
    <w:rsid w:val="0010594E"/>
    <w:rsid w:val="001061D5"/>
    <w:rsid w:val="00107ED4"/>
    <w:rsid w:val="00110AF2"/>
    <w:rsid w:val="001129C6"/>
    <w:rsid w:val="0011355A"/>
    <w:rsid w:val="001167CF"/>
    <w:rsid w:val="00120115"/>
    <w:rsid w:val="00120923"/>
    <w:rsid w:val="00121993"/>
    <w:rsid w:val="00123967"/>
    <w:rsid w:val="00124081"/>
    <w:rsid w:val="001242D0"/>
    <w:rsid w:val="00126BC7"/>
    <w:rsid w:val="001275E2"/>
    <w:rsid w:val="00127BFD"/>
    <w:rsid w:val="001318F7"/>
    <w:rsid w:val="00131EC8"/>
    <w:rsid w:val="00132BCD"/>
    <w:rsid w:val="00133997"/>
    <w:rsid w:val="00134599"/>
    <w:rsid w:val="001355E4"/>
    <w:rsid w:val="00137E9C"/>
    <w:rsid w:val="00137F48"/>
    <w:rsid w:val="00140443"/>
    <w:rsid w:val="0014411C"/>
    <w:rsid w:val="00147100"/>
    <w:rsid w:val="00147CB4"/>
    <w:rsid w:val="0015049B"/>
    <w:rsid w:val="0015123A"/>
    <w:rsid w:val="00153920"/>
    <w:rsid w:val="001551AD"/>
    <w:rsid w:val="001551B9"/>
    <w:rsid w:val="001608B5"/>
    <w:rsid w:val="00162EF0"/>
    <w:rsid w:val="00164E53"/>
    <w:rsid w:val="00165525"/>
    <w:rsid w:val="00171223"/>
    <w:rsid w:val="00177B4A"/>
    <w:rsid w:val="00177BCB"/>
    <w:rsid w:val="001811B0"/>
    <w:rsid w:val="00181CAB"/>
    <w:rsid w:val="00182B08"/>
    <w:rsid w:val="0018331B"/>
    <w:rsid w:val="001835C8"/>
    <w:rsid w:val="00185361"/>
    <w:rsid w:val="00190234"/>
    <w:rsid w:val="00190626"/>
    <w:rsid w:val="00191312"/>
    <w:rsid w:val="00192566"/>
    <w:rsid w:val="00193361"/>
    <w:rsid w:val="0019633E"/>
    <w:rsid w:val="00197784"/>
    <w:rsid w:val="001A093F"/>
    <w:rsid w:val="001A1B29"/>
    <w:rsid w:val="001A48E7"/>
    <w:rsid w:val="001A66CB"/>
    <w:rsid w:val="001A78AA"/>
    <w:rsid w:val="001B2940"/>
    <w:rsid w:val="001B2D5C"/>
    <w:rsid w:val="001B37F1"/>
    <w:rsid w:val="001B4156"/>
    <w:rsid w:val="001B440D"/>
    <w:rsid w:val="001B496D"/>
    <w:rsid w:val="001B4E20"/>
    <w:rsid w:val="001B50A7"/>
    <w:rsid w:val="001B51D3"/>
    <w:rsid w:val="001B7E2A"/>
    <w:rsid w:val="001C09F3"/>
    <w:rsid w:val="001C147D"/>
    <w:rsid w:val="001C279C"/>
    <w:rsid w:val="001C50E5"/>
    <w:rsid w:val="001C5FDA"/>
    <w:rsid w:val="001C654A"/>
    <w:rsid w:val="001C6E11"/>
    <w:rsid w:val="001D1DBE"/>
    <w:rsid w:val="001D1E0B"/>
    <w:rsid w:val="001D3DDA"/>
    <w:rsid w:val="001D51F5"/>
    <w:rsid w:val="001D526D"/>
    <w:rsid w:val="001D53C0"/>
    <w:rsid w:val="001D749B"/>
    <w:rsid w:val="001E0CA6"/>
    <w:rsid w:val="001E411C"/>
    <w:rsid w:val="001E567C"/>
    <w:rsid w:val="001E587D"/>
    <w:rsid w:val="001E65E2"/>
    <w:rsid w:val="001F01E9"/>
    <w:rsid w:val="001F0F56"/>
    <w:rsid w:val="001F1051"/>
    <w:rsid w:val="001F17F7"/>
    <w:rsid w:val="001F2D9D"/>
    <w:rsid w:val="001F6D5E"/>
    <w:rsid w:val="002002FB"/>
    <w:rsid w:val="00201612"/>
    <w:rsid w:val="002023DB"/>
    <w:rsid w:val="00204F80"/>
    <w:rsid w:val="00204FFD"/>
    <w:rsid w:val="00205348"/>
    <w:rsid w:val="00206986"/>
    <w:rsid w:val="00210865"/>
    <w:rsid w:val="002178D9"/>
    <w:rsid w:val="002200B9"/>
    <w:rsid w:val="002213AF"/>
    <w:rsid w:val="00224431"/>
    <w:rsid w:val="0023282E"/>
    <w:rsid w:val="00233CAC"/>
    <w:rsid w:val="00234EAA"/>
    <w:rsid w:val="00236939"/>
    <w:rsid w:val="00241C56"/>
    <w:rsid w:val="002447B0"/>
    <w:rsid w:val="00245763"/>
    <w:rsid w:val="002478C1"/>
    <w:rsid w:val="00250183"/>
    <w:rsid w:val="00250B73"/>
    <w:rsid w:val="002534BD"/>
    <w:rsid w:val="00253799"/>
    <w:rsid w:val="00254E81"/>
    <w:rsid w:val="00255B6D"/>
    <w:rsid w:val="002574A3"/>
    <w:rsid w:val="002574DE"/>
    <w:rsid w:val="00257DF9"/>
    <w:rsid w:val="0026390E"/>
    <w:rsid w:val="002656B7"/>
    <w:rsid w:val="00265CDF"/>
    <w:rsid w:val="00265D0C"/>
    <w:rsid w:val="002737C1"/>
    <w:rsid w:val="0027393A"/>
    <w:rsid w:val="00275C77"/>
    <w:rsid w:val="002771D3"/>
    <w:rsid w:val="00277429"/>
    <w:rsid w:val="00281172"/>
    <w:rsid w:val="002811C7"/>
    <w:rsid w:val="002816B7"/>
    <w:rsid w:val="00282B82"/>
    <w:rsid w:val="00282D3D"/>
    <w:rsid w:val="00286DDE"/>
    <w:rsid w:val="00287549"/>
    <w:rsid w:val="0029173E"/>
    <w:rsid w:val="00293D3B"/>
    <w:rsid w:val="00294896"/>
    <w:rsid w:val="0029688E"/>
    <w:rsid w:val="002A004D"/>
    <w:rsid w:val="002A1627"/>
    <w:rsid w:val="002A1899"/>
    <w:rsid w:val="002A1F24"/>
    <w:rsid w:val="002A3301"/>
    <w:rsid w:val="002A339E"/>
    <w:rsid w:val="002A5681"/>
    <w:rsid w:val="002A7F6C"/>
    <w:rsid w:val="002B0C03"/>
    <w:rsid w:val="002B0CBA"/>
    <w:rsid w:val="002B1EF2"/>
    <w:rsid w:val="002B2634"/>
    <w:rsid w:val="002B3172"/>
    <w:rsid w:val="002B39D1"/>
    <w:rsid w:val="002B52A8"/>
    <w:rsid w:val="002B6876"/>
    <w:rsid w:val="002C0F13"/>
    <w:rsid w:val="002C1446"/>
    <w:rsid w:val="002C18CA"/>
    <w:rsid w:val="002C1CF3"/>
    <w:rsid w:val="002C2366"/>
    <w:rsid w:val="002C2EF8"/>
    <w:rsid w:val="002C34E9"/>
    <w:rsid w:val="002C7334"/>
    <w:rsid w:val="002C778A"/>
    <w:rsid w:val="002D0C55"/>
    <w:rsid w:val="002D241B"/>
    <w:rsid w:val="002D29C3"/>
    <w:rsid w:val="002D2AB6"/>
    <w:rsid w:val="002D3218"/>
    <w:rsid w:val="002D476D"/>
    <w:rsid w:val="002D63AE"/>
    <w:rsid w:val="002D6E51"/>
    <w:rsid w:val="002D6ECC"/>
    <w:rsid w:val="002D7B63"/>
    <w:rsid w:val="002E015D"/>
    <w:rsid w:val="002E178E"/>
    <w:rsid w:val="002E1B8E"/>
    <w:rsid w:val="002E1FC3"/>
    <w:rsid w:val="002E2ADC"/>
    <w:rsid w:val="002E2B0A"/>
    <w:rsid w:val="002E3A23"/>
    <w:rsid w:val="002F0480"/>
    <w:rsid w:val="002F06E5"/>
    <w:rsid w:val="002F1927"/>
    <w:rsid w:val="002F2B0C"/>
    <w:rsid w:val="002F48E9"/>
    <w:rsid w:val="002F4E9E"/>
    <w:rsid w:val="002F517F"/>
    <w:rsid w:val="002F7813"/>
    <w:rsid w:val="0030062F"/>
    <w:rsid w:val="00300C7C"/>
    <w:rsid w:val="003014FA"/>
    <w:rsid w:val="00302A63"/>
    <w:rsid w:val="00302F3E"/>
    <w:rsid w:val="00303324"/>
    <w:rsid w:val="00303BA5"/>
    <w:rsid w:val="0030490F"/>
    <w:rsid w:val="00305A12"/>
    <w:rsid w:val="00306BF1"/>
    <w:rsid w:val="00306F50"/>
    <w:rsid w:val="00310DBA"/>
    <w:rsid w:val="00313CDE"/>
    <w:rsid w:val="003164E6"/>
    <w:rsid w:val="003234DD"/>
    <w:rsid w:val="00327350"/>
    <w:rsid w:val="003275CA"/>
    <w:rsid w:val="00327736"/>
    <w:rsid w:val="00327BB0"/>
    <w:rsid w:val="00327C8E"/>
    <w:rsid w:val="00330E12"/>
    <w:rsid w:val="00331239"/>
    <w:rsid w:val="00332AE5"/>
    <w:rsid w:val="003353FB"/>
    <w:rsid w:val="00335FBC"/>
    <w:rsid w:val="003378F0"/>
    <w:rsid w:val="00341B56"/>
    <w:rsid w:val="00343184"/>
    <w:rsid w:val="0034429F"/>
    <w:rsid w:val="003452D2"/>
    <w:rsid w:val="0035192E"/>
    <w:rsid w:val="00352829"/>
    <w:rsid w:val="003536DE"/>
    <w:rsid w:val="00353945"/>
    <w:rsid w:val="00353BBE"/>
    <w:rsid w:val="003549B7"/>
    <w:rsid w:val="0036044F"/>
    <w:rsid w:val="003609D0"/>
    <w:rsid w:val="003611F5"/>
    <w:rsid w:val="00364170"/>
    <w:rsid w:val="003643B5"/>
    <w:rsid w:val="00364BD9"/>
    <w:rsid w:val="00377187"/>
    <w:rsid w:val="00377A98"/>
    <w:rsid w:val="00380860"/>
    <w:rsid w:val="0038164E"/>
    <w:rsid w:val="00382605"/>
    <w:rsid w:val="00383D4F"/>
    <w:rsid w:val="00383E9C"/>
    <w:rsid w:val="003900BF"/>
    <w:rsid w:val="00390862"/>
    <w:rsid w:val="00392A09"/>
    <w:rsid w:val="00392F6B"/>
    <w:rsid w:val="00393221"/>
    <w:rsid w:val="00393417"/>
    <w:rsid w:val="00396724"/>
    <w:rsid w:val="0039677C"/>
    <w:rsid w:val="003A2652"/>
    <w:rsid w:val="003A2F8D"/>
    <w:rsid w:val="003A6C25"/>
    <w:rsid w:val="003A7784"/>
    <w:rsid w:val="003B00D9"/>
    <w:rsid w:val="003B01AE"/>
    <w:rsid w:val="003B110B"/>
    <w:rsid w:val="003B14F1"/>
    <w:rsid w:val="003B1C0D"/>
    <w:rsid w:val="003B2481"/>
    <w:rsid w:val="003B55D7"/>
    <w:rsid w:val="003B624D"/>
    <w:rsid w:val="003B62F9"/>
    <w:rsid w:val="003B6B7E"/>
    <w:rsid w:val="003C1A4B"/>
    <w:rsid w:val="003C1E27"/>
    <w:rsid w:val="003C2F45"/>
    <w:rsid w:val="003D0055"/>
    <w:rsid w:val="003D0351"/>
    <w:rsid w:val="003D03F2"/>
    <w:rsid w:val="003D519C"/>
    <w:rsid w:val="003D5F59"/>
    <w:rsid w:val="003D689C"/>
    <w:rsid w:val="003D7B5B"/>
    <w:rsid w:val="003E0524"/>
    <w:rsid w:val="003E0972"/>
    <w:rsid w:val="003E1728"/>
    <w:rsid w:val="003E48F4"/>
    <w:rsid w:val="003F06D3"/>
    <w:rsid w:val="003F21F8"/>
    <w:rsid w:val="003F376D"/>
    <w:rsid w:val="003F6085"/>
    <w:rsid w:val="003F69B7"/>
    <w:rsid w:val="0040044A"/>
    <w:rsid w:val="004017F0"/>
    <w:rsid w:val="00405993"/>
    <w:rsid w:val="004070F2"/>
    <w:rsid w:val="00407210"/>
    <w:rsid w:val="00414562"/>
    <w:rsid w:val="00422570"/>
    <w:rsid w:val="00422E2D"/>
    <w:rsid w:val="004268D6"/>
    <w:rsid w:val="00427E4F"/>
    <w:rsid w:val="00430213"/>
    <w:rsid w:val="00430BA0"/>
    <w:rsid w:val="004325A7"/>
    <w:rsid w:val="0043289F"/>
    <w:rsid w:val="004328A2"/>
    <w:rsid w:val="00435541"/>
    <w:rsid w:val="00436613"/>
    <w:rsid w:val="004468E9"/>
    <w:rsid w:val="00447187"/>
    <w:rsid w:val="00450A57"/>
    <w:rsid w:val="00450C1A"/>
    <w:rsid w:val="0045141C"/>
    <w:rsid w:val="00451C91"/>
    <w:rsid w:val="00453429"/>
    <w:rsid w:val="00454E78"/>
    <w:rsid w:val="0045534B"/>
    <w:rsid w:val="00461F34"/>
    <w:rsid w:val="004640C1"/>
    <w:rsid w:val="00465A68"/>
    <w:rsid w:val="004667A1"/>
    <w:rsid w:val="004705E4"/>
    <w:rsid w:val="00472590"/>
    <w:rsid w:val="00472A33"/>
    <w:rsid w:val="00472BAC"/>
    <w:rsid w:val="004730AC"/>
    <w:rsid w:val="0047472D"/>
    <w:rsid w:val="00474C18"/>
    <w:rsid w:val="00477C28"/>
    <w:rsid w:val="00477D4B"/>
    <w:rsid w:val="00480084"/>
    <w:rsid w:val="004809A5"/>
    <w:rsid w:val="00482204"/>
    <w:rsid w:val="0048329F"/>
    <w:rsid w:val="00485A34"/>
    <w:rsid w:val="00487D3E"/>
    <w:rsid w:val="004904DC"/>
    <w:rsid w:val="004906C5"/>
    <w:rsid w:val="0049752B"/>
    <w:rsid w:val="00497571"/>
    <w:rsid w:val="004A1A7C"/>
    <w:rsid w:val="004A31F7"/>
    <w:rsid w:val="004A37BA"/>
    <w:rsid w:val="004A7A32"/>
    <w:rsid w:val="004B133B"/>
    <w:rsid w:val="004B2C5B"/>
    <w:rsid w:val="004B3091"/>
    <w:rsid w:val="004B4C38"/>
    <w:rsid w:val="004B64EE"/>
    <w:rsid w:val="004B6C96"/>
    <w:rsid w:val="004C2CD6"/>
    <w:rsid w:val="004C3690"/>
    <w:rsid w:val="004C4EE6"/>
    <w:rsid w:val="004D291F"/>
    <w:rsid w:val="004D7899"/>
    <w:rsid w:val="004E0AF5"/>
    <w:rsid w:val="004E1863"/>
    <w:rsid w:val="004E3D21"/>
    <w:rsid w:val="004E7228"/>
    <w:rsid w:val="004F171A"/>
    <w:rsid w:val="004F2758"/>
    <w:rsid w:val="004F2CA1"/>
    <w:rsid w:val="004F34E2"/>
    <w:rsid w:val="004F3A2C"/>
    <w:rsid w:val="004F3DB6"/>
    <w:rsid w:val="004F560C"/>
    <w:rsid w:val="004F560D"/>
    <w:rsid w:val="0050562A"/>
    <w:rsid w:val="00505A33"/>
    <w:rsid w:val="00505D8F"/>
    <w:rsid w:val="00505EC3"/>
    <w:rsid w:val="0050644A"/>
    <w:rsid w:val="00506509"/>
    <w:rsid w:val="00506EFD"/>
    <w:rsid w:val="005076C4"/>
    <w:rsid w:val="00507BC3"/>
    <w:rsid w:val="00507F1D"/>
    <w:rsid w:val="00510BEB"/>
    <w:rsid w:val="00510EFF"/>
    <w:rsid w:val="005118A1"/>
    <w:rsid w:val="00512563"/>
    <w:rsid w:val="00512AAB"/>
    <w:rsid w:val="005130BA"/>
    <w:rsid w:val="00514A4A"/>
    <w:rsid w:val="00514FCD"/>
    <w:rsid w:val="00520238"/>
    <w:rsid w:val="005207B1"/>
    <w:rsid w:val="0052630B"/>
    <w:rsid w:val="00526604"/>
    <w:rsid w:val="005276E1"/>
    <w:rsid w:val="00527EFC"/>
    <w:rsid w:val="00531F8C"/>
    <w:rsid w:val="005323F4"/>
    <w:rsid w:val="00534CAA"/>
    <w:rsid w:val="00535503"/>
    <w:rsid w:val="00536399"/>
    <w:rsid w:val="005373BE"/>
    <w:rsid w:val="00537DF5"/>
    <w:rsid w:val="00541BB2"/>
    <w:rsid w:val="00541C91"/>
    <w:rsid w:val="00541F69"/>
    <w:rsid w:val="00543460"/>
    <w:rsid w:val="00543557"/>
    <w:rsid w:val="0054405F"/>
    <w:rsid w:val="0054436F"/>
    <w:rsid w:val="00544D9D"/>
    <w:rsid w:val="00545F61"/>
    <w:rsid w:val="0054617D"/>
    <w:rsid w:val="0055238B"/>
    <w:rsid w:val="005548BA"/>
    <w:rsid w:val="00554CBD"/>
    <w:rsid w:val="00555C64"/>
    <w:rsid w:val="005579D1"/>
    <w:rsid w:val="0056163C"/>
    <w:rsid w:val="0056211E"/>
    <w:rsid w:val="00563C9E"/>
    <w:rsid w:val="00563D54"/>
    <w:rsid w:val="00565DA4"/>
    <w:rsid w:val="005662C1"/>
    <w:rsid w:val="00567603"/>
    <w:rsid w:val="00567A3E"/>
    <w:rsid w:val="00570E8D"/>
    <w:rsid w:val="0057195A"/>
    <w:rsid w:val="005723F4"/>
    <w:rsid w:val="00573196"/>
    <w:rsid w:val="00574628"/>
    <w:rsid w:val="005751C6"/>
    <w:rsid w:val="0057630C"/>
    <w:rsid w:val="005766C0"/>
    <w:rsid w:val="00576800"/>
    <w:rsid w:val="00576806"/>
    <w:rsid w:val="0057794F"/>
    <w:rsid w:val="00580021"/>
    <w:rsid w:val="00587202"/>
    <w:rsid w:val="005874B4"/>
    <w:rsid w:val="00590CD6"/>
    <w:rsid w:val="00592EA6"/>
    <w:rsid w:val="005953D0"/>
    <w:rsid w:val="0059628C"/>
    <w:rsid w:val="005A0E19"/>
    <w:rsid w:val="005A100D"/>
    <w:rsid w:val="005A21B7"/>
    <w:rsid w:val="005A2D47"/>
    <w:rsid w:val="005A4EF6"/>
    <w:rsid w:val="005A62A5"/>
    <w:rsid w:val="005B0BC8"/>
    <w:rsid w:val="005B0E87"/>
    <w:rsid w:val="005B1017"/>
    <w:rsid w:val="005B192B"/>
    <w:rsid w:val="005B1AF6"/>
    <w:rsid w:val="005B2306"/>
    <w:rsid w:val="005B3C11"/>
    <w:rsid w:val="005B61EE"/>
    <w:rsid w:val="005C0920"/>
    <w:rsid w:val="005C0FB6"/>
    <w:rsid w:val="005C6C69"/>
    <w:rsid w:val="005C6E5B"/>
    <w:rsid w:val="005C7B5D"/>
    <w:rsid w:val="005C7CA9"/>
    <w:rsid w:val="005D2D40"/>
    <w:rsid w:val="005D3B3B"/>
    <w:rsid w:val="005D3C10"/>
    <w:rsid w:val="005D5201"/>
    <w:rsid w:val="005D64C2"/>
    <w:rsid w:val="005D782E"/>
    <w:rsid w:val="005E02D2"/>
    <w:rsid w:val="005E1D84"/>
    <w:rsid w:val="005E290D"/>
    <w:rsid w:val="005E5387"/>
    <w:rsid w:val="005E7185"/>
    <w:rsid w:val="005E7385"/>
    <w:rsid w:val="005E74A6"/>
    <w:rsid w:val="005F0F37"/>
    <w:rsid w:val="005F1186"/>
    <w:rsid w:val="005F11BC"/>
    <w:rsid w:val="005F20A2"/>
    <w:rsid w:val="005F499C"/>
    <w:rsid w:val="005F5625"/>
    <w:rsid w:val="005F585A"/>
    <w:rsid w:val="005F7157"/>
    <w:rsid w:val="006005C9"/>
    <w:rsid w:val="00602541"/>
    <w:rsid w:val="006031D4"/>
    <w:rsid w:val="00604D3C"/>
    <w:rsid w:val="00605107"/>
    <w:rsid w:val="006075BF"/>
    <w:rsid w:val="00613650"/>
    <w:rsid w:val="00614656"/>
    <w:rsid w:val="00615FAA"/>
    <w:rsid w:val="00617C3D"/>
    <w:rsid w:val="00624328"/>
    <w:rsid w:val="00625754"/>
    <w:rsid w:val="00626482"/>
    <w:rsid w:val="006279B7"/>
    <w:rsid w:val="0063078B"/>
    <w:rsid w:val="0063078F"/>
    <w:rsid w:val="00630CC6"/>
    <w:rsid w:val="0063389F"/>
    <w:rsid w:val="00634511"/>
    <w:rsid w:val="00634696"/>
    <w:rsid w:val="00636D22"/>
    <w:rsid w:val="00641F3C"/>
    <w:rsid w:val="00642457"/>
    <w:rsid w:val="00642FEA"/>
    <w:rsid w:val="00645570"/>
    <w:rsid w:val="0064561B"/>
    <w:rsid w:val="00645ED7"/>
    <w:rsid w:val="006476A0"/>
    <w:rsid w:val="00650100"/>
    <w:rsid w:val="00650197"/>
    <w:rsid w:val="006504EA"/>
    <w:rsid w:val="0065075E"/>
    <w:rsid w:val="00652753"/>
    <w:rsid w:val="00652B1D"/>
    <w:rsid w:val="00655DFD"/>
    <w:rsid w:val="006569DC"/>
    <w:rsid w:val="006578C9"/>
    <w:rsid w:val="00660C08"/>
    <w:rsid w:val="00665096"/>
    <w:rsid w:val="0066567D"/>
    <w:rsid w:val="00666077"/>
    <w:rsid w:val="00666920"/>
    <w:rsid w:val="006709BA"/>
    <w:rsid w:val="00670D79"/>
    <w:rsid w:val="00670F2E"/>
    <w:rsid w:val="00673747"/>
    <w:rsid w:val="00673D59"/>
    <w:rsid w:val="00674C8F"/>
    <w:rsid w:val="00674C95"/>
    <w:rsid w:val="00676642"/>
    <w:rsid w:val="006766FB"/>
    <w:rsid w:val="00681DF0"/>
    <w:rsid w:val="006874A5"/>
    <w:rsid w:val="00692940"/>
    <w:rsid w:val="006930BA"/>
    <w:rsid w:val="00694940"/>
    <w:rsid w:val="00696F26"/>
    <w:rsid w:val="006A09F8"/>
    <w:rsid w:val="006A1324"/>
    <w:rsid w:val="006A2A8E"/>
    <w:rsid w:val="006A2D51"/>
    <w:rsid w:val="006A65D2"/>
    <w:rsid w:val="006B11D9"/>
    <w:rsid w:val="006B2237"/>
    <w:rsid w:val="006B35ED"/>
    <w:rsid w:val="006C0929"/>
    <w:rsid w:val="006C1485"/>
    <w:rsid w:val="006C1D4F"/>
    <w:rsid w:val="006C257C"/>
    <w:rsid w:val="006C464A"/>
    <w:rsid w:val="006C55DD"/>
    <w:rsid w:val="006C586E"/>
    <w:rsid w:val="006D2CB3"/>
    <w:rsid w:val="006D3B19"/>
    <w:rsid w:val="006D4A64"/>
    <w:rsid w:val="006D6992"/>
    <w:rsid w:val="006D6A19"/>
    <w:rsid w:val="006D6AA6"/>
    <w:rsid w:val="006D6EB5"/>
    <w:rsid w:val="006D7A3D"/>
    <w:rsid w:val="006E02C1"/>
    <w:rsid w:val="006E2B24"/>
    <w:rsid w:val="006E4487"/>
    <w:rsid w:val="006E52CD"/>
    <w:rsid w:val="006E5FAC"/>
    <w:rsid w:val="006E5FDC"/>
    <w:rsid w:val="006E6A1E"/>
    <w:rsid w:val="006E7008"/>
    <w:rsid w:val="006E70B3"/>
    <w:rsid w:val="006E73B2"/>
    <w:rsid w:val="006E7A95"/>
    <w:rsid w:val="006F03D0"/>
    <w:rsid w:val="006F06D2"/>
    <w:rsid w:val="006F1457"/>
    <w:rsid w:val="006F548A"/>
    <w:rsid w:val="006F586C"/>
    <w:rsid w:val="006F751B"/>
    <w:rsid w:val="006F7F6F"/>
    <w:rsid w:val="00701589"/>
    <w:rsid w:val="0070199B"/>
    <w:rsid w:val="00701BA2"/>
    <w:rsid w:val="00701BC1"/>
    <w:rsid w:val="00703CEE"/>
    <w:rsid w:val="007063B7"/>
    <w:rsid w:val="0071042E"/>
    <w:rsid w:val="007131B9"/>
    <w:rsid w:val="007138C7"/>
    <w:rsid w:val="00713BE4"/>
    <w:rsid w:val="00714616"/>
    <w:rsid w:val="00715241"/>
    <w:rsid w:val="00720231"/>
    <w:rsid w:val="007206D0"/>
    <w:rsid w:val="00720B36"/>
    <w:rsid w:val="007211F3"/>
    <w:rsid w:val="00721FBE"/>
    <w:rsid w:val="00726B6E"/>
    <w:rsid w:val="00732092"/>
    <w:rsid w:val="0073591D"/>
    <w:rsid w:val="0073599C"/>
    <w:rsid w:val="00736739"/>
    <w:rsid w:val="00737E74"/>
    <w:rsid w:val="00743556"/>
    <w:rsid w:val="00744A72"/>
    <w:rsid w:val="00745845"/>
    <w:rsid w:val="00747610"/>
    <w:rsid w:val="007508E4"/>
    <w:rsid w:val="00750998"/>
    <w:rsid w:val="00753D96"/>
    <w:rsid w:val="00754BE2"/>
    <w:rsid w:val="00754D30"/>
    <w:rsid w:val="00755675"/>
    <w:rsid w:val="00755956"/>
    <w:rsid w:val="00755C4C"/>
    <w:rsid w:val="00755D76"/>
    <w:rsid w:val="00756BF0"/>
    <w:rsid w:val="00760BB1"/>
    <w:rsid w:val="007617A1"/>
    <w:rsid w:val="00762942"/>
    <w:rsid w:val="00763B4B"/>
    <w:rsid w:val="00763D56"/>
    <w:rsid w:val="007643FD"/>
    <w:rsid w:val="00770676"/>
    <w:rsid w:val="00771E8A"/>
    <w:rsid w:val="0077224D"/>
    <w:rsid w:val="00772BA6"/>
    <w:rsid w:val="0077344F"/>
    <w:rsid w:val="00774BB1"/>
    <w:rsid w:val="00775900"/>
    <w:rsid w:val="00776B19"/>
    <w:rsid w:val="0078142D"/>
    <w:rsid w:val="00781634"/>
    <w:rsid w:val="00781952"/>
    <w:rsid w:val="00782500"/>
    <w:rsid w:val="007836B2"/>
    <w:rsid w:val="00784ED6"/>
    <w:rsid w:val="00785CD5"/>
    <w:rsid w:val="00785E2D"/>
    <w:rsid w:val="00787565"/>
    <w:rsid w:val="00787947"/>
    <w:rsid w:val="0079066E"/>
    <w:rsid w:val="00792B62"/>
    <w:rsid w:val="00793593"/>
    <w:rsid w:val="00793F91"/>
    <w:rsid w:val="00794339"/>
    <w:rsid w:val="007962C1"/>
    <w:rsid w:val="0079792F"/>
    <w:rsid w:val="007A0EB8"/>
    <w:rsid w:val="007A10D9"/>
    <w:rsid w:val="007A18D4"/>
    <w:rsid w:val="007A1AE5"/>
    <w:rsid w:val="007A3BA5"/>
    <w:rsid w:val="007A752D"/>
    <w:rsid w:val="007B095F"/>
    <w:rsid w:val="007B3B83"/>
    <w:rsid w:val="007B4926"/>
    <w:rsid w:val="007B5093"/>
    <w:rsid w:val="007B636A"/>
    <w:rsid w:val="007B6612"/>
    <w:rsid w:val="007B66D8"/>
    <w:rsid w:val="007C0722"/>
    <w:rsid w:val="007C0DA5"/>
    <w:rsid w:val="007C0E36"/>
    <w:rsid w:val="007C1224"/>
    <w:rsid w:val="007C4F06"/>
    <w:rsid w:val="007C5BFB"/>
    <w:rsid w:val="007C67AE"/>
    <w:rsid w:val="007C695F"/>
    <w:rsid w:val="007C6AD8"/>
    <w:rsid w:val="007C7FE7"/>
    <w:rsid w:val="007D011A"/>
    <w:rsid w:val="007D1E89"/>
    <w:rsid w:val="007D2B3E"/>
    <w:rsid w:val="007D39EB"/>
    <w:rsid w:val="007D674D"/>
    <w:rsid w:val="007D70FF"/>
    <w:rsid w:val="007E1A35"/>
    <w:rsid w:val="007E3FD9"/>
    <w:rsid w:val="007E6CE8"/>
    <w:rsid w:val="007E7246"/>
    <w:rsid w:val="007E725B"/>
    <w:rsid w:val="007F0172"/>
    <w:rsid w:val="007F1734"/>
    <w:rsid w:val="007F573E"/>
    <w:rsid w:val="007F6D13"/>
    <w:rsid w:val="0080137D"/>
    <w:rsid w:val="00801D6A"/>
    <w:rsid w:val="008022CE"/>
    <w:rsid w:val="00802AFB"/>
    <w:rsid w:val="00804F62"/>
    <w:rsid w:val="0080501F"/>
    <w:rsid w:val="0080568E"/>
    <w:rsid w:val="00805DFB"/>
    <w:rsid w:val="00810C83"/>
    <w:rsid w:val="00811CEA"/>
    <w:rsid w:val="008137CD"/>
    <w:rsid w:val="00813BDC"/>
    <w:rsid w:val="00814EC9"/>
    <w:rsid w:val="00815751"/>
    <w:rsid w:val="0082003D"/>
    <w:rsid w:val="00820CF1"/>
    <w:rsid w:val="008210E7"/>
    <w:rsid w:val="008213BC"/>
    <w:rsid w:val="008216C0"/>
    <w:rsid w:val="008219EB"/>
    <w:rsid w:val="008223F6"/>
    <w:rsid w:val="00822FF4"/>
    <w:rsid w:val="008235A2"/>
    <w:rsid w:val="008242CD"/>
    <w:rsid w:val="00824BE1"/>
    <w:rsid w:val="008310AC"/>
    <w:rsid w:val="00832E83"/>
    <w:rsid w:val="00833016"/>
    <w:rsid w:val="008331F1"/>
    <w:rsid w:val="008356DE"/>
    <w:rsid w:val="008372F6"/>
    <w:rsid w:val="00840E50"/>
    <w:rsid w:val="0084109F"/>
    <w:rsid w:val="008433A2"/>
    <w:rsid w:val="00843E4B"/>
    <w:rsid w:val="00846D1C"/>
    <w:rsid w:val="00847D88"/>
    <w:rsid w:val="008521C5"/>
    <w:rsid w:val="00855E12"/>
    <w:rsid w:val="00857346"/>
    <w:rsid w:val="00860577"/>
    <w:rsid w:val="0086093A"/>
    <w:rsid w:val="00861E89"/>
    <w:rsid w:val="00863C0B"/>
    <w:rsid w:val="00870B64"/>
    <w:rsid w:val="00870B81"/>
    <w:rsid w:val="00872089"/>
    <w:rsid w:val="00872A5A"/>
    <w:rsid w:val="00872CAD"/>
    <w:rsid w:val="00877913"/>
    <w:rsid w:val="00877E61"/>
    <w:rsid w:val="00881EF1"/>
    <w:rsid w:val="00882769"/>
    <w:rsid w:val="00884C2C"/>
    <w:rsid w:val="00884C9A"/>
    <w:rsid w:val="008900B7"/>
    <w:rsid w:val="00890808"/>
    <w:rsid w:val="008946CE"/>
    <w:rsid w:val="00895B6A"/>
    <w:rsid w:val="008A2736"/>
    <w:rsid w:val="008A2CBB"/>
    <w:rsid w:val="008A2F2E"/>
    <w:rsid w:val="008A51C7"/>
    <w:rsid w:val="008A59AB"/>
    <w:rsid w:val="008A60A2"/>
    <w:rsid w:val="008A6603"/>
    <w:rsid w:val="008A6D6E"/>
    <w:rsid w:val="008A71F5"/>
    <w:rsid w:val="008B3609"/>
    <w:rsid w:val="008B5D4C"/>
    <w:rsid w:val="008B6016"/>
    <w:rsid w:val="008B725C"/>
    <w:rsid w:val="008B7E3F"/>
    <w:rsid w:val="008C1B43"/>
    <w:rsid w:val="008C2149"/>
    <w:rsid w:val="008C400E"/>
    <w:rsid w:val="008C5BE6"/>
    <w:rsid w:val="008D031A"/>
    <w:rsid w:val="008D12CA"/>
    <w:rsid w:val="008D1BB0"/>
    <w:rsid w:val="008D1BF3"/>
    <w:rsid w:val="008D1C66"/>
    <w:rsid w:val="008D255F"/>
    <w:rsid w:val="008D2E90"/>
    <w:rsid w:val="008D3F1C"/>
    <w:rsid w:val="008D797B"/>
    <w:rsid w:val="008D7E2B"/>
    <w:rsid w:val="008E0428"/>
    <w:rsid w:val="008E07DC"/>
    <w:rsid w:val="008E3D80"/>
    <w:rsid w:val="008E4461"/>
    <w:rsid w:val="008E7C7C"/>
    <w:rsid w:val="008E7EC6"/>
    <w:rsid w:val="008E7F3D"/>
    <w:rsid w:val="008F0E9D"/>
    <w:rsid w:val="008F1FDF"/>
    <w:rsid w:val="008F2453"/>
    <w:rsid w:val="008F3054"/>
    <w:rsid w:val="008F3F42"/>
    <w:rsid w:val="00901A95"/>
    <w:rsid w:val="00905118"/>
    <w:rsid w:val="0090568D"/>
    <w:rsid w:val="009058A9"/>
    <w:rsid w:val="009061DC"/>
    <w:rsid w:val="00906A1C"/>
    <w:rsid w:val="00906D23"/>
    <w:rsid w:val="00907799"/>
    <w:rsid w:val="009107EF"/>
    <w:rsid w:val="00910952"/>
    <w:rsid w:val="00910E5C"/>
    <w:rsid w:val="009147E2"/>
    <w:rsid w:val="00914EDF"/>
    <w:rsid w:val="00915DED"/>
    <w:rsid w:val="00916271"/>
    <w:rsid w:val="009165DC"/>
    <w:rsid w:val="00916798"/>
    <w:rsid w:val="00924A43"/>
    <w:rsid w:val="00926CCC"/>
    <w:rsid w:val="00930EC1"/>
    <w:rsid w:val="009311C6"/>
    <w:rsid w:val="0093224D"/>
    <w:rsid w:val="00932FE8"/>
    <w:rsid w:val="00935D4D"/>
    <w:rsid w:val="009378EE"/>
    <w:rsid w:val="00941FAA"/>
    <w:rsid w:val="0094227C"/>
    <w:rsid w:val="00942F20"/>
    <w:rsid w:val="009441BC"/>
    <w:rsid w:val="0094466C"/>
    <w:rsid w:val="00945616"/>
    <w:rsid w:val="0094690C"/>
    <w:rsid w:val="00951573"/>
    <w:rsid w:val="00953CB0"/>
    <w:rsid w:val="00953FC8"/>
    <w:rsid w:val="00956099"/>
    <w:rsid w:val="00960916"/>
    <w:rsid w:val="00961C68"/>
    <w:rsid w:val="00961D36"/>
    <w:rsid w:val="00963CD6"/>
    <w:rsid w:val="00966C06"/>
    <w:rsid w:val="00966C07"/>
    <w:rsid w:val="00967932"/>
    <w:rsid w:val="009706D7"/>
    <w:rsid w:val="0097113D"/>
    <w:rsid w:val="00971BEE"/>
    <w:rsid w:val="00973876"/>
    <w:rsid w:val="00974046"/>
    <w:rsid w:val="009766C8"/>
    <w:rsid w:val="009768C4"/>
    <w:rsid w:val="0097699C"/>
    <w:rsid w:val="00976AB9"/>
    <w:rsid w:val="00977E00"/>
    <w:rsid w:val="009816C2"/>
    <w:rsid w:val="009825C7"/>
    <w:rsid w:val="00984F7B"/>
    <w:rsid w:val="009855FF"/>
    <w:rsid w:val="00985FF7"/>
    <w:rsid w:val="00986B55"/>
    <w:rsid w:val="00990E41"/>
    <w:rsid w:val="00992173"/>
    <w:rsid w:val="00992846"/>
    <w:rsid w:val="00997427"/>
    <w:rsid w:val="009975DA"/>
    <w:rsid w:val="009A616B"/>
    <w:rsid w:val="009A75D8"/>
    <w:rsid w:val="009A7B71"/>
    <w:rsid w:val="009B0690"/>
    <w:rsid w:val="009B071E"/>
    <w:rsid w:val="009B1AA6"/>
    <w:rsid w:val="009B4115"/>
    <w:rsid w:val="009B4915"/>
    <w:rsid w:val="009B584C"/>
    <w:rsid w:val="009C018B"/>
    <w:rsid w:val="009C0855"/>
    <w:rsid w:val="009C1492"/>
    <w:rsid w:val="009C22C8"/>
    <w:rsid w:val="009C3AB3"/>
    <w:rsid w:val="009C3B8D"/>
    <w:rsid w:val="009C6DD9"/>
    <w:rsid w:val="009C7DDB"/>
    <w:rsid w:val="009D08D2"/>
    <w:rsid w:val="009D1BD1"/>
    <w:rsid w:val="009D2166"/>
    <w:rsid w:val="009D28C3"/>
    <w:rsid w:val="009D5564"/>
    <w:rsid w:val="009D564F"/>
    <w:rsid w:val="009E0336"/>
    <w:rsid w:val="009E1A5A"/>
    <w:rsid w:val="009E2365"/>
    <w:rsid w:val="009E6762"/>
    <w:rsid w:val="009E6B17"/>
    <w:rsid w:val="009F00E9"/>
    <w:rsid w:val="009F09CF"/>
    <w:rsid w:val="009F3265"/>
    <w:rsid w:val="009F6D97"/>
    <w:rsid w:val="009F7DB9"/>
    <w:rsid w:val="00A0032D"/>
    <w:rsid w:val="00A01647"/>
    <w:rsid w:val="00A0375E"/>
    <w:rsid w:val="00A04BF3"/>
    <w:rsid w:val="00A05B42"/>
    <w:rsid w:val="00A06C1E"/>
    <w:rsid w:val="00A11324"/>
    <w:rsid w:val="00A171B5"/>
    <w:rsid w:val="00A23657"/>
    <w:rsid w:val="00A23FE6"/>
    <w:rsid w:val="00A25F5B"/>
    <w:rsid w:val="00A2613F"/>
    <w:rsid w:val="00A26C24"/>
    <w:rsid w:val="00A30382"/>
    <w:rsid w:val="00A31B56"/>
    <w:rsid w:val="00A35E27"/>
    <w:rsid w:val="00A36563"/>
    <w:rsid w:val="00A40CF0"/>
    <w:rsid w:val="00A42A18"/>
    <w:rsid w:val="00A4415E"/>
    <w:rsid w:val="00A45559"/>
    <w:rsid w:val="00A45B4E"/>
    <w:rsid w:val="00A46006"/>
    <w:rsid w:val="00A47B8A"/>
    <w:rsid w:val="00A504A4"/>
    <w:rsid w:val="00A50E27"/>
    <w:rsid w:val="00A52F04"/>
    <w:rsid w:val="00A52F88"/>
    <w:rsid w:val="00A55AAB"/>
    <w:rsid w:val="00A55CF8"/>
    <w:rsid w:val="00A55F39"/>
    <w:rsid w:val="00A55F92"/>
    <w:rsid w:val="00A56807"/>
    <w:rsid w:val="00A60DE4"/>
    <w:rsid w:val="00A6135C"/>
    <w:rsid w:val="00A61CE3"/>
    <w:rsid w:val="00A628F8"/>
    <w:rsid w:val="00A63525"/>
    <w:rsid w:val="00A6367C"/>
    <w:rsid w:val="00A636E9"/>
    <w:rsid w:val="00A640F8"/>
    <w:rsid w:val="00A64CF7"/>
    <w:rsid w:val="00A64D7C"/>
    <w:rsid w:val="00A71560"/>
    <w:rsid w:val="00A72179"/>
    <w:rsid w:val="00A7231C"/>
    <w:rsid w:val="00A814A5"/>
    <w:rsid w:val="00A815A3"/>
    <w:rsid w:val="00A8233C"/>
    <w:rsid w:val="00A835CB"/>
    <w:rsid w:val="00A84BCF"/>
    <w:rsid w:val="00A84D15"/>
    <w:rsid w:val="00A856AD"/>
    <w:rsid w:val="00A856C2"/>
    <w:rsid w:val="00A85AB7"/>
    <w:rsid w:val="00A9003D"/>
    <w:rsid w:val="00A90F9F"/>
    <w:rsid w:val="00A91916"/>
    <w:rsid w:val="00A91B49"/>
    <w:rsid w:val="00A920E9"/>
    <w:rsid w:val="00A92E14"/>
    <w:rsid w:val="00A930B5"/>
    <w:rsid w:val="00A93135"/>
    <w:rsid w:val="00A933EC"/>
    <w:rsid w:val="00A9379C"/>
    <w:rsid w:val="00A94CD1"/>
    <w:rsid w:val="00A97126"/>
    <w:rsid w:val="00AA2673"/>
    <w:rsid w:val="00AA3215"/>
    <w:rsid w:val="00AA470F"/>
    <w:rsid w:val="00AA4C46"/>
    <w:rsid w:val="00AB2252"/>
    <w:rsid w:val="00AB3917"/>
    <w:rsid w:val="00AB474F"/>
    <w:rsid w:val="00AB51D7"/>
    <w:rsid w:val="00AB5F63"/>
    <w:rsid w:val="00AB66C8"/>
    <w:rsid w:val="00AC0AFA"/>
    <w:rsid w:val="00AC2FE2"/>
    <w:rsid w:val="00AC5105"/>
    <w:rsid w:val="00AC646E"/>
    <w:rsid w:val="00AC69B2"/>
    <w:rsid w:val="00AC6EA6"/>
    <w:rsid w:val="00AC7080"/>
    <w:rsid w:val="00AD0711"/>
    <w:rsid w:val="00AD2C4D"/>
    <w:rsid w:val="00AD36FD"/>
    <w:rsid w:val="00AD4D19"/>
    <w:rsid w:val="00AD5EEE"/>
    <w:rsid w:val="00AD735E"/>
    <w:rsid w:val="00AD7AA1"/>
    <w:rsid w:val="00AE1050"/>
    <w:rsid w:val="00AE293B"/>
    <w:rsid w:val="00AE2943"/>
    <w:rsid w:val="00AE56A6"/>
    <w:rsid w:val="00AE6669"/>
    <w:rsid w:val="00AE6C19"/>
    <w:rsid w:val="00AF0F29"/>
    <w:rsid w:val="00AF10E6"/>
    <w:rsid w:val="00B003F8"/>
    <w:rsid w:val="00B00670"/>
    <w:rsid w:val="00B00AA3"/>
    <w:rsid w:val="00B01C91"/>
    <w:rsid w:val="00B020F1"/>
    <w:rsid w:val="00B02111"/>
    <w:rsid w:val="00B026A5"/>
    <w:rsid w:val="00B02C69"/>
    <w:rsid w:val="00B0309C"/>
    <w:rsid w:val="00B031D1"/>
    <w:rsid w:val="00B04135"/>
    <w:rsid w:val="00B05D8C"/>
    <w:rsid w:val="00B06940"/>
    <w:rsid w:val="00B06DFF"/>
    <w:rsid w:val="00B06F38"/>
    <w:rsid w:val="00B12089"/>
    <w:rsid w:val="00B139AC"/>
    <w:rsid w:val="00B146B1"/>
    <w:rsid w:val="00B14F6C"/>
    <w:rsid w:val="00B150B3"/>
    <w:rsid w:val="00B15AC6"/>
    <w:rsid w:val="00B218F5"/>
    <w:rsid w:val="00B236CE"/>
    <w:rsid w:val="00B237A8"/>
    <w:rsid w:val="00B260A9"/>
    <w:rsid w:val="00B266A7"/>
    <w:rsid w:val="00B26991"/>
    <w:rsid w:val="00B27A8F"/>
    <w:rsid w:val="00B32404"/>
    <w:rsid w:val="00B32E81"/>
    <w:rsid w:val="00B339D0"/>
    <w:rsid w:val="00B36377"/>
    <w:rsid w:val="00B4018F"/>
    <w:rsid w:val="00B40AFB"/>
    <w:rsid w:val="00B4166B"/>
    <w:rsid w:val="00B42573"/>
    <w:rsid w:val="00B45189"/>
    <w:rsid w:val="00B467BB"/>
    <w:rsid w:val="00B47E31"/>
    <w:rsid w:val="00B50FBF"/>
    <w:rsid w:val="00B51293"/>
    <w:rsid w:val="00B53076"/>
    <w:rsid w:val="00B545E3"/>
    <w:rsid w:val="00B54D6C"/>
    <w:rsid w:val="00B5540E"/>
    <w:rsid w:val="00B5541D"/>
    <w:rsid w:val="00B56292"/>
    <w:rsid w:val="00B57363"/>
    <w:rsid w:val="00B619E5"/>
    <w:rsid w:val="00B62C03"/>
    <w:rsid w:val="00B635C4"/>
    <w:rsid w:val="00B63C03"/>
    <w:rsid w:val="00B63DFC"/>
    <w:rsid w:val="00B63E34"/>
    <w:rsid w:val="00B64481"/>
    <w:rsid w:val="00B652D4"/>
    <w:rsid w:val="00B654FA"/>
    <w:rsid w:val="00B65677"/>
    <w:rsid w:val="00B66807"/>
    <w:rsid w:val="00B66FDF"/>
    <w:rsid w:val="00B70738"/>
    <w:rsid w:val="00B70A34"/>
    <w:rsid w:val="00B70C9E"/>
    <w:rsid w:val="00B70D1F"/>
    <w:rsid w:val="00B72270"/>
    <w:rsid w:val="00B7371D"/>
    <w:rsid w:val="00B73B63"/>
    <w:rsid w:val="00B75E29"/>
    <w:rsid w:val="00B76037"/>
    <w:rsid w:val="00B768FF"/>
    <w:rsid w:val="00B80B5A"/>
    <w:rsid w:val="00B80D0B"/>
    <w:rsid w:val="00B81CA7"/>
    <w:rsid w:val="00B82CF2"/>
    <w:rsid w:val="00B82F9F"/>
    <w:rsid w:val="00B83B9F"/>
    <w:rsid w:val="00B851FB"/>
    <w:rsid w:val="00B86209"/>
    <w:rsid w:val="00B96A69"/>
    <w:rsid w:val="00B97C79"/>
    <w:rsid w:val="00BA399A"/>
    <w:rsid w:val="00BA4D19"/>
    <w:rsid w:val="00BA5144"/>
    <w:rsid w:val="00BA52BF"/>
    <w:rsid w:val="00BA6FE8"/>
    <w:rsid w:val="00BB2441"/>
    <w:rsid w:val="00BB283B"/>
    <w:rsid w:val="00BB2ABD"/>
    <w:rsid w:val="00BB496C"/>
    <w:rsid w:val="00BB7AAB"/>
    <w:rsid w:val="00BC078D"/>
    <w:rsid w:val="00BC0F68"/>
    <w:rsid w:val="00BC1373"/>
    <w:rsid w:val="00BC3DE2"/>
    <w:rsid w:val="00BC6EB0"/>
    <w:rsid w:val="00BD0C2D"/>
    <w:rsid w:val="00BD3B5A"/>
    <w:rsid w:val="00BD414B"/>
    <w:rsid w:val="00BD5113"/>
    <w:rsid w:val="00BE0384"/>
    <w:rsid w:val="00BE174D"/>
    <w:rsid w:val="00BE42EE"/>
    <w:rsid w:val="00BE4F6A"/>
    <w:rsid w:val="00BE52B1"/>
    <w:rsid w:val="00BE77C2"/>
    <w:rsid w:val="00BF1BDB"/>
    <w:rsid w:val="00BF7A46"/>
    <w:rsid w:val="00C01773"/>
    <w:rsid w:val="00C01BED"/>
    <w:rsid w:val="00C01C1C"/>
    <w:rsid w:val="00C05BD5"/>
    <w:rsid w:val="00C06FFE"/>
    <w:rsid w:val="00C07E0B"/>
    <w:rsid w:val="00C125A8"/>
    <w:rsid w:val="00C15A67"/>
    <w:rsid w:val="00C169C7"/>
    <w:rsid w:val="00C2097A"/>
    <w:rsid w:val="00C23F51"/>
    <w:rsid w:val="00C24930"/>
    <w:rsid w:val="00C24D20"/>
    <w:rsid w:val="00C3044D"/>
    <w:rsid w:val="00C3060C"/>
    <w:rsid w:val="00C30774"/>
    <w:rsid w:val="00C308AA"/>
    <w:rsid w:val="00C30C4E"/>
    <w:rsid w:val="00C34011"/>
    <w:rsid w:val="00C340AC"/>
    <w:rsid w:val="00C3423D"/>
    <w:rsid w:val="00C344F7"/>
    <w:rsid w:val="00C37EBD"/>
    <w:rsid w:val="00C41931"/>
    <w:rsid w:val="00C426E3"/>
    <w:rsid w:val="00C42E94"/>
    <w:rsid w:val="00C43189"/>
    <w:rsid w:val="00C44233"/>
    <w:rsid w:val="00C47604"/>
    <w:rsid w:val="00C50617"/>
    <w:rsid w:val="00C50A54"/>
    <w:rsid w:val="00C51617"/>
    <w:rsid w:val="00C51BC6"/>
    <w:rsid w:val="00C5305F"/>
    <w:rsid w:val="00C56BAC"/>
    <w:rsid w:val="00C60A28"/>
    <w:rsid w:val="00C61952"/>
    <w:rsid w:val="00C61FF3"/>
    <w:rsid w:val="00C631C1"/>
    <w:rsid w:val="00C64EF7"/>
    <w:rsid w:val="00C6566F"/>
    <w:rsid w:val="00C65FB1"/>
    <w:rsid w:val="00C660D7"/>
    <w:rsid w:val="00C66B70"/>
    <w:rsid w:val="00C70EED"/>
    <w:rsid w:val="00C75722"/>
    <w:rsid w:val="00C76FE2"/>
    <w:rsid w:val="00C81FD2"/>
    <w:rsid w:val="00C84DF6"/>
    <w:rsid w:val="00C865A9"/>
    <w:rsid w:val="00C86C83"/>
    <w:rsid w:val="00C933E8"/>
    <w:rsid w:val="00C93A65"/>
    <w:rsid w:val="00C94525"/>
    <w:rsid w:val="00C94D88"/>
    <w:rsid w:val="00C95340"/>
    <w:rsid w:val="00C965FB"/>
    <w:rsid w:val="00C96EFE"/>
    <w:rsid w:val="00CA2391"/>
    <w:rsid w:val="00CA2736"/>
    <w:rsid w:val="00CA4CBA"/>
    <w:rsid w:val="00CA4EFB"/>
    <w:rsid w:val="00CA5631"/>
    <w:rsid w:val="00CA5785"/>
    <w:rsid w:val="00CA7E76"/>
    <w:rsid w:val="00CB131E"/>
    <w:rsid w:val="00CB20E5"/>
    <w:rsid w:val="00CB238B"/>
    <w:rsid w:val="00CB324F"/>
    <w:rsid w:val="00CB4B6B"/>
    <w:rsid w:val="00CB5549"/>
    <w:rsid w:val="00CB5886"/>
    <w:rsid w:val="00CC261F"/>
    <w:rsid w:val="00CC722A"/>
    <w:rsid w:val="00CC74EC"/>
    <w:rsid w:val="00CD3A1A"/>
    <w:rsid w:val="00CD6998"/>
    <w:rsid w:val="00CE1920"/>
    <w:rsid w:val="00CE41F2"/>
    <w:rsid w:val="00CE42FE"/>
    <w:rsid w:val="00CE4C97"/>
    <w:rsid w:val="00CE5866"/>
    <w:rsid w:val="00CE7236"/>
    <w:rsid w:val="00CF0040"/>
    <w:rsid w:val="00CF030D"/>
    <w:rsid w:val="00CF1FC7"/>
    <w:rsid w:val="00CF2B4B"/>
    <w:rsid w:val="00CF346E"/>
    <w:rsid w:val="00CF437B"/>
    <w:rsid w:val="00CF46DE"/>
    <w:rsid w:val="00CF7F64"/>
    <w:rsid w:val="00D0028B"/>
    <w:rsid w:val="00D0100A"/>
    <w:rsid w:val="00D065D9"/>
    <w:rsid w:val="00D13824"/>
    <w:rsid w:val="00D15263"/>
    <w:rsid w:val="00D17C0A"/>
    <w:rsid w:val="00D20809"/>
    <w:rsid w:val="00D234EE"/>
    <w:rsid w:val="00D247AE"/>
    <w:rsid w:val="00D3009C"/>
    <w:rsid w:val="00D30323"/>
    <w:rsid w:val="00D309E4"/>
    <w:rsid w:val="00D319EA"/>
    <w:rsid w:val="00D322B6"/>
    <w:rsid w:val="00D3517A"/>
    <w:rsid w:val="00D40428"/>
    <w:rsid w:val="00D404A1"/>
    <w:rsid w:val="00D41C31"/>
    <w:rsid w:val="00D41F55"/>
    <w:rsid w:val="00D435AD"/>
    <w:rsid w:val="00D44511"/>
    <w:rsid w:val="00D44C4A"/>
    <w:rsid w:val="00D470CC"/>
    <w:rsid w:val="00D47AEC"/>
    <w:rsid w:val="00D5054A"/>
    <w:rsid w:val="00D50724"/>
    <w:rsid w:val="00D51083"/>
    <w:rsid w:val="00D51F31"/>
    <w:rsid w:val="00D522F5"/>
    <w:rsid w:val="00D52A7A"/>
    <w:rsid w:val="00D53CA1"/>
    <w:rsid w:val="00D54326"/>
    <w:rsid w:val="00D544F6"/>
    <w:rsid w:val="00D554FC"/>
    <w:rsid w:val="00D56155"/>
    <w:rsid w:val="00D6044B"/>
    <w:rsid w:val="00D61354"/>
    <w:rsid w:val="00D641D0"/>
    <w:rsid w:val="00D64B0B"/>
    <w:rsid w:val="00D66582"/>
    <w:rsid w:val="00D66A12"/>
    <w:rsid w:val="00D70EF9"/>
    <w:rsid w:val="00D721B3"/>
    <w:rsid w:val="00D72A1C"/>
    <w:rsid w:val="00D736CF"/>
    <w:rsid w:val="00D73968"/>
    <w:rsid w:val="00D73A66"/>
    <w:rsid w:val="00D74FF5"/>
    <w:rsid w:val="00D75C21"/>
    <w:rsid w:val="00D769AA"/>
    <w:rsid w:val="00D808BB"/>
    <w:rsid w:val="00D8109F"/>
    <w:rsid w:val="00D817EA"/>
    <w:rsid w:val="00D81C4A"/>
    <w:rsid w:val="00D8215D"/>
    <w:rsid w:val="00D86D50"/>
    <w:rsid w:val="00D925CE"/>
    <w:rsid w:val="00DA06C3"/>
    <w:rsid w:val="00DA2C74"/>
    <w:rsid w:val="00DA4C2F"/>
    <w:rsid w:val="00DA6254"/>
    <w:rsid w:val="00DA679E"/>
    <w:rsid w:val="00DA7884"/>
    <w:rsid w:val="00DA7B74"/>
    <w:rsid w:val="00DB120A"/>
    <w:rsid w:val="00DB3F31"/>
    <w:rsid w:val="00DB5A25"/>
    <w:rsid w:val="00DB5EE7"/>
    <w:rsid w:val="00DC4035"/>
    <w:rsid w:val="00DC5080"/>
    <w:rsid w:val="00DC66CF"/>
    <w:rsid w:val="00DC6700"/>
    <w:rsid w:val="00DC681C"/>
    <w:rsid w:val="00DD05E1"/>
    <w:rsid w:val="00DD0D0D"/>
    <w:rsid w:val="00DD2828"/>
    <w:rsid w:val="00DD2E4A"/>
    <w:rsid w:val="00DD47CD"/>
    <w:rsid w:val="00DD496A"/>
    <w:rsid w:val="00DD6411"/>
    <w:rsid w:val="00DD6FFF"/>
    <w:rsid w:val="00DD70C1"/>
    <w:rsid w:val="00DE028F"/>
    <w:rsid w:val="00DE08D8"/>
    <w:rsid w:val="00DE1A3A"/>
    <w:rsid w:val="00DE1F44"/>
    <w:rsid w:val="00DE4E70"/>
    <w:rsid w:val="00DE6C4E"/>
    <w:rsid w:val="00DE759B"/>
    <w:rsid w:val="00DF3841"/>
    <w:rsid w:val="00DF3EB4"/>
    <w:rsid w:val="00DF40A2"/>
    <w:rsid w:val="00DF6FF8"/>
    <w:rsid w:val="00E00B86"/>
    <w:rsid w:val="00E00DA0"/>
    <w:rsid w:val="00E0418C"/>
    <w:rsid w:val="00E05CC9"/>
    <w:rsid w:val="00E10ED9"/>
    <w:rsid w:val="00E111C2"/>
    <w:rsid w:val="00E128C6"/>
    <w:rsid w:val="00E16B60"/>
    <w:rsid w:val="00E25386"/>
    <w:rsid w:val="00E26F40"/>
    <w:rsid w:val="00E27026"/>
    <w:rsid w:val="00E30610"/>
    <w:rsid w:val="00E30DA2"/>
    <w:rsid w:val="00E317FB"/>
    <w:rsid w:val="00E31E01"/>
    <w:rsid w:val="00E32DF4"/>
    <w:rsid w:val="00E334AB"/>
    <w:rsid w:val="00E3367B"/>
    <w:rsid w:val="00E3467A"/>
    <w:rsid w:val="00E35333"/>
    <w:rsid w:val="00E35B45"/>
    <w:rsid w:val="00E36277"/>
    <w:rsid w:val="00E37F5D"/>
    <w:rsid w:val="00E4027F"/>
    <w:rsid w:val="00E40D3A"/>
    <w:rsid w:val="00E43BDB"/>
    <w:rsid w:val="00E45F64"/>
    <w:rsid w:val="00E463CB"/>
    <w:rsid w:val="00E47870"/>
    <w:rsid w:val="00E47A13"/>
    <w:rsid w:val="00E47A48"/>
    <w:rsid w:val="00E505D9"/>
    <w:rsid w:val="00E507D8"/>
    <w:rsid w:val="00E5391A"/>
    <w:rsid w:val="00E54A92"/>
    <w:rsid w:val="00E561B9"/>
    <w:rsid w:val="00E60A5E"/>
    <w:rsid w:val="00E621E6"/>
    <w:rsid w:val="00E64994"/>
    <w:rsid w:val="00E66D73"/>
    <w:rsid w:val="00E67CE7"/>
    <w:rsid w:val="00E70835"/>
    <w:rsid w:val="00E71082"/>
    <w:rsid w:val="00E71B01"/>
    <w:rsid w:val="00E74A48"/>
    <w:rsid w:val="00E75510"/>
    <w:rsid w:val="00E8038D"/>
    <w:rsid w:val="00E80D90"/>
    <w:rsid w:val="00E849B5"/>
    <w:rsid w:val="00E84A15"/>
    <w:rsid w:val="00E84CE5"/>
    <w:rsid w:val="00E84E05"/>
    <w:rsid w:val="00EA2271"/>
    <w:rsid w:val="00EA2E43"/>
    <w:rsid w:val="00EA3AA8"/>
    <w:rsid w:val="00EA4AE6"/>
    <w:rsid w:val="00EA4FFE"/>
    <w:rsid w:val="00EA5B4B"/>
    <w:rsid w:val="00EA5C04"/>
    <w:rsid w:val="00EA60DA"/>
    <w:rsid w:val="00EB1FC3"/>
    <w:rsid w:val="00EB3D1B"/>
    <w:rsid w:val="00EB3E62"/>
    <w:rsid w:val="00EB6389"/>
    <w:rsid w:val="00EB6B62"/>
    <w:rsid w:val="00EB71F9"/>
    <w:rsid w:val="00EC1451"/>
    <w:rsid w:val="00EC6336"/>
    <w:rsid w:val="00EC63FF"/>
    <w:rsid w:val="00EC6EF6"/>
    <w:rsid w:val="00EC7E60"/>
    <w:rsid w:val="00EC7E8D"/>
    <w:rsid w:val="00ED00D3"/>
    <w:rsid w:val="00ED0DB8"/>
    <w:rsid w:val="00ED5164"/>
    <w:rsid w:val="00ED5874"/>
    <w:rsid w:val="00EE61CE"/>
    <w:rsid w:val="00EE66F6"/>
    <w:rsid w:val="00EF0066"/>
    <w:rsid w:val="00EF008D"/>
    <w:rsid w:val="00EF0C81"/>
    <w:rsid w:val="00EF1786"/>
    <w:rsid w:val="00EF1EDD"/>
    <w:rsid w:val="00EF26D8"/>
    <w:rsid w:val="00EF6D8D"/>
    <w:rsid w:val="00EF7563"/>
    <w:rsid w:val="00F010F7"/>
    <w:rsid w:val="00F02A41"/>
    <w:rsid w:val="00F04C2B"/>
    <w:rsid w:val="00F0563F"/>
    <w:rsid w:val="00F05B7B"/>
    <w:rsid w:val="00F06030"/>
    <w:rsid w:val="00F060FE"/>
    <w:rsid w:val="00F0674D"/>
    <w:rsid w:val="00F077B1"/>
    <w:rsid w:val="00F122BF"/>
    <w:rsid w:val="00F1259A"/>
    <w:rsid w:val="00F12B8D"/>
    <w:rsid w:val="00F1318A"/>
    <w:rsid w:val="00F13CED"/>
    <w:rsid w:val="00F14B77"/>
    <w:rsid w:val="00F150CE"/>
    <w:rsid w:val="00F16666"/>
    <w:rsid w:val="00F20AFB"/>
    <w:rsid w:val="00F21DDF"/>
    <w:rsid w:val="00F23396"/>
    <w:rsid w:val="00F24248"/>
    <w:rsid w:val="00F30AD1"/>
    <w:rsid w:val="00F31D25"/>
    <w:rsid w:val="00F31F93"/>
    <w:rsid w:val="00F33093"/>
    <w:rsid w:val="00F33647"/>
    <w:rsid w:val="00F33DB7"/>
    <w:rsid w:val="00F34A4D"/>
    <w:rsid w:val="00F34FC7"/>
    <w:rsid w:val="00F35BDC"/>
    <w:rsid w:val="00F360E8"/>
    <w:rsid w:val="00F367CF"/>
    <w:rsid w:val="00F36BD4"/>
    <w:rsid w:val="00F3725D"/>
    <w:rsid w:val="00F43AED"/>
    <w:rsid w:val="00F44448"/>
    <w:rsid w:val="00F44FE7"/>
    <w:rsid w:val="00F45787"/>
    <w:rsid w:val="00F46D5E"/>
    <w:rsid w:val="00F504B9"/>
    <w:rsid w:val="00F50E58"/>
    <w:rsid w:val="00F539EE"/>
    <w:rsid w:val="00F56B42"/>
    <w:rsid w:val="00F57C64"/>
    <w:rsid w:val="00F57D5E"/>
    <w:rsid w:val="00F60076"/>
    <w:rsid w:val="00F62240"/>
    <w:rsid w:val="00F6262E"/>
    <w:rsid w:val="00F639A9"/>
    <w:rsid w:val="00F63A32"/>
    <w:rsid w:val="00F65172"/>
    <w:rsid w:val="00F665F6"/>
    <w:rsid w:val="00F71373"/>
    <w:rsid w:val="00F727C5"/>
    <w:rsid w:val="00F736BC"/>
    <w:rsid w:val="00F812B1"/>
    <w:rsid w:val="00F813D3"/>
    <w:rsid w:val="00F85986"/>
    <w:rsid w:val="00F8642E"/>
    <w:rsid w:val="00F87DE5"/>
    <w:rsid w:val="00F92AA8"/>
    <w:rsid w:val="00F93A4D"/>
    <w:rsid w:val="00F963AD"/>
    <w:rsid w:val="00F9683A"/>
    <w:rsid w:val="00FA62E0"/>
    <w:rsid w:val="00FB0972"/>
    <w:rsid w:val="00FB238D"/>
    <w:rsid w:val="00FB2A46"/>
    <w:rsid w:val="00FB332A"/>
    <w:rsid w:val="00FB4D39"/>
    <w:rsid w:val="00FB5C4D"/>
    <w:rsid w:val="00FB638E"/>
    <w:rsid w:val="00FB70AB"/>
    <w:rsid w:val="00FC052F"/>
    <w:rsid w:val="00FC080F"/>
    <w:rsid w:val="00FC0A7E"/>
    <w:rsid w:val="00FC2612"/>
    <w:rsid w:val="00FC43C5"/>
    <w:rsid w:val="00FC4886"/>
    <w:rsid w:val="00FC5397"/>
    <w:rsid w:val="00FC61FD"/>
    <w:rsid w:val="00FC7762"/>
    <w:rsid w:val="00FD1846"/>
    <w:rsid w:val="00FD27ED"/>
    <w:rsid w:val="00FD4461"/>
    <w:rsid w:val="00FD4606"/>
    <w:rsid w:val="00FD4DF3"/>
    <w:rsid w:val="00FD4F2E"/>
    <w:rsid w:val="00FD52A4"/>
    <w:rsid w:val="00FE0481"/>
    <w:rsid w:val="00FE0687"/>
    <w:rsid w:val="00FE12BF"/>
    <w:rsid w:val="00FE1332"/>
    <w:rsid w:val="00FE4632"/>
    <w:rsid w:val="00FE6145"/>
    <w:rsid w:val="00FE6B1E"/>
    <w:rsid w:val="00FF076A"/>
    <w:rsid w:val="00FF10AE"/>
    <w:rsid w:val="00FF52DC"/>
    <w:rsid w:val="00FF67A4"/>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7762"/>
    <w:pPr>
      <w:bidi/>
    </w:pPr>
  </w:style>
  <w:style w:type="paragraph" w:styleId="1">
    <w:name w:val="heading 1"/>
    <w:basedOn w:val="a0"/>
    <w:next w:val="a0"/>
    <w:link w:val="10"/>
    <w:autoRedefine/>
    <w:uiPriority w:val="9"/>
    <w:qFormat/>
    <w:rsid w:val="006E02C1"/>
    <w:pPr>
      <w:spacing w:after="120"/>
      <w:jc w:val="center"/>
      <w:outlineLvl w:val="0"/>
    </w:pPr>
    <w:rPr>
      <w:b/>
      <w:bCs/>
      <w:sz w:val="28"/>
      <w:szCs w:val="28"/>
    </w:rPr>
  </w:style>
  <w:style w:type="paragraph" w:styleId="2">
    <w:name w:val="heading 2"/>
    <w:basedOn w:val="a0"/>
    <w:next w:val="a0"/>
    <w:link w:val="20"/>
    <w:autoRedefine/>
    <w:uiPriority w:val="9"/>
    <w:unhideWhenUsed/>
    <w:qFormat/>
    <w:rsid w:val="006E02C1"/>
    <w:pPr>
      <w:spacing w:after="120"/>
      <w:outlineLvl w:val="1"/>
    </w:pPr>
    <w:rPr>
      <w:b/>
      <w:bCs/>
      <w:color w:val="0070C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טקסט הערת שוליים דודי"/>
    <w:basedOn w:val="a5"/>
    <w:link w:val="a6"/>
    <w:autoRedefine/>
    <w:unhideWhenUsed/>
    <w:rsid w:val="00855E12"/>
    <w:pPr>
      <w:tabs>
        <w:tab w:val="center" w:pos="4153"/>
        <w:tab w:val="right" w:pos="8306"/>
      </w:tabs>
    </w:pPr>
  </w:style>
  <w:style w:type="character" w:customStyle="1" w:styleId="a6">
    <w:name w:val="כותרת עליונה תו"/>
    <w:aliases w:val="טקסט הערת שוליים דודי תו"/>
    <w:basedOn w:val="a1"/>
    <w:link w:val="a4"/>
    <w:rsid w:val="00855E12"/>
    <w:rPr>
      <w:rFonts w:ascii="David" w:hAnsi="David"/>
      <w:sz w:val="16"/>
      <w:szCs w:val="16"/>
    </w:rPr>
  </w:style>
  <w:style w:type="paragraph" w:styleId="a7">
    <w:name w:val="footer"/>
    <w:basedOn w:val="a0"/>
    <w:link w:val="a8"/>
    <w:unhideWhenUsed/>
    <w:rsid w:val="00721FBE"/>
    <w:pPr>
      <w:tabs>
        <w:tab w:val="center" w:pos="4153"/>
        <w:tab w:val="right" w:pos="8306"/>
      </w:tabs>
      <w:spacing w:line="240" w:lineRule="auto"/>
    </w:pPr>
  </w:style>
  <w:style w:type="character" w:customStyle="1" w:styleId="a8">
    <w:name w:val="כותרת תחתונה תו"/>
    <w:basedOn w:val="a1"/>
    <w:link w:val="a7"/>
    <w:uiPriority w:val="99"/>
    <w:rsid w:val="00721FBE"/>
  </w:style>
  <w:style w:type="paragraph" w:styleId="a9">
    <w:name w:val="Balloon Text"/>
    <w:basedOn w:val="a0"/>
    <w:link w:val="aa"/>
    <w:uiPriority w:val="99"/>
    <w:semiHidden/>
    <w:unhideWhenUsed/>
    <w:rsid w:val="00721FBE"/>
    <w:pPr>
      <w:spacing w:line="240" w:lineRule="auto"/>
    </w:pPr>
    <w:rPr>
      <w:rFonts w:ascii="Tahoma" w:hAnsi="Tahoma" w:cs="Tahoma"/>
      <w:sz w:val="16"/>
      <w:szCs w:val="16"/>
    </w:rPr>
  </w:style>
  <w:style w:type="character" w:customStyle="1" w:styleId="aa">
    <w:name w:val="טקסט בלונים תו"/>
    <w:basedOn w:val="a1"/>
    <w:link w:val="a9"/>
    <w:uiPriority w:val="99"/>
    <w:semiHidden/>
    <w:rsid w:val="00721FBE"/>
    <w:rPr>
      <w:rFonts w:ascii="Tahoma" w:hAnsi="Tahoma" w:cs="Tahoma"/>
      <w:sz w:val="16"/>
      <w:szCs w:val="16"/>
    </w:rPr>
  </w:style>
  <w:style w:type="character" w:customStyle="1" w:styleId="10">
    <w:name w:val="כותרת 1 תו"/>
    <w:basedOn w:val="a1"/>
    <w:link w:val="1"/>
    <w:uiPriority w:val="9"/>
    <w:rsid w:val="006E02C1"/>
    <w:rPr>
      <w:b/>
      <w:bCs/>
      <w:sz w:val="28"/>
      <w:szCs w:val="28"/>
    </w:rPr>
  </w:style>
  <w:style w:type="table" w:styleId="ab">
    <w:name w:val="Table Grid"/>
    <w:basedOn w:val="a2"/>
    <w:uiPriority w:val="59"/>
    <w:rsid w:val="00590C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Footnote Text,fn,fn Char,single space,Footnote Text Char Char Char Char Char Char,Footnote Text Char1,Footnote Text Char Char,Footnote,Fußnote,FSR footnote,lábléc,FOOTNOTES,Footnote Text Char2 Char,Footnote Text Char1 Char Char"/>
    <w:basedOn w:val="a0"/>
    <w:link w:val="11"/>
    <w:autoRedefine/>
    <w:uiPriority w:val="99"/>
    <w:unhideWhenUsed/>
    <w:rsid w:val="00567603"/>
    <w:pPr>
      <w:spacing w:line="240" w:lineRule="auto"/>
    </w:pPr>
    <w:rPr>
      <w:rFonts w:ascii="David" w:hAnsi="David"/>
      <w:sz w:val="16"/>
      <w:szCs w:val="16"/>
    </w:rPr>
  </w:style>
  <w:style w:type="character" w:customStyle="1" w:styleId="ac">
    <w:name w:val="טקסט הערת שוליים תו"/>
    <w:aliases w:val="Footnote Text תו,fn תו,fn Char תו,single space תו,Footnote Text Char Char Char Char Char Char תו,Footnote Text Char1 תו,Footnote Text Char Char תו,Footnote תו,Fußnote תו,FSR footnote תו,lábléc תו,FOOTNOTES תו,fn תו2,fn Char תו2"/>
    <w:basedOn w:val="a1"/>
    <w:uiPriority w:val="99"/>
    <w:rsid w:val="00785CD5"/>
    <w:rPr>
      <w:rFonts w:ascii="David" w:hAnsi="David"/>
      <w:sz w:val="16"/>
      <w:szCs w:val="16"/>
      <w:vertAlign w:val="superscript"/>
    </w:rPr>
  </w:style>
  <w:style w:type="character" w:styleId="ad">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c"/>
    <w:uiPriority w:val="99"/>
    <w:unhideWhenUsed/>
    <w:rsid w:val="00C01773"/>
    <w:rPr>
      <w:rFonts w:ascii="David" w:hAnsi="David" w:cs="David"/>
      <w:b w:val="0"/>
      <w:bCs w:val="0"/>
      <w:i w:val="0"/>
      <w:iCs w:val="0"/>
      <w:caps w:val="0"/>
      <w:smallCaps w:val="0"/>
      <w:strike w:val="0"/>
      <w:dstrike w:val="0"/>
      <w:vanish w:val="0"/>
      <w:sz w:val="24"/>
      <w:szCs w:val="24"/>
      <w:vertAlign w:val="superscript"/>
    </w:rPr>
  </w:style>
  <w:style w:type="paragraph" w:styleId="ae">
    <w:name w:val="No Spacing"/>
    <w:uiPriority w:val="1"/>
    <w:qFormat/>
    <w:rsid w:val="008A6D6E"/>
    <w:pPr>
      <w:spacing w:line="240" w:lineRule="auto"/>
    </w:pPr>
  </w:style>
  <w:style w:type="character" w:styleId="af">
    <w:name w:val="page number"/>
    <w:basedOn w:val="a1"/>
    <w:rsid w:val="004E0AF5"/>
  </w:style>
  <w:style w:type="paragraph" w:styleId="af0">
    <w:name w:val="List Paragraph"/>
    <w:basedOn w:val="a0"/>
    <w:uiPriority w:val="34"/>
    <w:qFormat/>
    <w:rsid w:val="00C125A8"/>
    <w:pPr>
      <w:spacing w:after="200" w:line="276" w:lineRule="auto"/>
      <w:ind w:left="720"/>
      <w:contextualSpacing/>
      <w:jc w:val="left"/>
    </w:pPr>
    <w:rPr>
      <w:rFonts w:asciiTheme="minorHAnsi" w:hAnsiTheme="minorHAnsi" w:cstheme="minorBidi"/>
      <w:sz w:val="22"/>
      <w:szCs w:val="22"/>
    </w:rPr>
  </w:style>
  <w:style w:type="numbering" w:customStyle="1" w:styleId="kal">
    <w:name w:val="kal"/>
    <w:uiPriority w:val="99"/>
    <w:rsid w:val="00B32E81"/>
  </w:style>
  <w:style w:type="numbering" w:customStyle="1" w:styleId="kal0">
    <w:name w:val="kal"/>
    <w:next w:val="kal"/>
    <w:uiPriority w:val="99"/>
    <w:rsid w:val="00B32E81"/>
  </w:style>
  <w:style w:type="numbering" w:customStyle="1" w:styleId="a">
    <w:name w:val="יחידה כלכלית"/>
    <w:uiPriority w:val="99"/>
    <w:rsid w:val="00CA5785"/>
    <w:pPr>
      <w:numPr>
        <w:numId w:val="1"/>
      </w:numPr>
    </w:pPr>
  </w:style>
  <w:style w:type="character" w:customStyle="1" w:styleId="20">
    <w:name w:val="כותרת 2 תו"/>
    <w:basedOn w:val="a1"/>
    <w:link w:val="2"/>
    <w:uiPriority w:val="9"/>
    <w:rsid w:val="006E02C1"/>
    <w:rPr>
      <w:b/>
      <w:bCs/>
      <w:color w:val="0070C0"/>
    </w:rPr>
  </w:style>
  <w:style w:type="character" w:styleId="Hyperlink">
    <w:name w:val="Hyperlink"/>
    <w:aliases w:val="תוכן עניינים"/>
    <w:basedOn w:val="a1"/>
    <w:uiPriority w:val="99"/>
    <w:unhideWhenUsed/>
    <w:rsid w:val="004D7899"/>
    <w:rPr>
      <w:rFonts w:cs="David"/>
      <w:bCs w:val="0"/>
      <w:iCs w:val="0"/>
      <w:color w:val="0000FF" w:themeColor="hyperlink"/>
      <w:szCs w:val="24"/>
      <w:u w:val="single"/>
    </w:rPr>
  </w:style>
  <w:style w:type="character" w:styleId="af1">
    <w:name w:val="annotation reference"/>
    <w:basedOn w:val="a1"/>
    <w:uiPriority w:val="99"/>
    <w:semiHidden/>
    <w:unhideWhenUsed/>
    <w:rsid w:val="00126BC7"/>
    <w:rPr>
      <w:sz w:val="16"/>
      <w:szCs w:val="16"/>
    </w:rPr>
  </w:style>
  <w:style w:type="paragraph" w:styleId="af2">
    <w:name w:val="annotation text"/>
    <w:basedOn w:val="a0"/>
    <w:link w:val="af3"/>
    <w:uiPriority w:val="99"/>
    <w:semiHidden/>
    <w:unhideWhenUsed/>
    <w:rsid w:val="00126BC7"/>
    <w:pPr>
      <w:spacing w:line="240" w:lineRule="auto"/>
    </w:pPr>
    <w:rPr>
      <w:sz w:val="20"/>
      <w:szCs w:val="20"/>
    </w:rPr>
  </w:style>
  <w:style w:type="character" w:customStyle="1" w:styleId="af3">
    <w:name w:val="טקסט הערה תו"/>
    <w:basedOn w:val="a1"/>
    <w:link w:val="af2"/>
    <w:uiPriority w:val="99"/>
    <w:semiHidden/>
    <w:rsid w:val="00126BC7"/>
    <w:rPr>
      <w:sz w:val="20"/>
      <w:szCs w:val="20"/>
    </w:rPr>
  </w:style>
  <w:style w:type="paragraph" w:styleId="af4">
    <w:name w:val="annotation subject"/>
    <w:basedOn w:val="af2"/>
    <w:next w:val="af2"/>
    <w:link w:val="af5"/>
    <w:uiPriority w:val="99"/>
    <w:semiHidden/>
    <w:unhideWhenUsed/>
    <w:rsid w:val="00126BC7"/>
    <w:rPr>
      <w:b/>
      <w:bCs/>
    </w:rPr>
  </w:style>
  <w:style w:type="character" w:customStyle="1" w:styleId="af5">
    <w:name w:val="נושא הערה תו"/>
    <w:basedOn w:val="af3"/>
    <w:link w:val="af4"/>
    <w:uiPriority w:val="99"/>
    <w:semiHidden/>
    <w:rsid w:val="00126BC7"/>
    <w:rPr>
      <w:b/>
      <w:bCs/>
      <w:sz w:val="20"/>
      <w:szCs w:val="20"/>
    </w:rPr>
  </w:style>
  <w:style w:type="character" w:styleId="FollowedHyperlink">
    <w:name w:val="FollowedHyperlink"/>
    <w:basedOn w:val="a1"/>
    <w:uiPriority w:val="99"/>
    <w:semiHidden/>
    <w:unhideWhenUsed/>
    <w:rsid w:val="00126BC7"/>
    <w:rPr>
      <w:color w:val="800080" w:themeColor="followedHyperlink"/>
      <w:u w:val="single"/>
    </w:rPr>
  </w:style>
  <w:style w:type="paragraph" w:styleId="af6">
    <w:name w:val="TOC Heading"/>
    <w:basedOn w:val="1"/>
    <w:next w:val="a0"/>
    <w:uiPriority w:val="39"/>
    <w:unhideWhenUsed/>
    <w:qFormat/>
    <w:rsid w:val="00F360E8"/>
    <w:pPr>
      <w:spacing w:before="480" w:after="0" w:line="276" w:lineRule="auto"/>
      <w:jc w:val="left"/>
      <w:outlineLvl w:val="9"/>
    </w:pPr>
    <w:rPr>
      <w:rFonts w:cstheme="majorBidi"/>
      <w:color w:val="365F91" w:themeColor="accent1" w:themeShade="BF"/>
      <w:rtl/>
      <w:cs/>
    </w:rPr>
  </w:style>
  <w:style w:type="paragraph" w:styleId="TOC2">
    <w:name w:val="toc 2"/>
    <w:basedOn w:val="a0"/>
    <w:next w:val="a0"/>
    <w:autoRedefine/>
    <w:uiPriority w:val="39"/>
    <w:unhideWhenUsed/>
    <w:qFormat/>
    <w:rsid w:val="00570E8D"/>
    <w:pPr>
      <w:tabs>
        <w:tab w:val="right" w:leader="dot" w:pos="8296"/>
      </w:tabs>
      <w:spacing w:after="100" w:line="276" w:lineRule="auto"/>
      <w:ind w:left="720"/>
      <w:jc w:val="left"/>
    </w:pPr>
    <w:rPr>
      <w:rFonts w:asciiTheme="minorHAnsi" w:eastAsiaTheme="minorEastAsia" w:hAnsiTheme="minorHAnsi" w:cstheme="minorBidi"/>
      <w:sz w:val="22"/>
      <w:szCs w:val="22"/>
      <w:rtl/>
      <w:cs/>
    </w:rPr>
  </w:style>
  <w:style w:type="paragraph" w:styleId="TOC1">
    <w:name w:val="toc 1"/>
    <w:basedOn w:val="a0"/>
    <w:next w:val="a0"/>
    <w:autoRedefine/>
    <w:uiPriority w:val="39"/>
    <w:unhideWhenUsed/>
    <w:qFormat/>
    <w:rsid w:val="00F360E8"/>
    <w:pPr>
      <w:spacing w:after="100" w:line="276" w:lineRule="auto"/>
      <w:jc w:val="left"/>
    </w:pPr>
    <w:rPr>
      <w:rFonts w:asciiTheme="minorHAnsi" w:eastAsiaTheme="minorEastAsia" w:hAnsiTheme="minorHAnsi" w:cstheme="minorBidi"/>
      <w:sz w:val="22"/>
      <w:szCs w:val="22"/>
      <w:rtl/>
      <w:cs/>
    </w:rPr>
  </w:style>
  <w:style w:type="paragraph" w:styleId="TOC3">
    <w:name w:val="toc 3"/>
    <w:basedOn w:val="a0"/>
    <w:next w:val="a0"/>
    <w:autoRedefine/>
    <w:uiPriority w:val="39"/>
    <w:semiHidden/>
    <w:unhideWhenUsed/>
    <w:qFormat/>
    <w:rsid w:val="00F360E8"/>
    <w:pPr>
      <w:spacing w:after="100" w:line="276" w:lineRule="auto"/>
      <w:ind w:left="440"/>
      <w:jc w:val="left"/>
    </w:pPr>
    <w:rPr>
      <w:rFonts w:asciiTheme="minorHAnsi" w:eastAsiaTheme="minorEastAsia" w:hAnsiTheme="minorHAnsi" w:cstheme="minorBidi"/>
      <w:sz w:val="22"/>
      <w:szCs w:val="22"/>
      <w:rtl/>
      <w:cs/>
    </w:rPr>
  </w:style>
  <w:style w:type="character" w:customStyle="1" w:styleId="11">
    <w:name w:val="טקסט הערת שוליים תו1"/>
    <w:aliases w:val="Footnote Text תו1,fn תו1,fn Char תו1,single space תו1,Footnote Text Char Char Char Char Char Char תו1,Footnote Text Char1 תו1,Footnote Text Char Char תו1,Footnote תו1,Fußnote תו1,FSR footnote תו1,lábléc תו1,FOOTNOTES תו1"/>
    <w:basedOn w:val="a1"/>
    <w:link w:val="a5"/>
    <w:uiPriority w:val="99"/>
    <w:rsid w:val="00567603"/>
    <w:rPr>
      <w:rFonts w:ascii="David" w:hAnsi="David"/>
      <w:sz w:val="16"/>
      <w:szCs w:val="16"/>
    </w:rPr>
  </w:style>
  <w:style w:type="paragraph" w:styleId="af7">
    <w:name w:val="Revision"/>
    <w:hidden/>
    <w:uiPriority w:val="99"/>
    <w:semiHidden/>
    <w:rsid w:val="00793593"/>
    <w:pPr>
      <w:spacing w:line="240" w:lineRule="auto"/>
      <w:jc w:val="left"/>
    </w:pPr>
  </w:style>
  <w:style w:type="character" w:customStyle="1" w:styleId="FontStyle61">
    <w:name w:val="Font Style61"/>
    <w:uiPriority w:val="99"/>
    <w:rsid w:val="00C75722"/>
    <w:rPr>
      <w:rFonts w:ascii="Arial" w:hAnsi="Arial" w:cs="Arial"/>
      <w:sz w:val="22"/>
      <w:szCs w:val="22"/>
      <w:lang w:bidi="he-IL"/>
    </w:rPr>
  </w:style>
  <w:style w:type="paragraph" w:styleId="NormalWeb">
    <w:name w:val="Normal (Web)"/>
    <w:basedOn w:val="a0"/>
    <w:uiPriority w:val="99"/>
    <w:unhideWhenUsed/>
    <w:rsid w:val="00F14B77"/>
    <w:pPr>
      <w:bidi w:val="0"/>
      <w:spacing w:before="100" w:beforeAutospacing="1" w:after="100" w:afterAutospacing="1" w:line="240" w:lineRule="auto"/>
      <w:jc w:val="left"/>
    </w:pPr>
    <w:rPr>
      <w:rFonts w:eastAsiaTheme="minorEastAsia" w:cs="Times New Roman"/>
    </w:rPr>
  </w:style>
  <w:style w:type="table" w:customStyle="1" w:styleId="12">
    <w:name w:val="טבלת רשת1"/>
    <w:basedOn w:val="a2"/>
    <w:next w:val="ab"/>
    <w:rsid w:val="002C18C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0"/>
    <w:link w:val="af9"/>
    <w:uiPriority w:val="99"/>
    <w:semiHidden/>
    <w:unhideWhenUsed/>
    <w:rsid w:val="00C60A28"/>
    <w:pPr>
      <w:spacing w:line="240" w:lineRule="auto"/>
      <w:jc w:val="left"/>
    </w:pPr>
    <w:rPr>
      <w:rFonts w:ascii="Calibri" w:hAnsi="Calibri" w:cstheme="minorBidi"/>
      <w:sz w:val="22"/>
      <w:szCs w:val="21"/>
    </w:rPr>
  </w:style>
  <w:style w:type="character" w:customStyle="1" w:styleId="af9">
    <w:name w:val="טקסט רגיל תו"/>
    <w:basedOn w:val="a1"/>
    <w:link w:val="af8"/>
    <w:uiPriority w:val="99"/>
    <w:semiHidden/>
    <w:rsid w:val="00C60A28"/>
    <w:rPr>
      <w:rFonts w:ascii="Calibr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C7762"/>
    <w:pPr>
      <w:bidi/>
    </w:pPr>
  </w:style>
  <w:style w:type="paragraph" w:styleId="1">
    <w:name w:val="heading 1"/>
    <w:basedOn w:val="a0"/>
    <w:next w:val="a0"/>
    <w:link w:val="10"/>
    <w:autoRedefine/>
    <w:uiPriority w:val="9"/>
    <w:qFormat/>
    <w:rsid w:val="006E02C1"/>
    <w:pPr>
      <w:spacing w:after="120"/>
      <w:jc w:val="center"/>
      <w:outlineLvl w:val="0"/>
    </w:pPr>
    <w:rPr>
      <w:b/>
      <w:bCs/>
      <w:sz w:val="28"/>
      <w:szCs w:val="28"/>
    </w:rPr>
  </w:style>
  <w:style w:type="paragraph" w:styleId="2">
    <w:name w:val="heading 2"/>
    <w:basedOn w:val="a0"/>
    <w:next w:val="a0"/>
    <w:link w:val="20"/>
    <w:autoRedefine/>
    <w:uiPriority w:val="9"/>
    <w:unhideWhenUsed/>
    <w:qFormat/>
    <w:rsid w:val="006E02C1"/>
    <w:pPr>
      <w:spacing w:after="120"/>
      <w:outlineLvl w:val="1"/>
    </w:pPr>
    <w:rPr>
      <w:b/>
      <w:bCs/>
      <w:color w:val="0070C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טקסט הערת שוליים דודי"/>
    <w:basedOn w:val="a5"/>
    <w:link w:val="a6"/>
    <w:autoRedefine/>
    <w:unhideWhenUsed/>
    <w:rsid w:val="00855E12"/>
    <w:pPr>
      <w:tabs>
        <w:tab w:val="center" w:pos="4153"/>
        <w:tab w:val="right" w:pos="8306"/>
      </w:tabs>
    </w:pPr>
  </w:style>
  <w:style w:type="character" w:customStyle="1" w:styleId="a6">
    <w:name w:val="כותרת עליונה תו"/>
    <w:aliases w:val="טקסט הערת שוליים דודי תו"/>
    <w:basedOn w:val="a1"/>
    <w:link w:val="a4"/>
    <w:rsid w:val="00855E12"/>
    <w:rPr>
      <w:rFonts w:ascii="David" w:hAnsi="David"/>
      <w:sz w:val="16"/>
      <w:szCs w:val="16"/>
    </w:rPr>
  </w:style>
  <w:style w:type="paragraph" w:styleId="a7">
    <w:name w:val="footer"/>
    <w:basedOn w:val="a0"/>
    <w:link w:val="a8"/>
    <w:unhideWhenUsed/>
    <w:rsid w:val="00721FBE"/>
    <w:pPr>
      <w:tabs>
        <w:tab w:val="center" w:pos="4153"/>
        <w:tab w:val="right" w:pos="8306"/>
      </w:tabs>
      <w:spacing w:line="240" w:lineRule="auto"/>
    </w:pPr>
  </w:style>
  <w:style w:type="character" w:customStyle="1" w:styleId="a8">
    <w:name w:val="כותרת תחתונה תו"/>
    <w:basedOn w:val="a1"/>
    <w:link w:val="a7"/>
    <w:uiPriority w:val="99"/>
    <w:rsid w:val="00721FBE"/>
  </w:style>
  <w:style w:type="paragraph" w:styleId="a9">
    <w:name w:val="Balloon Text"/>
    <w:basedOn w:val="a0"/>
    <w:link w:val="aa"/>
    <w:uiPriority w:val="99"/>
    <w:semiHidden/>
    <w:unhideWhenUsed/>
    <w:rsid w:val="00721FBE"/>
    <w:pPr>
      <w:spacing w:line="240" w:lineRule="auto"/>
    </w:pPr>
    <w:rPr>
      <w:rFonts w:ascii="Tahoma" w:hAnsi="Tahoma" w:cs="Tahoma"/>
      <w:sz w:val="16"/>
      <w:szCs w:val="16"/>
    </w:rPr>
  </w:style>
  <w:style w:type="character" w:customStyle="1" w:styleId="aa">
    <w:name w:val="טקסט בלונים תו"/>
    <w:basedOn w:val="a1"/>
    <w:link w:val="a9"/>
    <w:uiPriority w:val="99"/>
    <w:semiHidden/>
    <w:rsid w:val="00721FBE"/>
    <w:rPr>
      <w:rFonts w:ascii="Tahoma" w:hAnsi="Tahoma" w:cs="Tahoma"/>
      <w:sz w:val="16"/>
      <w:szCs w:val="16"/>
    </w:rPr>
  </w:style>
  <w:style w:type="character" w:customStyle="1" w:styleId="10">
    <w:name w:val="כותרת 1 תו"/>
    <w:basedOn w:val="a1"/>
    <w:link w:val="1"/>
    <w:uiPriority w:val="9"/>
    <w:rsid w:val="006E02C1"/>
    <w:rPr>
      <w:b/>
      <w:bCs/>
      <w:sz w:val="28"/>
      <w:szCs w:val="28"/>
    </w:rPr>
  </w:style>
  <w:style w:type="table" w:styleId="ab">
    <w:name w:val="Table Grid"/>
    <w:basedOn w:val="a2"/>
    <w:uiPriority w:val="59"/>
    <w:rsid w:val="00590CD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Footnote Text,fn,fn Char,single space,Footnote Text Char Char Char Char Char Char,Footnote Text Char1,Footnote Text Char Char,Footnote,Fußnote,FSR footnote,lábléc,FOOTNOTES,Footnote Text Char2 Char,Footnote Text Char1 Char Char"/>
    <w:basedOn w:val="a0"/>
    <w:link w:val="11"/>
    <w:autoRedefine/>
    <w:uiPriority w:val="99"/>
    <w:unhideWhenUsed/>
    <w:rsid w:val="00567603"/>
    <w:pPr>
      <w:spacing w:line="240" w:lineRule="auto"/>
    </w:pPr>
    <w:rPr>
      <w:rFonts w:ascii="David" w:hAnsi="David"/>
      <w:sz w:val="16"/>
      <w:szCs w:val="16"/>
    </w:rPr>
  </w:style>
  <w:style w:type="character" w:customStyle="1" w:styleId="ac">
    <w:name w:val="טקסט הערת שוליים תו"/>
    <w:aliases w:val="Footnote Text תו,fn תו,fn Char תו,single space תו,Footnote Text Char Char Char Char Char Char תו,Footnote Text Char1 תו,Footnote Text Char Char תו,Footnote תו,Fußnote תו,FSR footnote תו,lábléc תו,FOOTNOTES תו,fn תו2,fn Char תו2"/>
    <w:basedOn w:val="a1"/>
    <w:uiPriority w:val="99"/>
    <w:rsid w:val="00785CD5"/>
    <w:rPr>
      <w:rFonts w:ascii="David" w:hAnsi="David"/>
      <w:sz w:val="16"/>
      <w:szCs w:val="16"/>
      <w:vertAlign w:val="superscript"/>
    </w:rPr>
  </w:style>
  <w:style w:type="character" w:styleId="ad">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c"/>
    <w:uiPriority w:val="99"/>
    <w:unhideWhenUsed/>
    <w:rsid w:val="00C01773"/>
    <w:rPr>
      <w:rFonts w:ascii="David" w:hAnsi="David" w:cs="David"/>
      <w:b w:val="0"/>
      <w:bCs w:val="0"/>
      <w:i w:val="0"/>
      <w:iCs w:val="0"/>
      <w:caps w:val="0"/>
      <w:smallCaps w:val="0"/>
      <w:strike w:val="0"/>
      <w:dstrike w:val="0"/>
      <w:vanish w:val="0"/>
      <w:sz w:val="24"/>
      <w:szCs w:val="24"/>
      <w:vertAlign w:val="superscript"/>
    </w:rPr>
  </w:style>
  <w:style w:type="paragraph" w:styleId="ae">
    <w:name w:val="No Spacing"/>
    <w:uiPriority w:val="1"/>
    <w:qFormat/>
    <w:rsid w:val="008A6D6E"/>
    <w:pPr>
      <w:spacing w:line="240" w:lineRule="auto"/>
    </w:pPr>
  </w:style>
  <w:style w:type="character" w:styleId="af">
    <w:name w:val="page number"/>
    <w:basedOn w:val="a1"/>
    <w:rsid w:val="004E0AF5"/>
  </w:style>
  <w:style w:type="paragraph" w:styleId="af0">
    <w:name w:val="List Paragraph"/>
    <w:basedOn w:val="a0"/>
    <w:uiPriority w:val="34"/>
    <w:qFormat/>
    <w:rsid w:val="00C125A8"/>
    <w:pPr>
      <w:spacing w:after="200" w:line="276" w:lineRule="auto"/>
      <w:ind w:left="720"/>
      <w:contextualSpacing/>
      <w:jc w:val="left"/>
    </w:pPr>
    <w:rPr>
      <w:rFonts w:asciiTheme="minorHAnsi" w:hAnsiTheme="minorHAnsi" w:cstheme="minorBidi"/>
      <w:sz w:val="22"/>
      <w:szCs w:val="22"/>
    </w:rPr>
  </w:style>
  <w:style w:type="numbering" w:customStyle="1" w:styleId="kal">
    <w:name w:val="kal"/>
    <w:uiPriority w:val="99"/>
    <w:rsid w:val="00B32E81"/>
  </w:style>
  <w:style w:type="numbering" w:customStyle="1" w:styleId="kal0">
    <w:name w:val="kal"/>
    <w:next w:val="kal"/>
    <w:uiPriority w:val="99"/>
    <w:rsid w:val="00B32E81"/>
  </w:style>
  <w:style w:type="numbering" w:customStyle="1" w:styleId="a">
    <w:name w:val="יחידה כלכלית"/>
    <w:uiPriority w:val="99"/>
    <w:rsid w:val="00CA5785"/>
    <w:pPr>
      <w:numPr>
        <w:numId w:val="1"/>
      </w:numPr>
    </w:pPr>
  </w:style>
  <w:style w:type="character" w:customStyle="1" w:styleId="20">
    <w:name w:val="כותרת 2 תו"/>
    <w:basedOn w:val="a1"/>
    <w:link w:val="2"/>
    <w:uiPriority w:val="9"/>
    <w:rsid w:val="006E02C1"/>
    <w:rPr>
      <w:b/>
      <w:bCs/>
      <w:color w:val="0070C0"/>
    </w:rPr>
  </w:style>
  <w:style w:type="character" w:styleId="Hyperlink">
    <w:name w:val="Hyperlink"/>
    <w:aliases w:val="תוכן עניינים"/>
    <w:basedOn w:val="a1"/>
    <w:uiPriority w:val="99"/>
    <w:unhideWhenUsed/>
    <w:rsid w:val="004D7899"/>
    <w:rPr>
      <w:rFonts w:cs="David"/>
      <w:bCs w:val="0"/>
      <w:iCs w:val="0"/>
      <w:color w:val="0000FF" w:themeColor="hyperlink"/>
      <w:szCs w:val="24"/>
      <w:u w:val="single"/>
    </w:rPr>
  </w:style>
  <w:style w:type="character" w:styleId="af1">
    <w:name w:val="annotation reference"/>
    <w:basedOn w:val="a1"/>
    <w:uiPriority w:val="99"/>
    <w:semiHidden/>
    <w:unhideWhenUsed/>
    <w:rsid w:val="00126BC7"/>
    <w:rPr>
      <w:sz w:val="16"/>
      <w:szCs w:val="16"/>
    </w:rPr>
  </w:style>
  <w:style w:type="paragraph" w:styleId="af2">
    <w:name w:val="annotation text"/>
    <w:basedOn w:val="a0"/>
    <w:link w:val="af3"/>
    <w:uiPriority w:val="99"/>
    <w:semiHidden/>
    <w:unhideWhenUsed/>
    <w:rsid w:val="00126BC7"/>
    <w:pPr>
      <w:spacing w:line="240" w:lineRule="auto"/>
    </w:pPr>
    <w:rPr>
      <w:sz w:val="20"/>
      <w:szCs w:val="20"/>
    </w:rPr>
  </w:style>
  <w:style w:type="character" w:customStyle="1" w:styleId="af3">
    <w:name w:val="טקסט הערה תו"/>
    <w:basedOn w:val="a1"/>
    <w:link w:val="af2"/>
    <w:uiPriority w:val="99"/>
    <w:semiHidden/>
    <w:rsid w:val="00126BC7"/>
    <w:rPr>
      <w:sz w:val="20"/>
      <w:szCs w:val="20"/>
    </w:rPr>
  </w:style>
  <w:style w:type="paragraph" w:styleId="af4">
    <w:name w:val="annotation subject"/>
    <w:basedOn w:val="af2"/>
    <w:next w:val="af2"/>
    <w:link w:val="af5"/>
    <w:uiPriority w:val="99"/>
    <w:semiHidden/>
    <w:unhideWhenUsed/>
    <w:rsid w:val="00126BC7"/>
    <w:rPr>
      <w:b/>
      <w:bCs/>
    </w:rPr>
  </w:style>
  <w:style w:type="character" w:customStyle="1" w:styleId="af5">
    <w:name w:val="נושא הערה תו"/>
    <w:basedOn w:val="af3"/>
    <w:link w:val="af4"/>
    <w:uiPriority w:val="99"/>
    <w:semiHidden/>
    <w:rsid w:val="00126BC7"/>
    <w:rPr>
      <w:b/>
      <w:bCs/>
      <w:sz w:val="20"/>
      <w:szCs w:val="20"/>
    </w:rPr>
  </w:style>
  <w:style w:type="character" w:styleId="FollowedHyperlink">
    <w:name w:val="FollowedHyperlink"/>
    <w:basedOn w:val="a1"/>
    <w:uiPriority w:val="99"/>
    <w:semiHidden/>
    <w:unhideWhenUsed/>
    <w:rsid w:val="00126BC7"/>
    <w:rPr>
      <w:color w:val="800080" w:themeColor="followedHyperlink"/>
      <w:u w:val="single"/>
    </w:rPr>
  </w:style>
  <w:style w:type="paragraph" w:styleId="af6">
    <w:name w:val="TOC Heading"/>
    <w:basedOn w:val="1"/>
    <w:next w:val="a0"/>
    <w:uiPriority w:val="39"/>
    <w:unhideWhenUsed/>
    <w:qFormat/>
    <w:rsid w:val="00F360E8"/>
    <w:pPr>
      <w:spacing w:before="480" w:after="0" w:line="276" w:lineRule="auto"/>
      <w:jc w:val="left"/>
      <w:outlineLvl w:val="9"/>
    </w:pPr>
    <w:rPr>
      <w:rFonts w:cstheme="majorBidi"/>
      <w:color w:val="365F91" w:themeColor="accent1" w:themeShade="BF"/>
      <w:rtl/>
      <w:cs/>
    </w:rPr>
  </w:style>
  <w:style w:type="paragraph" w:styleId="TOC2">
    <w:name w:val="toc 2"/>
    <w:basedOn w:val="a0"/>
    <w:next w:val="a0"/>
    <w:autoRedefine/>
    <w:uiPriority w:val="39"/>
    <w:unhideWhenUsed/>
    <w:qFormat/>
    <w:rsid w:val="00570E8D"/>
    <w:pPr>
      <w:tabs>
        <w:tab w:val="right" w:leader="dot" w:pos="8296"/>
      </w:tabs>
      <w:spacing w:after="100" w:line="276" w:lineRule="auto"/>
      <w:ind w:left="720"/>
      <w:jc w:val="left"/>
    </w:pPr>
    <w:rPr>
      <w:rFonts w:asciiTheme="minorHAnsi" w:eastAsiaTheme="minorEastAsia" w:hAnsiTheme="minorHAnsi" w:cstheme="minorBidi"/>
      <w:sz w:val="22"/>
      <w:szCs w:val="22"/>
      <w:rtl/>
      <w:cs/>
    </w:rPr>
  </w:style>
  <w:style w:type="paragraph" w:styleId="TOC1">
    <w:name w:val="toc 1"/>
    <w:basedOn w:val="a0"/>
    <w:next w:val="a0"/>
    <w:autoRedefine/>
    <w:uiPriority w:val="39"/>
    <w:unhideWhenUsed/>
    <w:qFormat/>
    <w:rsid w:val="00F360E8"/>
    <w:pPr>
      <w:spacing w:after="100" w:line="276" w:lineRule="auto"/>
      <w:jc w:val="left"/>
    </w:pPr>
    <w:rPr>
      <w:rFonts w:asciiTheme="minorHAnsi" w:eastAsiaTheme="minorEastAsia" w:hAnsiTheme="minorHAnsi" w:cstheme="minorBidi"/>
      <w:sz w:val="22"/>
      <w:szCs w:val="22"/>
      <w:rtl/>
      <w:cs/>
    </w:rPr>
  </w:style>
  <w:style w:type="paragraph" w:styleId="TOC3">
    <w:name w:val="toc 3"/>
    <w:basedOn w:val="a0"/>
    <w:next w:val="a0"/>
    <w:autoRedefine/>
    <w:uiPriority w:val="39"/>
    <w:semiHidden/>
    <w:unhideWhenUsed/>
    <w:qFormat/>
    <w:rsid w:val="00F360E8"/>
    <w:pPr>
      <w:spacing w:after="100" w:line="276" w:lineRule="auto"/>
      <w:ind w:left="440"/>
      <w:jc w:val="left"/>
    </w:pPr>
    <w:rPr>
      <w:rFonts w:asciiTheme="minorHAnsi" w:eastAsiaTheme="minorEastAsia" w:hAnsiTheme="minorHAnsi" w:cstheme="minorBidi"/>
      <w:sz w:val="22"/>
      <w:szCs w:val="22"/>
      <w:rtl/>
      <w:cs/>
    </w:rPr>
  </w:style>
  <w:style w:type="character" w:customStyle="1" w:styleId="11">
    <w:name w:val="טקסט הערת שוליים תו1"/>
    <w:aliases w:val="Footnote Text תו1,fn תו1,fn Char תו1,single space תו1,Footnote Text Char Char Char Char Char Char תו1,Footnote Text Char1 תו1,Footnote Text Char Char תו1,Footnote תו1,Fußnote תו1,FSR footnote תו1,lábléc תו1,FOOTNOTES תו1"/>
    <w:basedOn w:val="a1"/>
    <w:link w:val="a5"/>
    <w:uiPriority w:val="99"/>
    <w:rsid w:val="00567603"/>
    <w:rPr>
      <w:rFonts w:ascii="David" w:hAnsi="David"/>
      <w:sz w:val="16"/>
      <w:szCs w:val="16"/>
    </w:rPr>
  </w:style>
  <w:style w:type="paragraph" w:styleId="af7">
    <w:name w:val="Revision"/>
    <w:hidden/>
    <w:uiPriority w:val="99"/>
    <w:semiHidden/>
    <w:rsid w:val="00793593"/>
    <w:pPr>
      <w:spacing w:line="240" w:lineRule="auto"/>
      <w:jc w:val="left"/>
    </w:pPr>
  </w:style>
  <w:style w:type="character" w:customStyle="1" w:styleId="FontStyle61">
    <w:name w:val="Font Style61"/>
    <w:uiPriority w:val="99"/>
    <w:rsid w:val="00C75722"/>
    <w:rPr>
      <w:rFonts w:ascii="Arial" w:hAnsi="Arial" w:cs="Arial"/>
      <w:sz w:val="22"/>
      <w:szCs w:val="22"/>
      <w:lang w:bidi="he-IL"/>
    </w:rPr>
  </w:style>
  <w:style w:type="paragraph" w:styleId="NormalWeb">
    <w:name w:val="Normal (Web)"/>
    <w:basedOn w:val="a0"/>
    <w:uiPriority w:val="99"/>
    <w:unhideWhenUsed/>
    <w:rsid w:val="00F14B77"/>
    <w:pPr>
      <w:bidi w:val="0"/>
      <w:spacing w:before="100" w:beforeAutospacing="1" w:after="100" w:afterAutospacing="1" w:line="240" w:lineRule="auto"/>
      <w:jc w:val="left"/>
    </w:pPr>
    <w:rPr>
      <w:rFonts w:eastAsiaTheme="minorEastAsia" w:cs="Times New Roman"/>
    </w:rPr>
  </w:style>
  <w:style w:type="table" w:customStyle="1" w:styleId="12">
    <w:name w:val="טבלת רשת1"/>
    <w:basedOn w:val="a2"/>
    <w:next w:val="ab"/>
    <w:rsid w:val="002C18C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Plain Text"/>
    <w:basedOn w:val="a0"/>
    <w:link w:val="af9"/>
    <w:uiPriority w:val="99"/>
    <w:semiHidden/>
    <w:unhideWhenUsed/>
    <w:rsid w:val="00C60A28"/>
    <w:pPr>
      <w:spacing w:line="240" w:lineRule="auto"/>
      <w:jc w:val="left"/>
    </w:pPr>
    <w:rPr>
      <w:rFonts w:ascii="Calibri" w:hAnsi="Calibri" w:cstheme="minorBidi"/>
      <w:sz w:val="22"/>
      <w:szCs w:val="21"/>
    </w:rPr>
  </w:style>
  <w:style w:type="character" w:customStyle="1" w:styleId="af9">
    <w:name w:val="טקסט רגיל תו"/>
    <w:basedOn w:val="a1"/>
    <w:link w:val="af8"/>
    <w:uiPriority w:val="99"/>
    <w:semiHidden/>
    <w:rsid w:val="00C60A28"/>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1521">
      <w:bodyDiv w:val="1"/>
      <w:marLeft w:val="0"/>
      <w:marRight w:val="0"/>
      <w:marTop w:val="0"/>
      <w:marBottom w:val="0"/>
      <w:divBdr>
        <w:top w:val="none" w:sz="0" w:space="0" w:color="auto"/>
        <w:left w:val="none" w:sz="0" w:space="0" w:color="auto"/>
        <w:bottom w:val="none" w:sz="0" w:space="0" w:color="auto"/>
        <w:right w:val="none" w:sz="0" w:space="0" w:color="auto"/>
      </w:divBdr>
    </w:div>
    <w:div w:id="65305282">
      <w:bodyDiv w:val="1"/>
      <w:marLeft w:val="0"/>
      <w:marRight w:val="0"/>
      <w:marTop w:val="0"/>
      <w:marBottom w:val="0"/>
      <w:divBdr>
        <w:top w:val="none" w:sz="0" w:space="0" w:color="auto"/>
        <w:left w:val="none" w:sz="0" w:space="0" w:color="auto"/>
        <w:bottom w:val="none" w:sz="0" w:space="0" w:color="auto"/>
        <w:right w:val="none" w:sz="0" w:space="0" w:color="auto"/>
      </w:divBdr>
    </w:div>
    <w:div w:id="115560969">
      <w:bodyDiv w:val="1"/>
      <w:marLeft w:val="0"/>
      <w:marRight w:val="0"/>
      <w:marTop w:val="0"/>
      <w:marBottom w:val="0"/>
      <w:divBdr>
        <w:top w:val="none" w:sz="0" w:space="0" w:color="auto"/>
        <w:left w:val="none" w:sz="0" w:space="0" w:color="auto"/>
        <w:bottom w:val="none" w:sz="0" w:space="0" w:color="auto"/>
        <w:right w:val="none" w:sz="0" w:space="0" w:color="auto"/>
      </w:divBdr>
    </w:div>
    <w:div w:id="163522677">
      <w:bodyDiv w:val="1"/>
      <w:marLeft w:val="0"/>
      <w:marRight w:val="0"/>
      <w:marTop w:val="0"/>
      <w:marBottom w:val="0"/>
      <w:divBdr>
        <w:top w:val="none" w:sz="0" w:space="0" w:color="auto"/>
        <w:left w:val="none" w:sz="0" w:space="0" w:color="auto"/>
        <w:bottom w:val="none" w:sz="0" w:space="0" w:color="auto"/>
        <w:right w:val="none" w:sz="0" w:space="0" w:color="auto"/>
      </w:divBdr>
    </w:div>
    <w:div w:id="526257803">
      <w:bodyDiv w:val="1"/>
      <w:marLeft w:val="0"/>
      <w:marRight w:val="0"/>
      <w:marTop w:val="0"/>
      <w:marBottom w:val="0"/>
      <w:divBdr>
        <w:top w:val="none" w:sz="0" w:space="0" w:color="auto"/>
        <w:left w:val="none" w:sz="0" w:space="0" w:color="auto"/>
        <w:bottom w:val="none" w:sz="0" w:space="0" w:color="auto"/>
        <w:right w:val="none" w:sz="0" w:space="0" w:color="auto"/>
      </w:divBdr>
    </w:div>
    <w:div w:id="551961681">
      <w:bodyDiv w:val="1"/>
      <w:marLeft w:val="0"/>
      <w:marRight w:val="0"/>
      <w:marTop w:val="0"/>
      <w:marBottom w:val="0"/>
      <w:divBdr>
        <w:top w:val="none" w:sz="0" w:space="0" w:color="auto"/>
        <w:left w:val="none" w:sz="0" w:space="0" w:color="auto"/>
        <w:bottom w:val="none" w:sz="0" w:space="0" w:color="auto"/>
        <w:right w:val="none" w:sz="0" w:space="0" w:color="auto"/>
      </w:divBdr>
    </w:div>
    <w:div w:id="634651011">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837304890">
      <w:bodyDiv w:val="1"/>
      <w:marLeft w:val="0"/>
      <w:marRight w:val="0"/>
      <w:marTop w:val="0"/>
      <w:marBottom w:val="0"/>
      <w:divBdr>
        <w:top w:val="none" w:sz="0" w:space="0" w:color="auto"/>
        <w:left w:val="none" w:sz="0" w:space="0" w:color="auto"/>
        <w:bottom w:val="none" w:sz="0" w:space="0" w:color="auto"/>
        <w:right w:val="none" w:sz="0" w:space="0" w:color="auto"/>
      </w:divBdr>
    </w:div>
    <w:div w:id="849685591">
      <w:bodyDiv w:val="1"/>
      <w:marLeft w:val="0"/>
      <w:marRight w:val="0"/>
      <w:marTop w:val="0"/>
      <w:marBottom w:val="0"/>
      <w:divBdr>
        <w:top w:val="none" w:sz="0" w:space="0" w:color="auto"/>
        <w:left w:val="none" w:sz="0" w:space="0" w:color="auto"/>
        <w:bottom w:val="none" w:sz="0" w:space="0" w:color="auto"/>
        <w:right w:val="none" w:sz="0" w:space="0" w:color="auto"/>
      </w:divBdr>
    </w:div>
    <w:div w:id="952321220">
      <w:bodyDiv w:val="1"/>
      <w:marLeft w:val="0"/>
      <w:marRight w:val="0"/>
      <w:marTop w:val="0"/>
      <w:marBottom w:val="0"/>
      <w:divBdr>
        <w:top w:val="none" w:sz="0" w:space="0" w:color="auto"/>
        <w:left w:val="none" w:sz="0" w:space="0" w:color="auto"/>
        <w:bottom w:val="none" w:sz="0" w:space="0" w:color="auto"/>
        <w:right w:val="none" w:sz="0" w:space="0" w:color="auto"/>
      </w:divBdr>
    </w:div>
    <w:div w:id="1051732736">
      <w:bodyDiv w:val="1"/>
      <w:marLeft w:val="0"/>
      <w:marRight w:val="0"/>
      <w:marTop w:val="0"/>
      <w:marBottom w:val="0"/>
      <w:divBdr>
        <w:top w:val="none" w:sz="0" w:space="0" w:color="auto"/>
        <w:left w:val="none" w:sz="0" w:space="0" w:color="auto"/>
        <w:bottom w:val="none" w:sz="0" w:space="0" w:color="auto"/>
        <w:right w:val="none" w:sz="0" w:space="0" w:color="auto"/>
      </w:divBdr>
    </w:div>
    <w:div w:id="1119225820">
      <w:bodyDiv w:val="1"/>
      <w:marLeft w:val="0"/>
      <w:marRight w:val="0"/>
      <w:marTop w:val="0"/>
      <w:marBottom w:val="0"/>
      <w:divBdr>
        <w:top w:val="none" w:sz="0" w:space="0" w:color="auto"/>
        <w:left w:val="none" w:sz="0" w:space="0" w:color="auto"/>
        <w:bottom w:val="none" w:sz="0" w:space="0" w:color="auto"/>
        <w:right w:val="none" w:sz="0" w:space="0" w:color="auto"/>
      </w:divBdr>
    </w:div>
    <w:div w:id="1177231289">
      <w:bodyDiv w:val="1"/>
      <w:marLeft w:val="0"/>
      <w:marRight w:val="0"/>
      <w:marTop w:val="0"/>
      <w:marBottom w:val="0"/>
      <w:divBdr>
        <w:top w:val="none" w:sz="0" w:space="0" w:color="auto"/>
        <w:left w:val="none" w:sz="0" w:space="0" w:color="auto"/>
        <w:bottom w:val="none" w:sz="0" w:space="0" w:color="auto"/>
        <w:right w:val="none" w:sz="0" w:space="0" w:color="auto"/>
      </w:divBdr>
    </w:div>
    <w:div w:id="1484200067">
      <w:bodyDiv w:val="1"/>
      <w:marLeft w:val="0"/>
      <w:marRight w:val="0"/>
      <w:marTop w:val="0"/>
      <w:marBottom w:val="0"/>
      <w:divBdr>
        <w:top w:val="none" w:sz="0" w:space="0" w:color="auto"/>
        <w:left w:val="none" w:sz="0" w:space="0" w:color="auto"/>
        <w:bottom w:val="none" w:sz="0" w:space="0" w:color="auto"/>
        <w:right w:val="none" w:sz="0" w:space="0" w:color="auto"/>
      </w:divBdr>
    </w:div>
    <w:div w:id="1546871556">
      <w:bodyDiv w:val="1"/>
      <w:marLeft w:val="0"/>
      <w:marRight w:val="0"/>
      <w:marTop w:val="0"/>
      <w:marBottom w:val="0"/>
      <w:divBdr>
        <w:top w:val="none" w:sz="0" w:space="0" w:color="auto"/>
        <w:left w:val="none" w:sz="0" w:space="0" w:color="auto"/>
        <w:bottom w:val="none" w:sz="0" w:space="0" w:color="auto"/>
        <w:right w:val="none" w:sz="0" w:space="0" w:color="auto"/>
      </w:divBdr>
    </w:div>
    <w:div w:id="1649940015">
      <w:bodyDiv w:val="1"/>
      <w:marLeft w:val="0"/>
      <w:marRight w:val="0"/>
      <w:marTop w:val="0"/>
      <w:marBottom w:val="0"/>
      <w:divBdr>
        <w:top w:val="none" w:sz="0" w:space="0" w:color="auto"/>
        <w:left w:val="none" w:sz="0" w:space="0" w:color="auto"/>
        <w:bottom w:val="none" w:sz="0" w:space="0" w:color="auto"/>
        <w:right w:val="none" w:sz="0" w:space="0" w:color="auto"/>
      </w:divBdr>
    </w:div>
    <w:div w:id="1793405658">
      <w:bodyDiv w:val="1"/>
      <w:marLeft w:val="0"/>
      <w:marRight w:val="0"/>
      <w:marTop w:val="0"/>
      <w:marBottom w:val="0"/>
      <w:divBdr>
        <w:top w:val="none" w:sz="0" w:space="0" w:color="auto"/>
        <w:left w:val="none" w:sz="0" w:space="0" w:color="auto"/>
        <w:bottom w:val="none" w:sz="0" w:space="0" w:color="auto"/>
        <w:right w:val="none" w:sz="0" w:space="0" w:color="auto"/>
      </w:divBdr>
    </w:div>
    <w:div w:id="1985574826">
      <w:bodyDiv w:val="1"/>
      <w:marLeft w:val="0"/>
      <w:marRight w:val="0"/>
      <w:marTop w:val="0"/>
      <w:marBottom w:val="0"/>
      <w:divBdr>
        <w:top w:val="none" w:sz="0" w:space="0" w:color="auto"/>
        <w:left w:val="none" w:sz="0" w:space="0" w:color="auto"/>
        <w:bottom w:val="none" w:sz="0" w:space="0" w:color="auto"/>
        <w:right w:val="none" w:sz="0" w:space="0" w:color="auto"/>
      </w:divBdr>
    </w:div>
    <w:div w:id="21183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customXml" Target="../customXml/item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e.boi.org.il/he/BankingSupervision/LettersAndCircularsSupervisorOfBanks/HozSup/h2522.pdf" TargetMode="External"/><Relationship Id="rId2" Type="http://schemas.openxmlformats.org/officeDocument/2006/relationships/hyperlink" Target="https://e.boi.org.il/he/BankingSupervision/LettersAndCircularsSupervisorOfBanks/LettersOfTheBankingSupervisionDepartment/201708.pdf" TargetMode="External"/><Relationship Id="rId1" Type="http://schemas.openxmlformats.org/officeDocument/2006/relationships/hyperlink" Target="https://e.boi.org.il/he/BankingSupervision/LettersAndCircularsSupervisorOfBanks/LettersOfTheBankingSupervisionDepartment/201602.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0412D66-BA06-403A-AB85-380A60EBA068}"/>
</file>

<file path=customXml/itemProps2.xml><?xml version="1.0" encoding="utf-8"?>
<ds:datastoreItem xmlns:ds="http://schemas.openxmlformats.org/officeDocument/2006/customXml" ds:itemID="{D0B0B25B-A90B-4BE2-9401-ECBCF2C7E865}"/>
</file>

<file path=customXml/itemProps3.xml><?xml version="1.0" encoding="utf-8"?>
<ds:datastoreItem xmlns:ds="http://schemas.openxmlformats.org/officeDocument/2006/customXml" ds:itemID="{894C1422-91A8-44D2-8EAF-5A48DF526E66}"/>
</file>

<file path=customXml/itemProps4.xml><?xml version="1.0" encoding="utf-8"?>
<ds:datastoreItem xmlns:ds="http://schemas.openxmlformats.org/officeDocument/2006/customXml" ds:itemID="{2A1EBF40-5311-4331-BA00-43615BE8A37B}"/>
</file>

<file path=docProps/app.xml><?xml version="1.0" encoding="utf-8"?>
<Properties xmlns="http://schemas.openxmlformats.org/officeDocument/2006/extended-properties" xmlns:vt="http://schemas.openxmlformats.org/officeDocument/2006/docPropsVTypes">
  <Template>Normal</Template>
  <TotalTime>6</TotalTime>
  <Pages>9</Pages>
  <Words>2138</Words>
  <Characters>10691</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עידן שניר</dc:creator>
  <cp:lastModifiedBy>Rickey Achdut Dovrut BOI</cp:lastModifiedBy>
  <cp:revision>5</cp:revision>
  <cp:lastPrinted>2017-11-05T06:50:00Z</cp:lastPrinted>
  <dcterms:created xsi:type="dcterms:W3CDTF">2017-11-05T10:02:00Z</dcterms:created>
  <dcterms:modified xsi:type="dcterms:W3CDTF">2017-11-05T10:11:00Z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bc762798-4915-4a98-807e-3029ef6a302b</vt:lpwstr>
  </property>
  <property fmtid="{D5CDD505-2E9C-101B-9397-08002B2CF9AE}" pid="3" name="ContentTypeId">
    <vt:lpwstr>0x0101000644CCD52964FE4BBD8AB8E0B060EA47</vt:lpwstr>
  </property>
</Properties>
</file>