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10" w:rsidRDefault="004F6010" w:rsidP="00D37C9C">
      <w:pPr>
        <w:tabs>
          <w:tab w:val="left" w:pos="1083"/>
        </w:tabs>
        <w:rPr>
          <w:rtl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37C9C" w:rsidRPr="00B93FDD" w:rsidTr="006B2B38">
        <w:trPr>
          <w:jc w:val="center"/>
        </w:trPr>
        <w:tc>
          <w:tcPr>
            <w:tcW w:w="2840" w:type="dxa"/>
            <w:vAlign w:val="center"/>
          </w:tcPr>
          <w:p w:rsidR="00D37C9C" w:rsidRPr="00B93FDD" w:rsidRDefault="00D37C9C" w:rsidP="006B2B38">
            <w:pPr>
              <w:spacing w:before="240"/>
              <w:rPr>
                <w:b/>
                <w:bCs/>
                <w:sz w:val="28"/>
                <w:szCs w:val="28"/>
                <w:lang w:eastAsia="he-IL"/>
              </w:rPr>
            </w:pPr>
            <w:r w:rsidRPr="00B93FDD">
              <w:rPr>
                <w:b/>
                <w:bCs/>
                <w:sz w:val="28"/>
                <w:szCs w:val="28"/>
                <w:rtl/>
                <w:lang w:eastAsia="he-IL"/>
              </w:rPr>
              <w:t>בנ</w:t>
            </w:r>
            <w:r w:rsidRPr="00B93FDD">
              <w:rPr>
                <w:rFonts w:hint="cs"/>
                <w:b/>
                <w:bCs/>
                <w:sz w:val="28"/>
                <w:szCs w:val="28"/>
                <w:rtl/>
                <w:lang w:eastAsia="he-IL"/>
              </w:rPr>
              <w:t xml:space="preserve">ק </w:t>
            </w:r>
            <w:r w:rsidRPr="00B93FDD">
              <w:rPr>
                <w:b/>
                <w:bCs/>
                <w:sz w:val="28"/>
                <w:szCs w:val="28"/>
                <w:rtl/>
                <w:lang w:eastAsia="he-IL"/>
              </w:rPr>
              <w:t>יש</w:t>
            </w:r>
            <w:r w:rsidRPr="00B93FDD">
              <w:rPr>
                <w:rFonts w:hint="cs"/>
                <w:b/>
                <w:bCs/>
                <w:sz w:val="28"/>
                <w:szCs w:val="28"/>
                <w:rtl/>
                <w:lang w:eastAsia="he-IL"/>
              </w:rPr>
              <w:t>ראל</w:t>
            </w:r>
          </w:p>
          <w:p w:rsidR="00D37C9C" w:rsidRPr="00B93FDD" w:rsidRDefault="00D37C9C" w:rsidP="006B2B38">
            <w:pPr>
              <w:spacing w:before="240"/>
              <w:ind w:right="-101"/>
              <w:rPr>
                <w:lang w:eastAsia="he-IL"/>
              </w:rPr>
            </w:pPr>
            <w:r w:rsidRPr="00B93FDD">
              <w:rPr>
                <w:rtl/>
                <w:lang w:eastAsia="he-IL"/>
              </w:rPr>
              <w:t>דו</w:t>
            </w:r>
            <w:r w:rsidRPr="00B93FDD">
              <w:rPr>
                <w:rFonts w:hint="cs"/>
                <w:rtl/>
                <w:lang w:eastAsia="he-IL"/>
              </w:rPr>
              <w:t>בר</w:t>
            </w:r>
            <w:r w:rsidRPr="00B93FDD">
              <w:rPr>
                <w:rtl/>
                <w:lang w:eastAsia="he-IL"/>
              </w:rPr>
              <w:t>ות</w:t>
            </w:r>
            <w:r w:rsidRPr="00B93FDD">
              <w:rPr>
                <w:rFonts w:hint="cs"/>
                <w:rtl/>
                <w:lang w:eastAsia="he-IL"/>
              </w:rPr>
              <w:t xml:space="preserve"> והסברה כלכלית</w:t>
            </w:r>
          </w:p>
        </w:tc>
        <w:tc>
          <w:tcPr>
            <w:tcW w:w="2596" w:type="dxa"/>
          </w:tcPr>
          <w:p w:rsidR="00D37C9C" w:rsidRPr="00B93FDD" w:rsidRDefault="00D37C9C" w:rsidP="006B2B38">
            <w:pPr>
              <w:tabs>
                <w:tab w:val="right" w:pos="2380"/>
              </w:tabs>
              <w:spacing w:before="240" w:line="240" w:lineRule="auto"/>
              <w:rPr>
                <w:lang w:eastAsia="he-IL"/>
              </w:rPr>
            </w:pPr>
            <w:r w:rsidRPr="00B93FDD"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534326AC" wp14:editId="522F63D5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3FDD">
              <w:rPr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D37C9C" w:rsidRPr="00B93FDD" w:rsidRDefault="00D37C9C" w:rsidP="00D37C9C">
            <w:pPr>
              <w:spacing w:before="240" w:line="480" w:lineRule="auto"/>
              <w:jc w:val="right"/>
              <w:rPr>
                <w:rtl/>
                <w:lang w:eastAsia="he-IL"/>
              </w:rPr>
            </w:pPr>
            <w:r w:rsidRPr="00B93FDD">
              <w:rPr>
                <w:rFonts w:hint="eastAsia"/>
                <w:rtl/>
                <w:lang w:eastAsia="he-IL"/>
              </w:rPr>
              <w:t>‏</w:t>
            </w:r>
            <w:r w:rsidRPr="00B93FDD">
              <w:rPr>
                <w:rFonts w:hint="cs"/>
                <w:rtl/>
                <w:lang w:eastAsia="he-IL"/>
              </w:rPr>
              <w:t xml:space="preserve">ירושלים, </w:t>
            </w:r>
            <w:r>
              <w:rPr>
                <w:rFonts w:hint="cs"/>
                <w:rtl/>
                <w:lang w:eastAsia="he-IL"/>
              </w:rPr>
              <w:t>כ"ט</w:t>
            </w:r>
            <w:bookmarkStart w:id="0" w:name="_GoBack"/>
            <w:bookmarkEnd w:id="0"/>
            <w:r w:rsidRPr="00B93FDD">
              <w:rPr>
                <w:rFonts w:hint="cs"/>
                <w:rtl/>
                <w:lang w:eastAsia="he-IL"/>
              </w:rPr>
              <w:t xml:space="preserve"> באדר </w:t>
            </w:r>
            <w:r w:rsidRPr="00B93FDD">
              <w:rPr>
                <w:rtl/>
                <w:lang w:eastAsia="he-IL"/>
              </w:rPr>
              <w:t>תש"</w:t>
            </w:r>
            <w:r w:rsidRPr="00B93FDD">
              <w:rPr>
                <w:rFonts w:hint="cs"/>
                <w:rtl/>
                <w:lang w:eastAsia="he-IL"/>
              </w:rPr>
              <w:t>ף</w:t>
            </w:r>
          </w:p>
          <w:p w:rsidR="00D37C9C" w:rsidRPr="00B93FDD" w:rsidRDefault="00D37C9C" w:rsidP="006B2B38">
            <w:pPr>
              <w:spacing w:before="240" w:line="480" w:lineRule="auto"/>
              <w:jc w:val="right"/>
              <w:rPr>
                <w:lang w:eastAsia="he-IL"/>
              </w:rPr>
            </w:pPr>
            <w:r>
              <w:rPr>
                <w:rFonts w:hint="cs"/>
                <w:rtl/>
                <w:lang w:eastAsia="he-IL"/>
              </w:rPr>
              <w:t xml:space="preserve">25 </w:t>
            </w:r>
            <w:r w:rsidRPr="00B93FDD">
              <w:rPr>
                <w:rFonts w:hint="cs"/>
                <w:rtl/>
                <w:lang w:eastAsia="he-IL"/>
              </w:rPr>
              <w:t>במרץ 2020</w:t>
            </w:r>
          </w:p>
        </w:tc>
      </w:tr>
      <w:tr w:rsidR="00D37C9C" w:rsidRPr="00B93FDD" w:rsidTr="006B2B38">
        <w:trPr>
          <w:jc w:val="center"/>
        </w:trPr>
        <w:tc>
          <w:tcPr>
            <w:tcW w:w="2840" w:type="dxa"/>
            <w:vAlign w:val="center"/>
          </w:tcPr>
          <w:p w:rsidR="00D37C9C" w:rsidRPr="00B93FDD" w:rsidRDefault="00D37C9C" w:rsidP="006B2B38">
            <w:pPr>
              <w:spacing w:before="240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596" w:type="dxa"/>
          </w:tcPr>
          <w:p w:rsidR="00D37C9C" w:rsidRPr="00B93FDD" w:rsidRDefault="00D37C9C" w:rsidP="006B2B38">
            <w:pPr>
              <w:spacing w:before="240" w:line="240" w:lineRule="auto"/>
              <w:rPr>
                <w:noProof/>
                <w:rtl/>
              </w:rPr>
            </w:pPr>
          </w:p>
        </w:tc>
        <w:tc>
          <w:tcPr>
            <w:tcW w:w="3084" w:type="dxa"/>
            <w:vAlign w:val="center"/>
          </w:tcPr>
          <w:p w:rsidR="00D37C9C" w:rsidRPr="00B93FDD" w:rsidRDefault="00D37C9C" w:rsidP="006B2B38">
            <w:pPr>
              <w:spacing w:before="240" w:line="480" w:lineRule="auto"/>
              <w:rPr>
                <w:rtl/>
                <w:lang w:eastAsia="he-IL"/>
              </w:rPr>
            </w:pPr>
          </w:p>
        </w:tc>
      </w:tr>
    </w:tbl>
    <w:p w:rsidR="00D37C9C" w:rsidRPr="00B93FDD" w:rsidRDefault="00D37C9C" w:rsidP="00D37C9C">
      <w:pPr>
        <w:spacing w:after="160"/>
        <w:ind w:right="-101"/>
        <w:rPr>
          <w:rFonts w:ascii="Calibri" w:eastAsia="Calibri" w:hAnsi="Calibri"/>
          <w:rtl/>
        </w:rPr>
      </w:pPr>
      <w:r w:rsidRPr="00B93FDD">
        <w:rPr>
          <w:rFonts w:ascii="Calibri" w:eastAsia="Calibri" w:hAnsi="Calibri" w:hint="cs"/>
          <w:rtl/>
        </w:rPr>
        <w:t>הודעה לעיתונות:</w:t>
      </w:r>
    </w:p>
    <w:p w:rsidR="00D37C9C" w:rsidRDefault="00D37C9C" w:rsidP="00D37C9C">
      <w:pPr>
        <w:tabs>
          <w:tab w:val="left" w:pos="1083"/>
        </w:tabs>
        <w:rPr>
          <w:rtl/>
        </w:rPr>
      </w:pPr>
    </w:p>
    <w:p w:rsidR="00DD2FE6" w:rsidRPr="00CB1503" w:rsidRDefault="00DD2FE6" w:rsidP="000D4D17">
      <w:pPr>
        <w:tabs>
          <w:tab w:val="left" w:pos="1083"/>
        </w:tabs>
        <w:ind w:left="800" w:hanging="800"/>
        <w:jc w:val="center"/>
        <w:rPr>
          <w:rtl/>
        </w:rPr>
      </w:pPr>
      <w:r w:rsidRPr="00CB1503">
        <w:rPr>
          <w:rFonts w:hint="cs"/>
          <w:b/>
          <w:bCs/>
          <w:u w:val="single"/>
          <w:rtl/>
        </w:rPr>
        <w:t xml:space="preserve">דגשים פיקוחיים לגבי טיפול </w:t>
      </w:r>
      <w:r w:rsidR="000D25FF">
        <w:rPr>
          <w:rFonts w:hint="cs"/>
          <w:b/>
          <w:bCs/>
          <w:u w:val="single"/>
          <w:rtl/>
        </w:rPr>
        <w:t xml:space="preserve">חשבונאי </w:t>
      </w:r>
      <w:r w:rsidRPr="00CB1503">
        <w:rPr>
          <w:rFonts w:hint="cs"/>
          <w:b/>
          <w:bCs/>
          <w:u w:val="single"/>
          <w:rtl/>
        </w:rPr>
        <w:t>בחובות ודיווח לציבור</w:t>
      </w:r>
      <w:r w:rsidR="000D4D17" w:rsidRPr="000D4D17">
        <w:rPr>
          <w:rFonts w:hint="cs"/>
          <w:b/>
          <w:bCs/>
          <w:u w:val="single"/>
          <w:rtl/>
        </w:rPr>
        <w:t xml:space="preserve"> לאור </w:t>
      </w:r>
      <w:r w:rsidR="000D4D17">
        <w:rPr>
          <w:rFonts w:hint="cs"/>
          <w:b/>
          <w:bCs/>
          <w:u w:val="single"/>
          <w:rtl/>
        </w:rPr>
        <w:t>משבר</w:t>
      </w:r>
      <w:r w:rsidR="000D4D17" w:rsidRPr="00CB1503">
        <w:rPr>
          <w:rFonts w:hint="cs"/>
          <w:b/>
          <w:bCs/>
          <w:u w:val="single"/>
          <w:rtl/>
        </w:rPr>
        <w:t xml:space="preserve"> </w:t>
      </w:r>
      <w:r w:rsidR="000D4D17">
        <w:rPr>
          <w:rFonts w:hint="cs"/>
          <w:b/>
          <w:bCs/>
          <w:u w:val="single"/>
          <w:rtl/>
        </w:rPr>
        <w:t>נגיף הקורונה</w:t>
      </w:r>
    </w:p>
    <w:p w:rsidR="00DD2FE6" w:rsidRPr="00CB1503" w:rsidRDefault="00DD2FE6" w:rsidP="00DD2FE6">
      <w:pPr>
        <w:pStyle w:val="1"/>
        <w:numPr>
          <w:ilvl w:val="0"/>
          <w:numId w:val="0"/>
        </w:numPr>
        <w:rPr>
          <w:kern w:val="0"/>
          <w:sz w:val="24"/>
          <w:rtl/>
        </w:rPr>
      </w:pPr>
    </w:p>
    <w:p w:rsidR="0070633A" w:rsidRDefault="0070633A" w:rsidP="00D85049">
      <w:pPr>
        <w:rPr>
          <w:rFonts w:ascii="David" w:eastAsiaTheme="minorHAnsi" w:hAnsi="David"/>
          <w:rtl/>
        </w:rPr>
      </w:pPr>
      <w:r w:rsidRPr="0053702C">
        <w:rPr>
          <w:rFonts w:ascii="David" w:eastAsiaTheme="minorHAnsi" w:hAnsi="David" w:hint="cs"/>
          <w:rtl/>
        </w:rPr>
        <w:t xml:space="preserve">לנוכח התפתחות </w:t>
      </w:r>
      <w:r w:rsidR="00D85049">
        <w:rPr>
          <w:rFonts w:ascii="David" w:eastAsiaTheme="minorHAnsi" w:hAnsi="David" w:hint="cs"/>
          <w:rtl/>
        </w:rPr>
        <w:t>משבר</w:t>
      </w:r>
      <w:r w:rsidR="00D85049" w:rsidRPr="0053702C">
        <w:rPr>
          <w:rFonts w:ascii="David" w:eastAsiaTheme="minorHAnsi" w:hAnsi="David" w:hint="cs"/>
          <w:rtl/>
        </w:rPr>
        <w:t xml:space="preserve"> </w:t>
      </w:r>
      <w:r w:rsidRPr="0053702C">
        <w:rPr>
          <w:rFonts w:ascii="David" w:eastAsiaTheme="minorHAnsi" w:hAnsi="David" w:hint="cs"/>
          <w:rtl/>
        </w:rPr>
        <w:t>נגיף הקורונה</w:t>
      </w:r>
      <w:r>
        <w:rPr>
          <w:rFonts w:ascii="David" w:eastAsiaTheme="minorHAnsi" w:hAnsi="David" w:hint="cs"/>
          <w:rtl/>
        </w:rPr>
        <w:t>,</w:t>
      </w:r>
      <w:r w:rsidRPr="0053702C">
        <w:rPr>
          <w:rFonts w:ascii="David" w:eastAsiaTheme="minorHAnsi" w:hAnsi="David" w:hint="cs"/>
          <w:rtl/>
        </w:rPr>
        <w:t xml:space="preserve"> </w:t>
      </w:r>
      <w:r>
        <w:rPr>
          <w:rFonts w:ascii="David" w:eastAsiaTheme="minorHAnsi" w:hAnsi="David" w:hint="cs"/>
          <w:rtl/>
        </w:rPr>
        <w:t xml:space="preserve">הפיקוח על הבנקים העביר היום לבנקים </w:t>
      </w:r>
      <w:r w:rsidR="00594472">
        <w:rPr>
          <w:rFonts w:ascii="David" w:eastAsiaTheme="minorHAnsi" w:hAnsi="David" w:hint="cs"/>
          <w:rtl/>
        </w:rPr>
        <w:t xml:space="preserve">ולחברות כרטיסי האשראי </w:t>
      </w:r>
      <w:r w:rsidR="00AF7F31">
        <w:rPr>
          <w:rFonts w:ascii="David" w:eastAsiaTheme="minorHAnsi" w:hAnsi="David" w:hint="cs"/>
          <w:rtl/>
        </w:rPr>
        <w:t xml:space="preserve">טיוטת </w:t>
      </w:r>
      <w:r>
        <w:rPr>
          <w:rFonts w:ascii="David" w:eastAsiaTheme="minorHAnsi" w:hAnsi="David" w:hint="cs"/>
          <w:rtl/>
        </w:rPr>
        <w:t>דגשים ל</w:t>
      </w:r>
      <w:r w:rsidR="00594472">
        <w:rPr>
          <w:rFonts w:ascii="David" w:eastAsiaTheme="minorHAnsi" w:hAnsi="David" w:hint="cs"/>
          <w:rtl/>
        </w:rPr>
        <w:t>אופן ה</w:t>
      </w:r>
      <w:r>
        <w:rPr>
          <w:rFonts w:ascii="David" w:eastAsiaTheme="minorHAnsi" w:hAnsi="David" w:hint="cs"/>
          <w:rtl/>
        </w:rPr>
        <w:t xml:space="preserve">יישום </w:t>
      </w:r>
      <w:r w:rsidR="00594472">
        <w:rPr>
          <w:rFonts w:ascii="David" w:eastAsiaTheme="minorHAnsi" w:hAnsi="David" w:hint="cs"/>
          <w:rtl/>
        </w:rPr>
        <w:t xml:space="preserve">של </w:t>
      </w:r>
      <w:r>
        <w:rPr>
          <w:rFonts w:ascii="David" w:eastAsiaTheme="minorHAnsi" w:hAnsi="David" w:hint="cs"/>
          <w:rtl/>
        </w:rPr>
        <w:t xml:space="preserve">הדרישות </w:t>
      </w:r>
      <w:r w:rsidR="005D776E">
        <w:rPr>
          <w:rFonts w:ascii="David" w:eastAsiaTheme="minorHAnsi" w:hAnsi="David" w:hint="cs"/>
          <w:rtl/>
        </w:rPr>
        <w:t>הקיימות</w:t>
      </w:r>
      <w:r w:rsidR="00594472">
        <w:rPr>
          <w:rFonts w:ascii="David" w:eastAsiaTheme="minorHAnsi" w:hAnsi="David" w:hint="cs"/>
          <w:rtl/>
        </w:rPr>
        <w:t xml:space="preserve"> </w:t>
      </w:r>
      <w:r>
        <w:rPr>
          <w:rFonts w:ascii="David" w:eastAsiaTheme="minorHAnsi" w:hAnsi="David" w:hint="cs"/>
          <w:rtl/>
        </w:rPr>
        <w:t xml:space="preserve">בהוראות הדיווח לציבור </w:t>
      </w:r>
      <w:r w:rsidR="00594472">
        <w:rPr>
          <w:rFonts w:ascii="David" w:eastAsiaTheme="minorHAnsi" w:hAnsi="David" w:hint="cs"/>
          <w:rtl/>
        </w:rPr>
        <w:t>ביחס ל</w:t>
      </w:r>
      <w:r>
        <w:rPr>
          <w:rFonts w:ascii="David" w:eastAsiaTheme="minorHAnsi" w:hAnsi="David" w:hint="cs"/>
          <w:rtl/>
        </w:rPr>
        <w:t xml:space="preserve">טיפול </w:t>
      </w:r>
      <w:r w:rsidR="00077F5E">
        <w:rPr>
          <w:rFonts w:ascii="David" w:eastAsiaTheme="minorHAnsi" w:hAnsi="David" w:hint="cs"/>
          <w:rtl/>
        </w:rPr>
        <w:t xml:space="preserve">החשבונאי </w:t>
      </w:r>
      <w:r>
        <w:rPr>
          <w:rFonts w:ascii="David" w:eastAsiaTheme="minorHAnsi" w:hAnsi="David" w:hint="cs"/>
          <w:rtl/>
        </w:rPr>
        <w:t>ב</w:t>
      </w:r>
      <w:r w:rsidR="00077F5E">
        <w:rPr>
          <w:rFonts w:ascii="David" w:eastAsiaTheme="minorHAnsi" w:hAnsi="David" w:hint="cs"/>
          <w:rtl/>
        </w:rPr>
        <w:t xml:space="preserve">צעדים אשר הם מבצעים מול </w:t>
      </w:r>
      <w:r w:rsidR="00594472">
        <w:rPr>
          <w:rFonts w:ascii="David" w:eastAsiaTheme="minorHAnsi" w:hAnsi="David" w:hint="cs"/>
          <w:rtl/>
        </w:rPr>
        <w:t xml:space="preserve">לווים אשר </w:t>
      </w:r>
      <w:r w:rsidR="008F030C">
        <w:rPr>
          <w:rFonts w:ascii="David" w:eastAsiaTheme="minorHAnsi" w:hAnsi="David" w:hint="cs"/>
          <w:rtl/>
        </w:rPr>
        <w:t xml:space="preserve">עשויים להתקשות באופן זמני </w:t>
      </w:r>
      <w:r w:rsidR="00594472">
        <w:rPr>
          <w:rFonts w:ascii="David" w:eastAsiaTheme="minorHAnsi" w:hAnsi="David" w:hint="cs"/>
          <w:rtl/>
        </w:rPr>
        <w:t xml:space="preserve">לעמוד בתשלומים </w:t>
      </w:r>
      <w:r w:rsidR="00077F5E">
        <w:rPr>
          <w:rFonts w:ascii="David" w:eastAsiaTheme="minorHAnsi" w:hAnsi="David" w:hint="cs"/>
          <w:rtl/>
        </w:rPr>
        <w:t xml:space="preserve">בגין אירוע </w:t>
      </w:r>
      <w:r>
        <w:rPr>
          <w:rFonts w:ascii="David" w:eastAsiaTheme="minorHAnsi" w:hAnsi="David" w:hint="cs"/>
          <w:rtl/>
        </w:rPr>
        <w:t>נגיף הקורונה.</w:t>
      </w:r>
    </w:p>
    <w:p w:rsidR="00801FC6" w:rsidRDefault="00801FC6" w:rsidP="00801FC6">
      <w:pPr>
        <w:rPr>
          <w:rFonts w:ascii="David" w:eastAsiaTheme="minorHAnsi" w:hAnsi="David"/>
          <w:rtl/>
        </w:rPr>
      </w:pPr>
    </w:p>
    <w:p w:rsidR="005D776E" w:rsidRDefault="0070633A" w:rsidP="00D85049">
      <w:pPr>
        <w:rPr>
          <w:rFonts w:ascii="David" w:eastAsiaTheme="minorHAnsi" w:hAnsi="David"/>
          <w:rtl/>
        </w:rPr>
      </w:pPr>
      <w:r>
        <w:rPr>
          <w:rFonts w:ascii="David" w:eastAsiaTheme="minorHAnsi" w:hAnsi="David" w:hint="cs"/>
          <w:rtl/>
        </w:rPr>
        <w:t>ב</w:t>
      </w:r>
      <w:r w:rsidR="00AF7F31">
        <w:rPr>
          <w:rFonts w:ascii="David" w:eastAsiaTheme="minorHAnsi" w:hAnsi="David" w:hint="cs"/>
          <w:rtl/>
        </w:rPr>
        <w:t>טיוטת ה</w:t>
      </w:r>
      <w:r>
        <w:rPr>
          <w:rFonts w:ascii="David" w:eastAsiaTheme="minorHAnsi" w:hAnsi="David" w:hint="cs"/>
          <w:rtl/>
        </w:rPr>
        <w:t xml:space="preserve">מכתב </w:t>
      </w:r>
      <w:r w:rsidR="00077F5E">
        <w:rPr>
          <w:rFonts w:ascii="David" w:eastAsiaTheme="minorHAnsi" w:hAnsi="David" w:hint="cs"/>
          <w:rtl/>
        </w:rPr>
        <w:t>ש</w:t>
      </w:r>
      <w:r>
        <w:rPr>
          <w:rFonts w:ascii="David" w:eastAsiaTheme="minorHAnsi" w:hAnsi="David" w:hint="cs"/>
          <w:rtl/>
        </w:rPr>
        <w:t xml:space="preserve">הפיקוח על הבנקים </w:t>
      </w:r>
      <w:r w:rsidR="00077F5E">
        <w:rPr>
          <w:rFonts w:ascii="David" w:eastAsiaTheme="minorHAnsi" w:hAnsi="David" w:hint="cs"/>
          <w:rtl/>
        </w:rPr>
        <w:t xml:space="preserve">העביר הוא </w:t>
      </w:r>
      <w:r>
        <w:rPr>
          <w:rFonts w:ascii="David" w:eastAsiaTheme="minorHAnsi" w:hAnsi="David" w:hint="cs"/>
          <w:rtl/>
        </w:rPr>
        <w:t xml:space="preserve">מבהיר שהוא </w:t>
      </w:r>
      <w:r w:rsidRPr="0016596F">
        <w:rPr>
          <w:rFonts w:ascii="David" w:eastAsiaTheme="minorHAnsi" w:hAnsi="David" w:hint="eastAsia"/>
          <w:rtl/>
        </w:rPr>
        <w:t>מעודד</w:t>
      </w:r>
      <w:r w:rsidRPr="0016596F">
        <w:rPr>
          <w:rFonts w:ascii="David" w:eastAsiaTheme="minorHAnsi" w:hAnsi="David"/>
          <w:rtl/>
        </w:rPr>
        <w:t xml:space="preserve"> </w:t>
      </w:r>
      <w:r>
        <w:rPr>
          <w:rFonts w:ascii="David" w:eastAsiaTheme="minorHAnsi" w:hAnsi="David" w:hint="cs"/>
          <w:rtl/>
        </w:rPr>
        <w:t>בנקים</w:t>
      </w:r>
      <w:r w:rsidRPr="0016596F">
        <w:rPr>
          <w:rFonts w:ascii="David" w:eastAsiaTheme="minorHAnsi" w:hAnsi="David"/>
          <w:rtl/>
        </w:rPr>
        <w:t xml:space="preserve"> </w:t>
      </w:r>
      <w:r w:rsidR="0064296F">
        <w:rPr>
          <w:rFonts w:ascii="David" w:eastAsiaTheme="minorHAnsi" w:hAnsi="David" w:hint="cs"/>
          <w:rtl/>
        </w:rPr>
        <w:t xml:space="preserve">וחברות כרטיסי אשראי </w:t>
      </w:r>
      <w:r w:rsidRPr="0016596F">
        <w:rPr>
          <w:rFonts w:ascii="David" w:eastAsiaTheme="minorHAnsi" w:hAnsi="David"/>
          <w:rtl/>
        </w:rPr>
        <w:t xml:space="preserve">לפעול באופן זהיר ופרואקטיבי </w:t>
      </w:r>
      <w:r>
        <w:rPr>
          <w:rFonts w:ascii="David" w:eastAsiaTheme="minorHAnsi" w:hAnsi="David" w:hint="cs"/>
          <w:rtl/>
        </w:rPr>
        <w:t xml:space="preserve">על מנת לסייע </w:t>
      </w:r>
      <w:r w:rsidR="00801FC6">
        <w:rPr>
          <w:rFonts w:ascii="David" w:eastAsiaTheme="minorHAnsi" w:hAnsi="David" w:hint="cs"/>
          <w:rtl/>
        </w:rPr>
        <w:t xml:space="preserve">בעת הזו </w:t>
      </w:r>
      <w:r>
        <w:rPr>
          <w:rFonts w:ascii="David" w:eastAsiaTheme="minorHAnsi" w:hAnsi="David" w:hint="cs"/>
          <w:rtl/>
        </w:rPr>
        <w:t xml:space="preserve">למשקי הבית ולעסקים להתגבר על קשיים זמניים הנובעים מהשפעת נגיף הקורונה, </w:t>
      </w:r>
      <w:r w:rsidR="00801FC6">
        <w:rPr>
          <w:rFonts w:hint="cs"/>
          <w:rtl/>
        </w:rPr>
        <w:t xml:space="preserve">כל זאת </w:t>
      </w:r>
      <w:r w:rsidR="00801FC6" w:rsidRPr="00CB1503">
        <w:rPr>
          <w:rFonts w:hint="cs"/>
          <w:rtl/>
        </w:rPr>
        <w:t>בהתאם לאינטרס ארוך הטווח של התאגידים הבנקאיים, של הלווים שלהם ושל הכלכלה בכללותה.</w:t>
      </w:r>
      <w:r>
        <w:rPr>
          <w:rFonts w:ascii="David" w:eastAsiaTheme="minorHAnsi" w:hAnsi="David" w:hint="cs"/>
          <w:rtl/>
        </w:rPr>
        <w:t xml:space="preserve"> </w:t>
      </w:r>
    </w:p>
    <w:p w:rsidR="005318E9" w:rsidRDefault="0070633A" w:rsidP="00937008">
      <w:pPr>
        <w:rPr>
          <w:rtl/>
        </w:rPr>
      </w:pPr>
      <w:r>
        <w:rPr>
          <w:rFonts w:ascii="David" w:eastAsiaTheme="minorHAnsi" w:hAnsi="David" w:hint="cs"/>
          <w:rtl/>
        </w:rPr>
        <w:t xml:space="preserve">בנוסף, הפיקוח על הבנקים מפרט במכתב את הדגשים ליישום נכון </w:t>
      </w:r>
      <w:r w:rsidR="00D85049">
        <w:rPr>
          <w:rFonts w:ascii="David" w:eastAsiaTheme="minorHAnsi" w:hAnsi="David" w:hint="cs"/>
          <w:rtl/>
        </w:rPr>
        <w:t xml:space="preserve">בנסיבות הנוכחיות </w:t>
      </w:r>
      <w:r>
        <w:rPr>
          <w:rFonts w:ascii="David" w:eastAsiaTheme="minorHAnsi" w:hAnsi="David" w:hint="cs"/>
          <w:rtl/>
        </w:rPr>
        <w:t>של הכללים שנקבעו בהוראות הדיווח לציבור לסיווג של</w:t>
      </w:r>
      <w:r w:rsidR="005318E9">
        <w:rPr>
          <w:rFonts w:ascii="David" w:eastAsiaTheme="minorHAnsi" w:hAnsi="David" w:hint="cs"/>
          <w:rtl/>
        </w:rPr>
        <w:t xml:space="preserve"> חובות בעייתיים בדוחות הכספיים</w:t>
      </w:r>
      <w:r w:rsidR="00970A41">
        <w:rPr>
          <w:rFonts w:ascii="David" w:eastAsiaTheme="minorHAnsi" w:hAnsi="David" w:hint="cs"/>
          <w:rtl/>
        </w:rPr>
        <w:t>,</w:t>
      </w:r>
      <w:r w:rsidR="005318E9">
        <w:rPr>
          <w:rFonts w:ascii="David" w:eastAsiaTheme="minorHAnsi" w:hAnsi="David" w:hint="cs"/>
          <w:rtl/>
        </w:rPr>
        <w:t xml:space="preserve"> </w:t>
      </w:r>
      <w:r>
        <w:rPr>
          <w:rFonts w:ascii="David" w:eastAsiaTheme="minorHAnsi" w:hAnsi="David" w:hint="cs"/>
          <w:rtl/>
        </w:rPr>
        <w:t xml:space="preserve">ומבהיר כי בהתאם לכללים אלה, </w:t>
      </w:r>
      <w:r w:rsidR="005318E9" w:rsidRPr="00CB1503">
        <w:rPr>
          <w:rFonts w:hint="cs"/>
          <w:rtl/>
        </w:rPr>
        <w:t xml:space="preserve">שינויים </w:t>
      </w:r>
      <w:r w:rsidR="005318E9">
        <w:rPr>
          <w:rFonts w:hint="cs"/>
          <w:rtl/>
        </w:rPr>
        <w:t xml:space="preserve">שמתבצעים </w:t>
      </w:r>
      <w:r w:rsidR="005318E9" w:rsidRPr="00CB1503">
        <w:rPr>
          <w:rFonts w:hint="cs"/>
          <w:rtl/>
        </w:rPr>
        <w:t>לזמן קצר</w:t>
      </w:r>
      <w:r w:rsidR="005318E9">
        <w:rPr>
          <w:rFonts w:hint="cs"/>
          <w:rtl/>
        </w:rPr>
        <w:t xml:space="preserve"> בתנאים</w:t>
      </w:r>
      <w:r w:rsidR="005318E9" w:rsidRPr="00CB1503">
        <w:rPr>
          <w:rFonts w:hint="cs"/>
          <w:rtl/>
        </w:rPr>
        <w:t xml:space="preserve"> </w:t>
      </w:r>
      <w:r w:rsidR="005318E9">
        <w:rPr>
          <w:rFonts w:hint="cs"/>
          <w:rtl/>
        </w:rPr>
        <w:t xml:space="preserve">של הלוואה </w:t>
      </w:r>
      <w:r w:rsidR="005318E9" w:rsidRPr="00CB1503">
        <w:rPr>
          <w:rFonts w:hint="cs"/>
          <w:rtl/>
        </w:rPr>
        <w:t>(למשל</w:t>
      </w:r>
      <w:r w:rsidR="005318E9">
        <w:rPr>
          <w:rFonts w:hint="cs"/>
          <w:rtl/>
        </w:rPr>
        <w:t xml:space="preserve"> ל-</w:t>
      </w:r>
      <w:r w:rsidR="005318E9" w:rsidRPr="00CB1503">
        <w:rPr>
          <w:rFonts w:hint="cs"/>
          <w:rtl/>
        </w:rPr>
        <w:t xml:space="preserve"> 6 חודשים)</w:t>
      </w:r>
      <w:r w:rsidR="005318E9">
        <w:rPr>
          <w:rFonts w:hint="cs"/>
          <w:rtl/>
        </w:rPr>
        <w:t>,</w:t>
      </w:r>
      <w:r w:rsidR="005318E9" w:rsidRPr="00CB1503">
        <w:rPr>
          <w:rFonts w:hint="cs"/>
          <w:rtl/>
        </w:rPr>
        <w:t xml:space="preserve"> כגון דחי</w:t>
      </w:r>
      <w:r w:rsidR="005318E9">
        <w:rPr>
          <w:rFonts w:hint="cs"/>
          <w:rtl/>
        </w:rPr>
        <w:t>ה</w:t>
      </w:r>
      <w:r w:rsidR="005318E9" w:rsidRPr="00CB1503">
        <w:rPr>
          <w:rFonts w:hint="cs"/>
          <w:rtl/>
        </w:rPr>
        <w:t xml:space="preserve"> במועדי תשלום, ויתור על ריביות פיגורים, </w:t>
      </w:r>
      <w:r w:rsidR="008F030C">
        <w:rPr>
          <w:rFonts w:hint="cs"/>
          <w:rtl/>
        </w:rPr>
        <w:t xml:space="preserve">או </w:t>
      </w:r>
      <w:r w:rsidR="005318E9" w:rsidRPr="00CB1503">
        <w:rPr>
          <w:rFonts w:hint="cs"/>
          <w:rtl/>
        </w:rPr>
        <w:t>הארכ</w:t>
      </w:r>
      <w:r w:rsidR="005318E9">
        <w:rPr>
          <w:rFonts w:hint="cs"/>
          <w:rtl/>
        </w:rPr>
        <w:t>ה</w:t>
      </w:r>
      <w:r w:rsidR="005318E9" w:rsidRPr="00CB1503">
        <w:rPr>
          <w:rFonts w:hint="cs"/>
          <w:rtl/>
        </w:rPr>
        <w:t xml:space="preserve"> של תקופת פירעון, לא </w:t>
      </w:r>
      <w:r w:rsidR="005318E9">
        <w:rPr>
          <w:rFonts w:hint="cs"/>
          <w:rtl/>
        </w:rPr>
        <w:t xml:space="preserve">צריכים לגרום </w:t>
      </w:r>
      <w:r w:rsidR="005318E9" w:rsidRPr="00CB1503">
        <w:rPr>
          <w:rFonts w:hint="cs"/>
          <w:rtl/>
        </w:rPr>
        <w:t xml:space="preserve">באופן אוטומטי </w:t>
      </w:r>
      <w:r w:rsidR="005318E9">
        <w:rPr>
          <w:rFonts w:hint="cs"/>
          <w:rtl/>
        </w:rPr>
        <w:t xml:space="preserve">לסיווג של ההלוואות </w:t>
      </w:r>
      <w:r w:rsidR="005318E9" w:rsidRPr="00CB1503">
        <w:rPr>
          <w:rFonts w:hint="cs"/>
          <w:rtl/>
        </w:rPr>
        <w:t>כחובות בע</w:t>
      </w:r>
      <w:r w:rsidR="005318E9">
        <w:rPr>
          <w:rFonts w:hint="cs"/>
          <w:rtl/>
        </w:rPr>
        <w:t>י</w:t>
      </w:r>
      <w:r w:rsidR="005318E9" w:rsidRPr="00CB1503">
        <w:rPr>
          <w:rFonts w:hint="cs"/>
          <w:rtl/>
        </w:rPr>
        <w:t>יתיים בארגון מחדש</w:t>
      </w:r>
      <w:r w:rsidR="005318E9">
        <w:rPr>
          <w:rFonts w:hint="cs"/>
          <w:rtl/>
        </w:rPr>
        <w:t>.</w:t>
      </w:r>
    </w:p>
    <w:p w:rsidR="00970A41" w:rsidRDefault="0053367D" w:rsidP="00583FD3">
      <w:pPr>
        <w:rPr>
          <w:rFonts w:ascii="David" w:eastAsiaTheme="minorHAnsi" w:hAnsi="David"/>
          <w:rtl/>
        </w:rPr>
      </w:pPr>
      <w:r>
        <w:rPr>
          <w:rFonts w:ascii="David" w:eastAsiaTheme="minorHAnsi" w:hAnsi="David" w:hint="cs"/>
          <w:rtl/>
        </w:rPr>
        <w:t xml:space="preserve">דגשים אלו דומים לדגשים אשר פורסמו לאחרונה </w:t>
      </w:r>
      <w:r w:rsidR="00970A41">
        <w:rPr>
          <w:rFonts w:ascii="David" w:eastAsiaTheme="minorHAnsi" w:hAnsi="David" w:hint="cs"/>
          <w:rtl/>
        </w:rPr>
        <w:t xml:space="preserve">על ידי רשויות </w:t>
      </w:r>
      <w:r>
        <w:rPr>
          <w:rFonts w:ascii="David" w:eastAsiaTheme="minorHAnsi" w:hAnsi="David" w:hint="cs"/>
          <w:rtl/>
        </w:rPr>
        <w:t>בארצות הברית</w:t>
      </w:r>
      <w:r w:rsidR="00A64180">
        <w:rPr>
          <w:rFonts w:ascii="David" w:eastAsiaTheme="minorHAnsi" w:hAnsi="David" w:hint="cs"/>
          <w:rtl/>
        </w:rPr>
        <w:t xml:space="preserve"> וב</w:t>
      </w:r>
      <w:r w:rsidR="00583FD3">
        <w:rPr>
          <w:rFonts w:ascii="David" w:eastAsiaTheme="minorHAnsi" w:hAnsi="David" w:hint="cs"/>
          <w:rtl/>
        </w:rPr>
        <w:t>עולם</w:t>
      </w:r>
      <w:r w:rsidR="00970A41">
        <w:rPr>
          <w:rFonts w:ascii="David" w:eastAsiaTheme="minorHAnsi" w:hAnsi="David" w:hint="cs"/>
          <w:rtl/>
        </w:rPr>
        <w:t xml:space="preserve">. </w:t>
      </w:r>
    </w:p>
    <w:p w:rsidR="0070633A" w:rsidRDefault="0070633A" w:rsidP="005D776E">
      <w:pPr>
        <w:rPr>
          <w:rtl/>
        </w:rPr>
      </w:pPr>
      <w:r>
        <w:rPr>
          <w:rFonts w:ascii="David" w:eastAsiaTheme="minorHAnsi" w:hAnsi="David" w:hint="cs"/>
          <w:rtl/>
        </w:rPr>
        <w:t xml:space="preserve">בנוסף, </w:t>
      </w:r>
      <w:r w:rsidR="005D776E">
        <w:rPr>
          <w:rFonts w:ascii="David" w:eastAsiaTheme="minorHAnsi" w:hAnsi="David" w:hint="cs"/>
          <w:rtl/>
        </w:rPr>
        <w:t>מובהר</w:t>
      </w:r>
      <w:r>
        <w:rPr>
          <w:rFonts w:ascii="David" w:eastAsiaTheme="minorHAnsi" w:hAnsi="David" w:hint="cs"/>
          <w:rtl/>
        </w:rPr>
        <w:t xml:space="preserve"> כי בנקים</w:t>
      </w:r>
      <w:r w:rsidR="005D776E">
        <w:rPr>
          <w:rFonts w:ascii="David" w:eastAsiaTheme="minorHAnsi" w:hAnsi="David" w:hint="cs"/>
          <w:rtl/>
        </w:rPr>
        <w:t xml:space="preserve"> וחברות כרטיסי אשראי</w:t>
      </w:r>
      <w:r>
        <w:rPr>
          <w:rFonts w:ascii="David" w:eastAsiaTheme="minorHAnsi" w:hAnsi="David" w:hint="cs"/>
          <w:rtl/>
        </w:rPr>
        <w:t xml:space="preserve"> </w:t>
      </w:r>
      <w:r w:rsidR="005D776E">
        <w:rPr>
          <w:rFonts w:ascii="David" w:eastAsiaTheme="minorHAnsi" w:hAnsi="David" w:hint="cs"/>
          <w:rtl/>
        </w:rPr>
        <w:t>יתנו</w:t>
      </w:r>
      <w:r>
        <w:rPr>
          <w:rFonts w:ascii="David" w:eastAsiaTheme="minorHAnsi" w:hAnsi="David" w:hint="cs"/>
          <w:rtl/>
        </w:rPr>
        <w:t xml:space="preserve"> גילוי מלא בדוחות לציבור </w:t>
      </w:r>
      <w:r w:rsidR="00801FC6">
        <w:rPr>
          <w:rFonts w:ascii="David" w:eastAsiaTheme="minorHAnsi" w:hAnsi="David" w:hint="cs"/>
          <w:rtl/>
        </w:rPr>
        <w:t xml:space="preserve">הבאים </w:t>
      </w:r>
      <w:r>
        <w:rPr>
          <w:rFonts w:ascii="David" w:eastAsiaTheme="minorHAnsi" w:hAnsi="David" w:hint="cs"/>
          <w:rtl/>
        </w:rPr>
        <w:t xml:space="preserve">שלהם לכלל החובות </w:t>
      </w:r>
      <w:r w:rsidR="005D776E" w:rsidRPr="00CB1503">
        <w:rPr>
          <w:rFonts w:hint="cs"/>
          <w:rtl/>
        </w:rPr>
        <w:t xml:space="preserve">ששונו תנאיהם במסגרת </w:t>
      </w:r>
      <w:r w:rsidR="005D776E">
        <w:rPr>
          <w:rFonts w:hint="cs"/>
          <w:rtl/>
        </w:rPr>
        <w:t>ההתמודדות עם אירוע נגיף הקורונה</w:t>
      </w:r>
      <w:r>
        <w:rPr>
          <w:rFonts w:ascii="David" w:eastAsiaTheme="minorHAnsi" w:hAnsi="David" w:hint="cs"/>
          <w:rtl/>
        </w:rPr>
        <w:t>.</w:t>
      </w:r>
    </w:p>
    <w:p w:rsidR="00403CBC" w:rsidRDefault="00403CBC" w:rsidP="00403CBC">
      <w:pPr>
        <w:rPr>
          <w:rtl/>
        </w:rPr>
      </w:pPr>
    </w:p>
    <w:p w:rsidR="00DD2FE6" w:rsidRDefault="009A67E0" w:rsidP="00D37C9C">
      <w:r>
        <w:rPr>
          <w:rFonts w:hint="cs"/>
          <w:rtl/>
        </w:rPr>
        <w:t xml:space="preserve">המפקחת על הבנקים, ד"ר חדוה בר: </w:t>
      </w:r>
      <w:r w:rsidR="00403CBC">
        <w:rPr>
          <w:rFonts w:hint="cs"/>
          <w:rtl/>
        </w:rPr>
        <w:t>"</w:t>
      </w:r>
      <w:r w:rsidR="00BB1D3B">
        <w:rPr>
          <w:rFonts w:hint="cs"/>
          <w:rtl/>
        </w:rPr>
        <w:t>המכתב</w:t>
      </w:r>
      <w:r w:rsidR="00403CBC">
        <w:rPr>
          <w:rFonts w:hint="cs"/>
          <w:rtl/>
        </w:rPr>
        <w:t xml:space="preserve"> </w:t>
      </w:r>
      <w:r w:rsidR="00EC442B">
        <w:rPr>
          <w:rFonts w:hint="cs"/>
          <w:rtl/>
        </w:rPr>
        <w:t>ש</w:t>
      </w:r>
      <w:r w:rsidR="00403CBC">
        <w:rPr>
          <w:rFonts w:hint="cs"/>
          <w:rtl/>
        </w:rPr>
        <w:t>הוצאנו היום בנוגע ל</w:t>
      </w:r>
      <w:r w:rsidR="00BB1D3B">
        <w:rPr>
          <w:rFonts w:hint="cs"/>
          <w:rtl/>
        </w:rPr>
        <w:t>דגשים ב</w:t>
      </w:r>
      <w:r w:rsidR="00403CBC">
        <w:rPr>
          <w:rFonts w:hint="cs"/>
          <w:rtl/>
        </w:rPr>
        <w:t xml:space="preserve">אופן הטיפול בחובות של לווים </w:t>
      </w:r>
      <w:r w:rsidR="004F6010">
        <w:rPr>
          <w:rFonts w:hint="cs"/>
          <w:rtl/>
        </w:rPr>
        <w:t>ש</w:t>
      </w:r>
      <w:r w:rsidR="00403CBC">
        <w:rPr>
          <w:rFonts w:hint="cs"/>
          <w:rtl/>
        </w:rPr>
        <w:t xml:space="preserve">נקלעו בעקבות המשבר לקושי תזרימי, </w:t>
      </w:r>
      <w:r w:rsidR="004F6010">
        <w:rPr>
          <w:rFonts w:hint="cs"/>
          <w:rtl/>
        </w:rPr>
        <w:t xml:space="preserve">אולם טרום המשבר היו במצב כלכלי טוב, </w:t>
      </w:r>
      <w:r w:rsidR="00403CBC">
        <w:rPr>
          <w:rFonts w:hint="cs"/>
          <w:rtl/>
        </w:rPr>
        <w:t>יאפשר לבנקים ל</w:t>
      </w:r>
      <w:r w:rsidR="004F6010">
        <w:rPr>
          <w:rFonts w:hint="cs"/>
          <w:rtl/>
        </w:rPr>
        <w:t>המשיך ל</w:t>
      </w:r>
      <w:r>
        <w:rPr>
          <w:rFonts w:hint="cs"/>
          <w:rtl/>
        </w:rPr>
        <w:t>ה</w:t>
      </w:r>
      <w:r w:rsidR="00403CBC">
        <w:rPr>
          <w:rFonts w:hint="cs"/>
          <w:rtl/>
        </w:rPr>
        <w:t xml:space="preserve">לוות ולסייע ללווים בעת הזו, מתוך ראיה ארוכת טווח. </w:t>
      </w:r>
      <w:r w:rsidR="004F6010">
        <w:rPr>
          <w:rFonts w:hint="cs"/>
          <w:rtl/>
        </w:rPr>
        <w:t>"החמצן" שהבנקים נותנים לעסקים ולמשקי בית בעת הזו מסייע בצמצום ההשפעות הכלכליות השליליות שיש למשבר על הלווים ועל המשק כולו"</w:t>
      </w:r>
    </w:p>
    <w:sectPr w:rsidR="00DD2FE6" w:rsidSect="00955B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B7" w:rsidRDefault="001B2DB7" w:rsidP="00DD2FE6">
      <w:pPr>
        <w:spacing w:line="240" w:lineRule="auto"/>
      </w:pPr>
      <w:r>
        <w:separator/>
      </w:r>
    </w:p>
  </w:endnote>
  <w:endnote w:type="continuationSeparator" w:id="0">
    <w:p w:rsidR="001B2DB7" w:rsidRDefault="001B2DB7" w:rsidP="00DD2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B7" w:rsidRDefault="001B2DB7" w:rsidP="00DD2FE6">
      <w:pPr>
        <w:spacing w:line="240" w:lineRule="auto"/>
      </w:pPr>
      <w:r>
        <w:separator/>
      </w:r>
    </w:p>
  </w:footnote>
  <w:footnote w:type="continuationSeparator" w:id="0">
    <w:p w:rsidR="001B2DB7" w:rsidRDefault="001B2DB7" w:rsidP="00DD2F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07851"/>
    <w:multiLevelType w:val="multilevel"/>
    <w:tmpl w:val="B8702F98"/>
    <w:lvl w:ilvl="0">
      <w:start w:val="1"/>
      <w:numFmt w:val="decimal"/>
      <w:pStyle w:val="1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852"/>
        </w:tabs>
        <w:ind w:left="1852" w:hanging="576"/>
      </w:pPr>
      <w:rPr>
        <w:rFonts w:hint="default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6"/>
    <w:rsid w:val="00077F5E"/>
    <w:rsid w:val="00096564"/>
    <w:rsid w:val="000D25FF"/>
    <w:rsid w:val="000D4D17"/>
    <w:rsid w:val="000E4A64"/>
    <w:rsid w:val="001B2DB7"/>
    <w:rsid w:val="00354665"/>
    <w:rsid w:val="00403CBC"/>
    <w:rsid w:val="0047073D"/>
    <w:rsid w:val="004F6010"/>
    <w:rsid w:val="005318E9"/>
    <w:rsid w:val="0053367D"/>
    <w:rsid w:val="0053425B"/>
    <w:rsid w:val="0055772A"/>
    <w:rsid w:val="00583FD3"/>
    <w:rsid w:val="00594472"/>
    <w:rsid w:val="005D776E"/>
    <w:rsid w:val="0064296F"/>
    <w:rsid w:val="006A75D0"/>
    <w:rsid w:val="006F6F53"/>
    <w:rsid w:val="0070633A"/>
    <w:rsid w:val="007E6C82"/>
    <w:rsid w:val="00801FC6"/>
    <w:rsid w:val="008F030C"/>
    <w:rsid w:val="00937008"/>
    <w:rsid w:val="00955BFD"/>
    <w:rsid w:val="00970A41"/>
    <w:rsid w:val="009A67E0"/>
    <w:rsid w:val="00A64180"/>
    <w:rsid w:val="00AF7F31"/>
    <w:rsid w:val="00B41507"/>
    <w:rsid w:val="00BB1D3B"/>
    <w:rsid w:val="00C366AA"/>
    <w:rsid w:val="00D37C9C"/>
    <w:rsid w:val="00D715B1"/>
    <w:rsid w:val="00D85049"/>
    <w:rsid w:val="00DD2FE6"/>
    <w:rsid w:val="00E3358D"/>
    <w:rsid w:val="00E63BE8"/>
    <w:rsid w:val="00E93410"/>
    <w:rsid w:val="00EC442B"/>
    <w:rsid w:val="00F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5D19"/>
  <w15:chartTrackingRefBased/>
  <w15:docId w15:val="{6B2BF162-9B37-4028-B652-94F28D0E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E6"/>
    <w:pPr>
      <w:tabs>
        <w:tab w:val="left" w:pos="567"/>
        <w:tab w:val="left" w:pos="1134"/>
        <w:tab w:val="left" w:pos="1814"/>
        <w:tab w:val="left" w:pos="2665"/>
      </w:tabs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1">
    <w:name w:val="heading 1"/>
    <w:aliases w:val="Heading 1,כותרת 1 תו2,כותרת 1 תו1 תו,Heading 1 תו תו,כותרת 1 תו תו תו,כותרת 1 תו2 תו תו תו,כותרת 1 תו1 תו תו תו תו,כותרת 1 תו תו תו תו תו תו,כותרת 1 תו1 תו תו תו תו תו תו תו,כותרת 1 תו תו1 תו תו תו תו תו תו תו,כותרת 1 תו תו,כותרת 1 תו1,כותרת 1 ת"/>
    <w:basedOn w:val="a"/>
    <w:link w:val="10"/>
    <w:qFormat/>
    <w:rsid w:val="00DD2FE6"/>
    <w:pPr>
      <w:numPr>
        <w:numId w:val="1"/>
      </w:numPr>
      <w:tabs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aliases w:val="Heading 2,כותרת 2 תו1 תו,כותרת 2 תו2 תו תו,כותרת 2 תו תו תו תו,Heading 2 תו תו תו תו,כותרת 2 תו1 תו תו תו תו,כותרת 2 תו תו1 תו תו תו תו,Heading 2 תו תו1 תו תו תו תו,כותרת 2 תו תו תו תו תו תו תו,Heading 2 תו תו תו תו תו תו תו,כותרת 2 ת"/>
    <w:basedOn w:val="1"/>
    <w:link w:val="21"/>
    <w:qFormat/>
    <w:rsid w:val="00DD2FE6"/>
    <w:pPr>
      <w:numPr>
        <w:ilvl w:val="1"/>
      </w:numPr>
      <w:tabs>
        <w:tab w:val="clear" w:pos="1814"/>
        <w:tab w:val="clear" w:pos="2665"/>
        <w:tab w:val="left" w:pos="1140"/>
      </w:tabs>
      <w:outlineLvl w:val="1"/>
    </w:pPr>
  </w:style>
  <w:style w:type="paragraph" w:styleId="3">
    <w:name w:val="heading 3"/>
    <w:aliases w:val="Heading 3,כותרת 3 תו1,כותרת 3 תו תו,כותרת 3 תו2 תו תו,כותרת 3 תו תו תו תו,Heading 3 תו תו תו תו,כותרת 3 תו1 תו תו תו תו,Heading 3 תו1 תו תו תו תו,כותרת 3 תו תו תו תו תו תו,Heading 3 תו תו תו תו תו תו,כותרת 3 תו1 תו תו תו תו תו תו,Head"/>
    <w:basedOn w:val="2"/>
    <w:link w:val="30"/>
    <w:qFormat/>
    <w:rsid w:val="00DD2FE6"/>
    <w:pPr>
      <w:numPr>
        <w:ilvl w:val="2"/>
      </w:numPr>
      <w:tabs>
        <w:tab w:val="clear" w:pos="1140"/>
        <w:tab w:val="clear" w:pos="1872"/>
        <w:tab w:val="left" w:pos="1871"/>
      </w:tabs>
      <w:outlineLvl w:val="2"/>
    </w:pPr>
  </w:style>
  <w:style w:type="paragraph" w:styleId="4">
    <w:name w:val="heading 4"/>
    <w:aliases w:val="Heading 4,כותרת 4 תו3,כותרת 4 תו2 תו,כותרת 4 תו1 תו תו,כותרת 4 תו תו תו תו,Heading 4 תו תו תו תו,כותרת 4 תו תו1 תו,Heading 4 תו תו1 תו,כותרת 4 תו1 תו1,כותרת 4 תו תו תו1,Heading 4 תו תו תו1,כותרת 4 תו תו2,Heading 4 תו תו2,כותרת 4 תו2,תו תו תו תו"/>
    <w:basedOn w:val="3"/>
    <w:link w:val="40"/>
    <w:qFormat/>
    <w:rsid w:val="00DD2FE6"/>
    <w:pPr>
      <w:numPr>
        <w:ilvl w:val="3"/>
      </w:numPr>
      <w:tabs>
        <w:tab w:val="clear" w:pos="1871"/>
        <w:tab w:val="clear" w:pos="2779"/>
        <w:tab w:val="left" w:pos="2778"/>
      </w:tabs>
      <w:ind w:left="2778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eading 1 תו,כותרת 1 תו2 תו,כותרת 1 תו1 תו תו,Heading 1 תו תו תו,כותרת 1 תו תו תו תו,כותרת 1 תו2 תו תו תו תו,כותרת 1 תו1 תו תו תו תו תו,כותרת 1 תו תו תו תו תו תו תו,כותרת 1 תו1 תו תו תו תו תו תו תו תו,כותרת 1 תו תו1 תו תו תו תו תו תו תו תו"/>
    <w:basedOn w:val="a0"/>
    <w:link w:val="1"/>
    <w:rsid w:val="00DD2FE6"/>
    <w:rPr>
      <w:rFonts w:ascii="Times New Roman" w:eastAsia="Times New Roman" w:hAnsi="Times New Roman" w:cs="David"/>
      <w:kern w:val="28"/>
      <w:szCs w:val="24"/>
    </w:rPr>
  </w:style>
  <w:style w:type="character" w:customStyle="1" w:styleId="20">
    <w:name w:val="כותרת 2 תו"/>
    <w:basedOn w:val="a0"/>
    <w:uiPriority w:val="9"/>
    <w:semiHidden/>
    <w:rsid w:val="00DD2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כותרת 3 תו"/>
    <w:aliases w:val="Heading 3 תו,כותרת 3 תו1 תו,כותרת 3 תו תו תו,כותרת 3 תו2 תו תו תו,כותרת 3 תו תו תו תו תו,Heading 3 תו תו תו תו תו,כותרת 3 תו1 תו תו תו תו תו,Heading 3 תו1 תו תו תו תו תו,כותרת 3 תו תו תו תו תו תו תו,Heading 3 תו תו תו תו תו תו תו,Head תו"/>
    <w:basedOn w:val="a0"/>
    <w:link w:val="3"/>
    <w:rsid w:val="00DD2FE6"/>
    <w:rPr>
      <w:rFonts w:ascii="Times New Roman" w:eastAsia="Times New Roman" w:hAnsi="Times New Roman" w:cs="David"/>
      <w:kern w:val="28"/>
      <w:szCs w:val="24"/>
    </w:rPr>
  </w:style>
  <w:style w:type="character" w:customStyle="1" w:styleId="40">
    <w:name w:val="כותרת 4 תו"/>
    <w:aliases w:val="Heading 4 תו,כותרת 4 תו3 תו,כותרת 4 תו2 תו תו,כותרת 4 תו1 תו תו תו,כותרת 4 תו תו תו תו תו,Heading 4 תו תו תו תו תו,כותרת 4 תו תו1 תו תו,Heading 4 תו תו1 תו תו,כותרת 4 תו1 תו1 תו,כותרת 4 תו תו תו1 תו,Heading 4 תו תו תו1 תו,כותרת 4 תו תו2 תו"/>
    <w:basedOn w:val="a0"/>
    <w:link w:val="4"/>
    <w:rsid w:val="00DD2FE6"/>
    <w:rPr>
      <w:rFonts w:ascii="Times New Roman" w:eastAsia="Times New Roman" w:hAnsi="Times New Roman" w:cs="David"/>
      <w:kern w:val="28"/>
      <w:szCs w:val="24"/>
    </w:rPr>
  </w:style>
  <w:style w:type="character" w:customStyle="1" w:styleId="21">
    <w:name w:val="כותרת 2 תו1"/>
    <w:aliases w:val="Heading 2 תו,כותרת 2 תו1 תו תו,כותרת 2 תו2 תו תו תו,כותרת 2 תו תו תו תו תו,Heading 2 תו תו תו תו תו,כותרת 2 תו1 תו תו תו תו תו,כותרת 2 תו תו1 תו תו תו תו תו,Heading 2 תו תו1 תו תו תו תו תו,כותרת 2 תו תו תו תו תו תו תו תו,כותרת 2 ת תו"/>
    <w:link w:val="2"/>
    <w:rsid w:val="00DD2FE6"/>
    <w:rPr>
      <w:rFonts w:ascii="Times New Roman" w:eastAsia="Times New Roman" w:hAnsi="Times New Roman" w:cs="David"/>
      <w:kern w:val="28"/>
      <w:szCs w:val="24"/>
    </w:rPr>
  </w:style>
  <w:style w:type="paragraph" w:styleId="a3">
    <w:name w:val="footnote text"/>
    <w:basedOn w:val="a"/>
    <w:link w:val="a4"/>
    <w:uiPriority w:val="99"/>
    <w:rsid w:val="00DD2FE6"/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DD2FE6"/>
    <w:rPr>
      <w:rFonts w:ascii="Times New Roman" w:eastAsia="Times New Roman" w:hAnsi="Times New Roman" w:cs="David"/>
      <w:sz w:val="20"/>
      <w:szCs w:val="20"/>
    </w:rPr>
  </w:style>
  <w:style w:type="character" w:styleId="a5">
    <w:name w:val="footnote reference"/>
    <w:uiPriority w:val="99"/>
    <w:rsid w:val="00DD2FE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F030C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8F030C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boiuser</dc:creator>
  <cp:keywords/>
  <dc:description/>
  <cp:lastModifiedBy>יפעת כהן סידי</cp:lastModifiedBy>
  <cp:revision>2</cp:revision>
  <dcterms:created xsi:type="dcterms:W3CDTF">2020-03-25T08:39:00Z</dcterms:created>
  <dcterms:modified xsi:type="dcterms:W3CDTF">2020-03-25T08:39:00Z</dcterms:modified>
</cp:coreProperties>
</file>