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C14573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C14573" w:rsidRDefault="00DD5923" w:rsidP="00286AB2">
            <w:pPr>
              <w:spacing w:line="360" w:lineRule="auto"/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C1457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C1457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C14573" w:rsidRDefault="00DD5923" w:rsidP="00286AB2">
            <w:pPr>
              <w:spacing w:line="36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14573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C14573" w:rsidRDefault="00572B04" w:rsidP="00D87676">
            <w:pPr>
              <w:jc w:val="center"/>
              <w:rPr>
                <w:rFonts w:ascii="David" w:hAnsi="David" w:cs="David"/>
              </w:rPr>
            </w:pPr>
            <w:r w:rsidRPr="00C14573">
              <w:rPr>
                <w:rFonts w:ascii="David" w:hAnsi="David" w:cs="David"/>
                <w:noProof/>
                <w:lang w:eastAsia="en-US"/>
              </w:rPr>
              <w:drawing>
                <wp:inline distT="0" distB="0" distL="0" distR="0" wp14:anchorId="522E6F3E" wp14:editId="5A6E6DEC">
                  <wp:extent cx="734291" cy="734291"/>
                  <wp:effectExtent l="0" t="0" r="8890" b="8890"/>
                  <wp:docPr id="5" name="Picture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08" cy="73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C14573" w:rsidRDefault="0089040A" w:rsidP="00C14573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C14573">
              <w:rPr>
                <w:rFonts w:ascii="David" w:hAnsi="David" w:cs="David"/>
                <w:sz w:val="24"/>
                <w:szCs w:val="24"/>
                <w:rtl/>
              </w:rPr>
              <w:t xml:space="preserve">ירושלים, </w:t>
            </w:r>
            <w:r w:rsidR="00F902C8" w:rsidRPr="00C14573">
              <w:rPr>
                <w:rFonts w:ascii="David" w:hAnsi="David" w:cs="David"/>
                <w:sz w:val="24"/>
                <w:szCs w:val="24"/>
                <w:rtl/>
              </w:rPr>
              <w:t>כ</w:t>
            </w:r>
            <w:r w:rsidR="00C14573">
              <w:rPr>
                <w:rFonts w:ascii="David" w:hAnsi="David" w:cs="David" w:hint="cs"/>
                <w:sz w:val="24"/>
                <w:szCs w:val="24"/>
                <w:rtl/>
              </w:rPr>
              <w:t>"א</w:t>
            </w:r>
            <w:r w:rsidR="00F426C3" w:rsidRPr="00C14573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D1B3F" w:rsidRPr="00C14573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F902C8" w:rsidRPr="00C14573">
              <w:rPr>
                <w:rFonts w:ascii="David" w:hAnsi="David" w:cs="David"/>
                <w:sz w:val="24"/>
                <w:szCs w:val="24"/>
                <w:rtl/>
              </w:rPr>
              <w:t>סיוון</w:t>
            </w:r>
            <w:r w:rsidR="00A06D00" w:rsidRPr="00C14573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14573">
              <w:rPr>
                <w:rFonts w:ascii="David" w:hAnsi="David" w:cs="David"/>
                <w:sz w:val="24"/>
                <w:szCs w:val="24"/>
                <w:rtl/>
              </w:rPr>
              <w:t>תשע"</w:t>
            </w:r>
            <w:r w:rsidR="00A06D00" w:rsidRPr="00C14573">
              <w:rPr>
                <w:rFonts w:ascii="David" w:hAnsi="David" w:cs="David"/>
                <w:sz w:val="24"/>
                <w:szCs w:val="24"/>
                <w:rtl/>
              </w:rPr>
              <w:t>ט</w:t>
            </w:r>
          </w:p>
          <w:p w:rsidR="00DD5923" w:rsidRPr="00C14573" w:rsidRDefault="0089040A" w:rsidP="00C14573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C14573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‏‏</w:t>
            </w:r>
            <w:r w:rsidR="00C14573">
              <w:rPr>
                <w:rFonts w:ascii="David" w:hAnsi="David" w:cs="David" w:hint="cs"/>
                <w:sz w:val="24"/>
                <w:szCs w:val="24"/>
                <w:rtl/>
              </w:rPr>
              <w:t>24</w:t>
            </w:r>
            <w:r w:rsidR="00A17283" w:rsidRPr="00C14573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426C3" w:rsidRPr="00C14573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F902C8" w:rsidRPr="00C14573">
              <w:rPr>
                <w:rFonts w:ascii="David" w:hAnsi="David" w:cs="David"/>
                <w:sz w:val="24"/>
                <w:szCs w:val="24"/>
                <w:rtl/>
              </w:rPr>
              <w:t>יוני</w:t>
            </w:r>
            <w:r w:rsidR="00631A91" w:rsidRPr="00C14573">
              <w:rPr>
                <w:rFonts w:ascii="David" w:hAnsi="David" w:cs="David"/>
                <w:sz w:val="24"/>
                <w:szCs w:val="24"/>
                <w:rtl/>
              </w:rPr>
              <w:t xml:space="preserve"> 201</w:t>
            </w:r>
            <w:r w:rsidR="00A06D00" w:rsidRPr="00C14573">
              <w:rPr>
                <w:rFonts w:ascii="David" w:hAnsi="David" w:cs="David"/>
                <w:sz w:val="24"/>
                <w:szCs w:val="24"/>
                <w:rtl/>
              </w:rPr>
              <w:t>9</w:t>
            </w:r>
          </w:p>
        </w:tc>
      </w:tr>
    </w:tbl>
    <w:p w:rsidR="00FE034E" w:rsidRPr="00C14573" w:rsidRDefault="00FE034E" w:rsidP="007E18EE">
      <w:pPr>
        <w:bidi/>
        <w:rPr>
          <w:rFonts w:ascii="David" w:hAnsi="David" w:cs="David"/>
          <w:rtl/>
        </w:rPr>
      </w:pPr>
    </w:p>
    <w:p w:rsidR="00C9322A" w:rsidRPr="00C14573" w:rsidRDefault="00C9322A" w:rsidP="00C9322A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  <w:r w:rsidRPr="00C14573">
        <w:rPr>
          <w:rFonts w:ascii="David" w:hAnsi="David" w:cs="David"/>
          <w:sz w:val="24"/>
          <w:szCs w:val="24"/>
          <w:rtl/>
        </w:rPr>
        <w:t>הודעה לעיתונות:</w:t>
      </w:r>
    </w:p>
    <w:p w:rsidR="009E07BE" w:rsidRPr="00C14573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  <w:bookmarkStart w:id="0" w:name="_GoBack"/>
    </w:p>
    <w:bookmarkEnd w:id="0"/>
    <w:p w:rsidR="00C9322A" w:rsidRPr="00C14573" w:rsidRDefault="00C9322A" w:rsidP="00F902C8">
      <w:pPr>
        <w:pStyle w:val="af4"/>
        <w:rPr>
          <w:rFonts w:ascii="David" w:hAnsi="David" w:cs="David"/>
          <w:rtl/>
        </w:rPr>
      </w:pPr>
      <w:r w:rsidRPr="00C14573">
        <w:rPr>
          <w:rFonts w:ascii="David" w:hAnsi="David" w:cs="David"/>
          <w:rtl/>
        </w:rPr>
        <w:t xml:space="preserve">התפתחות החוב </w:t>
      </w:r>
      <w:r w:rsidR="00802DF3" w:rsidRPr="00C14573">
        <w:rPr>
          <w:rFonts w:ascii="David" w:hAnsi="David" w:cs="David"/>
          <w:rtl/>
        </w:rPr>
        <w:t xml:space="preserve">של המגזר הפרטי </w:t>
      </w:r>
      <w:r w:rsidR="0077544B" w:rsidRPr="00C14573">
        <w:rPr>
          <w:rFonts w:ascii="David" w:hAnsi="David" w:cs="David"/>
          <w:rtl/>
        </w:rPr>
        <w:t>הלא</w:t>
      </w:r>
      <w:r w:rsidR="00E44E3D" w:rsidRPr="00C14573">
        <w:rPr>
          <w:rFonts w:ascii="David" w:hAnsi="David" w:cs="David"/>
          <w:rtl/>
        </w:rPr>
        <w:t>-</w:t>
      </w:r>
      <w:r w:rsidR="0077544B" w:rsidRPr="00C14573">
        <w:rPr>
          <w:rFonts w:ascii="David" w:hAnsi="David" w:cs="David"/>
          <w:rtl/>
        </w:rPr>
        <w:t xml:space="preserve">פיננסי </w:t>
      </w:r>
      <w:r w:rsidR="00FC2095" w:rsidRPr="00C14573">
        <w:rPr>
          <w:rFonts w:ascii="David" w:hAnsi="David" w:cs="David"/>
          <w:rtl/>
        </w:rPr>
        <w:t xml:space="preserve">ברביע </w:t>
      </w:r>
      <w:r w:rsidR="00E44E3D" w:rsidRPr="00C14573">
        <w:rPr>
          <w:rFonts w:ascii="David" w:hAnsi="David" w:cs="David"/>
          <w:rtl/>
        </w:rPr>
        <w:t>ה</w:t>
      </w:r>
      <w:r w:rsidR="00F902C8" w:rsidRPr="00C14573">
        <w:rPr>
          <w:rFonts w:ascii="David" w:hAnsi="David" w:cs="David"/>
          <w:rtl/>
        </w:rPr>
        <w:t>ראשון</w:t>
      </w:r>
      <w:r w:rsidR="00802DF3" w:rsidRPr="00C14573">
        <w:rPr>
          <w:rFonts w:ascii="David" w:hAnsi="David" w:cs="David"/>
          <w:rtl/>
        </w:rPr>
        <w:t xml:space="preserve"> של</w:t>
      </w:r>
      <w:r w:rsidRPr="00C14573">
        <w:rPr>
          <w:rFonts w:ascii="David" w:hAnsi="David" w:cs="David"/>
          <w:rtl/>
        </w:rPr>
        <w:t xml:space="preserve"> </w:t>
      </w:r>
      <w:r w:rsidR="00A06D00" w:rsidRPr="00C14573">
        <w:rPr>
          <w:rFonts w:ascii="David" w:hAnsi="David" w:cs="David"/>
          <w:rtl/>
        </w:rPr>
        <w:t>201</w:t>
      </w:r>
      <w:r w:rsidR="00F902C8" w:rsidRPr="00C14573">
        <w:rPr>
          <w:rFonts w:ascii="David" w:hAnsi="David" w:cs="David"/>
          <w:rtl/>
        </w:rPr>
        <w:t>9</w:t>
      </w:r>
    </w:p>
    <w:p w:rsidR="00260F11" w:rsidRPr="00C14573" w:rsidRDefault="00260F11" w:rsidP="00260F11">
      <w:pPr>
        <w:bidi/>
        <w:spacing w:line="360" w:lineRule="auto"/>
        <w:ind w:right="-101"/>
        <w:jc w:val="both"/>
        <w:rPr>
          <w:rFonts w:ascii="David" w:hAnsi="David" w:cs="David"/>
          <w:i/>
          <w:iCs/>
          <w:sz w:val="24"/>
          <w:szCs w:val="24"/>
          <w:rtl/>
        </w:rPr>
      </w:pPr>
    </w:p>
    <w:p w:rsidR="003030A9" w:rsidRPr="00C14573" w:rsidRDefault="003030A9" w:rsidP="00864546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C14573">
        <w:rPr>
          <w:rFonts w:ascii="David" w:hAnsi="David" w:cs="David"/>
          <w:sz w:val="24"/>
          <w:szCs w:val="24"/>
          <w:rtl/>
        </w:rPr>
        <w:t xml:space="preserve">יתרת החוב של </w:t>
      </w:r>
      <w:r w:rsidRPr="00C14573">
        <w:rPr>
          <w:rFonts w:ascii="David" w:hAnsi="David" w:cs="David"/>
          <w:b/>
          <w:bCs/>
          <w:sz w:val="24"/>
          <w:szCs w:val="24"/>
          <w:rtl/>
        </w:rPr>
        <w:t>המגזר הפרטי הלא-פיננסי</w:t>
      </w:r>
      <w:r w:rsidRPr="00C14573">
        <w:rPr>
          <w:rFonts w:ascii="David" w:hAnsi="David" w:cs="David"/>
          <w:sz w:val="24"/>
          <w:szCs w:val="24"/>
          <w:rtl/>
        </w:rPr>
        <w:t xml:space="preserve"> </w:t>
      </w:r>
      <w:r w:rsidR="00643343" w:rsidRPr="00C14573">
        <w:rPr>
          <w:rFonts w:ascii="David" w:hAnsi="David" w:cs="David"/>
          <w:sz w:val="24"/>
          <w:szCs w:val="24"/>
          <w:rtl/>
        </w:rPr>
        <w:t xml:space="preserve">גדלה ברביע הראשון של שנת 2019 </w:t>
      </w:r>
      <w:r w:rsidRPr="00C14573">
        <w:rPr>
          <w:rFonts w:ascii="David" w:hAnsi="David" w:cs="David"/>
          <w:sz w:val="24"/>
          <w:szCs w:val="24"/>
          <w:rtl/>
        </w:rPr>
        <w:t>בכ-</w:t>
      </w:r>
      <w:r w:rsidR="008E50B1" w:rsidRPr="00C14573">
        <w:rPr>
          <w:rFonts w:ascii="David" w:hAnsi="David" w:cs="David"/>
          <w:sz w:val="24"/>
          <w:szCs w:val="24"/>
          <w:rtl/>
        </w:rPr>
        <w:t xml:space="preserve">24 </w:t>
      </w:r>
      <w:r w:rsidRPr="00C14573">
        <w:rPr>
          <w:rFonts w:ascii="David" w:hAnsi="David" w:cs="David"/>
          <w:sz w:val="24"/>
          <w:szCs w:val="24"/>
          <w:rtl/>
        </w:rPr>
        <w:t>מיליארדי ש"ח (1.</w:t>
      </w:r>
      <w:r w:rsidR="008E50B1" w:rsidRPr="00C14573">
        <w:rPr>
          <w:rFonts w:ascii="David" w:hAnsi="David" w:cs="David"/>
          <w:sz w:val="24"/>
          <w:szCs w:val="24"/>
          <w:rtl/>
        </w:rPr>
        <w:t>6</w:t>
      </w:r>
      <w:r w:rsidRPr="00C14573">
        <w:rPr>
          <w:rFonts w:ascii="David" w:hAnsi="David" w:cs="David"/>
          <w:sz w:val="24"/>
          <w:szCs w:val="24"/>
          <w:rtl/>
        </w:rPr>
        <w:t>%) לרמה של כ-1.5 טריליוני ש"ח</w:t>
      </w:r>
      <w:r w:rsidR="00493882" w:rsidRPr="00C14573">
        <w:rPr>
          <w:rFonts w:ascii="David" w:hAnsi="David" w:cs="David"/>
          <w:sz w:val="24"/>
          <w:szCs w:val="24"/>
          <w:rtl/>
        </w:rPr>
        <w:t xml:space="preserve">. מרבית </w:t>
      </w:r>
      <w:r w:rsidR="00864546" w:rsidRPr="00C14573">
        <w:rPr>
          <w:rFonts w:ascii="David" w:hAnsi="David" w:cs="David"/>
          <w:sz w:val="24"/>
          <w:szCs w:val="24"/>
          <w:rtl/>
        </w:rPr>
        <w:t>ה</w:t>
      </w:r>
      <w:r w:rsidR="00493882" w:rsidRPr="00C14573">
        <w:rPr>
          <w:rFonts w:ascii="David" w:hAnsi="David" w:cs="David"/>
          <w:sz w:val="24"/>
          <w:szCs w:val="24"/>
          <w:rtl/>
        </w:rPr>
        <w:t>ע</w:t>
      </w:r>
      <w:r w:rsidR="00864546" w:rsidRPr="00C14573">
        <w:rPr>
          <w:rFonts w:ascii="David" w:hAnsi="David" w:cs="David"/>
          <w:sz w:val="24"/>
          <w:szCs w:val="24"/>
          <w:rtl/>
        </w:rPr>
        <w:t xml:space="preserve">לייה ביתרה זו מקורה </w:t>
      </w:r>
      <w:r w:rsidR="00493882" w:rsidRPr="00C14573">
        <w:rPr>
          <w:rFonts w:ascii="David" w:hAnsi="David" w:cs="David"/>
          <w:sz w:val="24"/>
          <w:szCs w:val="24"/>
          <w:rtl/>
        </w:rPr>
        <w:t xml:space="preserve">בגידול </w:t>
      </w:r>
      <w:r w:rsidR="00864546" w:rsidRPr="00C14573">
        <w:rPr>
          <w:rFonts w:ascii="David" w:hAnsi="David" w:cs="David"/>
          <w:sz w:val="24"/>
          <w:szCs w:val="24"/>
          <w:rtl/>
        </w:rPr>
        <w:t>ב</w:t>
      </w:r>
      <w:r w:rsidRPr="00C14573">
        <w:rPr>
          <w:rFonts w:ascii="David" w:hAnsi="David" w:cs="David"/>
          <w:sz w:val="24"/>
          <w:szCs w:val="24"/>
          <w:rtl/>
        </w:rPr>
        <w:t xml:space="preserve">יתרת החוב של </w:t>
      </w:r>
      <w:r w:rsidRPr="00C14573">
        <w:rPr>
          <w:rFonts w:ascii="David" w:hAnsi="David" w:cs="David"/>
          <w:b/>
          <w:bCs/>
          <w:sz w:val="24"/>
          <w:szCs w:val="24"/>
          <w:rtl/>
        </w:rPr>
        <w:t>המגזר העסקי</w:t>
      </w:r>
      <w:r w:rsidRPr="00C14573">
        <w:rPr>
          <w:rFonts w:ascii="David" w:hAnsi="David" w:cs="David"/>
          <w:sz w:val="24"/>
          <w:szCs w:val="24"/>
          <w:rtl/>
        </w:rPr>
        <w:t xml:space="preserve"> </w:t>
      </w:r>
      <w:r w:rsidR="00011D14" w:rsidRPr="00C14573">
        <w:rPr>
          <w:rFonts w:ascii="David" w:hAnsi="David" w:cs="David"/>
          <w:sz w:val="24"/>
          <w:szCs w:val="24"/>
          <w:rtl/>
        </w:rPr>
        <w:t>(</w:t>
      </w:r>
      <w:r w:rsidRPr="00C14573">
        <w:rPr>
          <w:rFonts w:ascii="David" w:hAnsi="David" w:cs="David"/>
          <w:sz w:val="24"/>
          <w:szCs w:val="24"/>
          <w:rtl/>
        </w:rPr>
        <w:t>כ-</w:t>
      </w:r>
      <w:r w:rsidR="008E50B1" w:rsidRPr="00C14573">
        <w:rPr>
          <w:rFonts w:ascii="David" w:hAnsi="David" w:cs="David"/>
          <w:sz w:val="24"/>
          <w:szCs w:val="24"/>
          <w:rtl/>
        </w:rPr>
        <w:t>19</w:t>
      </w:r>
      <w:r w:rsidRPr="00C14573">
        <w:rPr>
          <w:rFonts w:ascii="David" w:hAnsi="David" w:cs="David"/>
          <w:sz w:val="24"/>
          <w:szCs w:val="24"/>
          <w:rtl/>
        </w:rPr>
        <w:t xml:space="preserve"> מיליארדי ש"ח</w:t>
      </w:r>
      <w:r w:rsidR="00011D14" w:rsidRPr="00C14573">
        <w:rPr>
          <w:rFonts w:ascii="David" w:hAnsi="David" w:cs="David"/>
          <w:sz w:val="24"/>
          <w:szCs w:val="24"/>
          <w:rtl/>
        </w:rPr>
        <w:t>,</w:t>
      </w:r>
      <w:r w:rsidRPr="00C14573">
        <w:rPr>
          <w:rFonts w:ascii="David" w:hAnsi="David" w:cs="David"/>
          <w:sz w:val="24"/>
          <w:szCs w:val="24"/>
          <w:rtl/>
        </w:rPr>
        <w:t xml:space="preserve"> </w:t>
      </w:r>
      <w:r w:rsidR="008E50B1" w:rsidRPr="00C14573">
        <w:rPr>
          <w:rFonts w:ascii="David" w:hAnsi="David" w:cs="David"/>
          <w:sz w:val="24"/>
          <w:szCs w:val="24"/>
          <w:rtl/>
        </w:rPr>
        <w:t>2</w:t>
      </w:r>
      <w:r w:rsidR="00011D14" w:rsidRPr="00C14573">
        <w:rPr>
          <w:rFonts w:ascii="David" w:hAnsi="David" w:cs="David"/>
          <w:sz w:val="24"/>
          <w:szCs w:val="24"/>
          <w:rtl/>
        </w:rPr>
        <w:t>%)</w:t>
      </w:r>
      <w:r w:rsidR="00493882" w:rsidRPr="00C14573">
        <w:rPr>
          <w:rFonts w:ascii="David" w:hAnsi="David" w:cs="David"/>
          <w:sz w:val="24"/>
          <w:szCs w:val="24"/>
        </w:rPr>
        <w:t>;</w:t>
      </w:r>
      <w:r w:rsidR="00493882" w:rsidRPr="00C14573" w:rsidDel="00493882">
        <w:rPr>
          <w:rFonts w:ascii="David" w:hAnsi="David" w:cs="David"/>
          <w:sz w:val="24"/>
          <w:szCs w:val="24"/>
          <w:rtl/>
        </w:rPr>
        <w:t xml:space="preserve"> </w:t>
      </w:r>
      <w:r w:rsidR="00493882" w:rsidRPr="00C14573">
        <w:rPr>
          <w:rFonts w:ascii="David" w:hAnsi="David" w:cs="David"/>
          <w:sz w:val="24"/>
          <w:szCs w:val="24"/>
          <w:rtl/>
        </w:rPr>
        <w:t xml:space="preserve"> ביתרת החוב </w:t>
      </w:r>
      <w:r w:rsidR="00493882" w:rsidRPr="00C14573">
        <w:rPr>
          <w:rFonts w:ascii="David" w:hAnsi="David" w:cs="David"/>
          <w:b/>
          <w:bCs/>
          <w:sz w:val="24"/>
          <w:szCs w:val="24"/>
          <w:rtl/>
        </w:rPr>
        <w:t>של משקי הבית</w:t>
      </w:r>
      <w:r w:rsidR="00493882" w:rsidRPr="00C14573">
        <w:rPr>
          <w:rFonts w:ascii="David" w:hAnsi="David" w:cs="David"/>
          <w:sz w:val="24"/>
          <w:szCs w:val="24"/>
          <w:rtl/>
        </w:rPr>
        <w:t xml:space="preserve"> גדל</w:t>
      </w:r>
      <w:r w:rsidR="00864546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493882" w:rsidRPr="00C14573">
        <w:rPr>
          <w:rFonts w:ascii="David" w:hAnsi="David" w:cs="David"/>
          <w:sz w:val="24"/>
          <w:szCs w:val="24"/>
          <w:rtl/>
        </w:rPr>
        <w:t>בעיקר החוב לדיור.</w:t>
      </w:r>
    </w:p>
    <w:p w:rsidR="00643343" w:rsidRPr="00C14573" w:rsidRDefault="00643343" w:rsidP="00643343">
      <w:pPr>
        <w:bidi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</w:p>
    <w:p w:rsidR="009F574F" w:rsidRPr="00C14573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14573">
        <w:rPr>
          <w:rStyle w:val="10"/>
          <w:rFonts w:ascii="David" w:hAnsi="David" w:cs="David"/>
          <w:rtl/>
        </w:rPr>
        <w:t>החוב של המגזר העסקי</w:t>
      </w:r>
      <w:r w:rsidR="001E78A9" w:rsidRPr="00C14573">
        <w:rPr>
          <w:rStyle w:val="10"/>
          <w:rFonts w:ascii="David" w:hAnsi="David" w:cs="David"/>
          <w:rtl/>
        </w:rPr>
        <w:t xml:space="preserve"> הלא-פיננסי</w:t>
      </w:r>
      <w:r w:rsidR="00474B96" w:rsidRPr="00C14573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1"/>
      </w:r>
      <w:r w:rsidR="0028327B" w:rsidRPr="00C1457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850AB" w:rsidRPr="00C14573" w:rsidRDefault="0089040A" w:rsidP="00864546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C14573">
        <w:rPr>
          <w:rFonts w:ascii="David" w:hAnsi="David" w:cs="David"/>
          <w:sz w:val="24"/>
          <w:szCs w:val="24"/>
          <w:rtl/>
        </w:rPr>
        <w:t>מהחטיבה למידע ו</w:t>
      </w:r>
      <w:r w:rsidR="00882FBA" w:rsidRPr="00C14573">
        <w:rPr>
          <w:rFonts w:ascii="David" w:hAnsi="David" w:cs="David"/>
          <w:sz w:val="24"/>
          <w:szCs w:val="24"/>
          <w:rtl/>
        </w:rPr>
        <w:t>ל</w:t>
      </w:r>
      <w:r w:rsidRPr="00C14573">
        <w:rPr>
          <w:rFonts w:ascii="David" w:hAnsi="David" w:cs="David"/>
          <w:sz w:val="24"/>
          <w:szCs w:val="24"/>
          <w:rtl/>
        </w:rPr>
        <w:t xml:space="preserve">סטטיסטיקה נמסר, כי </w:t>
      </w:r>
      <w:r w:rsidR="00406F28" w:rsidRPr="00C14573">
        <w:rPr>
          <w:rFonts w:ascii="David" w:hAnsi="David" w:cs="David"/>
          <w:sz w:val="24"/>
          <w:szCs w:val="24"/>
          <w:rtl/>
        </w:rPr>
        <w:t xml:space="preserve">ברביע </w:t>
      </w:r>
      <w:r w:rsidR="00242FFE" w:rsidRPr="00C14573">
        <w:rPr>
          <w:rFonts w:ascii="David" w:hAnsi="David" w:cs="David"/>
          <w:sz w:val="24"/>
          <w:szCs w:val="24"/>
          <w:rtl/>
        </w:rPr>
        <w:t>ה</w:t>
      </w:r>
      <w:r w:rsidR="00635BDC" w:rsidRPr="00C14573">
        <w:rPr>
          <w:rFonts w:ascii="David" w:hAnsi="David" w:cs="David"/>
          <w:sz w:val="24"/>
          <w:szCs w:val="24"/>
          <w:rtl/>
        </w:rPr>
        <w:t xml:space="preserve">ראשון </w:t>
      </w:r>
      <w:r w:rsidR="00510ABA" w:rsidRPr="00C14573">
        <w:rPr>
          <w:rFonts w:ascii="David" w:hAnsi="David" w:cs="David"/>
          <w:sz w:val="24"/>
          <w:szCs w:val="24"/>
          <w:rtl/>
        </w:rPr>
        <w:t xml:space="preserve">של </w:t>
      </w:r>
      <w:r w:rsidR="00635BDC" w:rsidRPr="00C14573">
        <w:rPr>
          <w:rFonts w:ascii="David" w:hAnsi="David" w:cs="David"/>
          <w:sz w:val="24"/>
          <w:szCs w:val="24"/>
          <w:rtl/>
        </w:rPr>
        <w:t>שנת 2019</w:t>
      </w:r>
      <w:r w:rsidR="000F7E97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602DED" w:rsidRPr="00C14573">
        <w:rPr>
          <w:rFonts w:ascii="David" w:hAnsi="David" w:cs="David"/>
          <w:sz w:val="24"/>
          <w:szCs w:val="24"/>
          <w:rtl/>
        </w:rPr>
        <w:t>גדלה</w:t>
      </w:r>
      <w:r w:rsidR="00807054" w:rsidRPr="00C14573">
        <w:rPr>
          <w:rFonts w:ascii="David" w:hAnsi="David" w:cs="David"/>
          <w:sz w:val="24"/>
          <w:szCs w:val="24"/>
          <w:rtl/>
        </w:rPr>
        <w:t xml:space="preserve"> יתרת ה</w:t>
      </w:r>
      <w:r w:rsidR="00340B38" w:rsidRPr="00C14573">
        <w:rPr>
          <w:rFonts w:ascii="David" w:hAnsi="David" w:cs="David"/>
          <w:sz w:val="24"/>
          <w:szCs w:val="24"/>
          <w:rtl/>
        </w:rPr>
        <w:t xml:space="preserve">חוב של המגזר העסקי </w:t>
      </w:r>
      <w:r w:rsidR="00807054" w:rsidRPr="00C14573">
        <w:rPr>
          <w:rFonts w:ascii="David" w:hAnsi="David" w:cs="David"/>
          <w:sz w:val="24"/>
          <w:szCs w:val="24"/>
          <w:rtl/>
        </w:rPr>
        <w:t>בכ-</w:t>
      </w:r>
      <w:r w:rsidR="00635BDC" w:rsidRPr="00C14573">
        <w:rPr>
          <w:rFonts w:ascii="David" w:hAnsi="David" w:cs="David"/>
          <w:sz w:val="24"/>
          <w:szCs w:val="24"/>
          <w:rtl/>
        </w:rPr>
        <w:t>19</w:t>
      </w:r>
      <w:r w:rsidR="00807054" w:rsidRPr="00C14573">
        <w:rPr>
          <w:rFonts w:ascii="David" w:hAnsi="David" w:cs="David"/>
          <w:sz w:val="24"/>
          <w:szCs w:val="24"/>
          <w:rtl/>
        </w:rPr>
        <w:t xml:space="preserve"> מיליארדי ש"ח (</w:t>
      </w:r>
      <w:r w:rsidR="00635BDC" w:rsidRPr="00C14573">
        <w:rPr>
          <w:rFonts w:ascii="David" w:hAnsi="David" w:cs="David"/>
          <w:sz w:val="24"/>
          <w:szCs w:val="24"/>
          <w:rtl/>
        </w:rPr>
        <w:t>2</w:t>
      </w:r>
      <w:r w:rsidR="00132A42" w:rsidRPr="00C14573">
        <w:rPr>
          <w:rFonts w:ascii="David" w:hAnsi="David" w:cs="David"/>
          <w:sz w:val="24"/>
          <w:szCs w:val="24"/>
          <w:rtl/>
        </w:rPr>
        <w:t xml:space="preserve">%) </w:t>
      </w:r>
      <w:r w:rsidR="00807054" w:rsidRPr="00C14573">
        <w:rPr>
          <w:rFonts w:ascii="David" w:hAnsi="David" w:cs="David"/>
          <w:sz w:val="24"/>
          <w:szCs w:val="24"/>
          <w:rtl/>
        </w:rPr>
        <w:t>לרמה של כ-</w:t>
      </w:r>
      <w:r w:rsidR="00635BDC" w:rsidRPr="00C14573">
        <w:rPr>
          <w:rFonts w:ascii="David" w:hAnsi="David" w:cs="David"/>
          <w:sz w:val="24"/>
          <w:szCs w:val="24"/>
          <w:rtl/>
        </w:rPr>
        <w:t>942</w:t>
      </w:r>
      <w:r w:rsidR="00132A42" w:rsidRPr="00C14573">
        <w:rPr>
          <w:rFonts w:ascii="David" w:hAnsi="David" w:cs="David"/>
          <w:sz w:val="24"/>
          <w:szCs w:val="24"/>
          <w:rtl/>
        </w:rPr>
        <w:t xml:space="preserve"> מיליארדים</w:t>
      </w:r>
      <w:r w:rsidR="00602DED" w:rsidRPr="00C14573">
        <w:rPr>
          <w:rFonts w:ascii="David" w:hAnsi="David" w:cs="David"/>
          <w:sz w:val="24"/>
          <w:szCs w:val="24"/>
          <w:rtl/>
        </w:rPr>
        <w:t xml:space="preserve">. העלייה ביתרת החוב נבעה בעיקר </w:t>
      </w:r>
      <w:r w:rsidR="00635BDC" w:rsidRPr="00C14573">
        <w:rPr>
          <w:rFonts w:ascii="David" w:hAnsi="David" w:cs="David"/>
          <w:sz w:val="24"/>
          <w:szCs w:val="24"/>
          <w:rtl/>
        </w:rPr>
        <w:t xml:space="preserve">מגידול כמותי משמעותי שהסתכם בכ-26 מיליארדי ש"ח והורכב בעיקרו מהלוואות בנקאיות והלוואות מתושבי חוץ. </w:t>
      </w:r>
    </w:p>
    <w:p w:rsidR="00340B38" w:rsidRPr="00C14573" w:rsidRDefault="00635BDC" w:rsidP="00864546">
      <w:pPr>
        <w:pStyle w:val="a9"/>
        <w:bidi/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r w:rsidRPr="00C14573">
        <w:rPr>
          <w:rFonts w:ascii="David" w:hAnsi="David" w:cs="David"/>
          <w:sz w:val="24"/>
          <w:szCs w:val="24"/>
          <w:rtl/>
        </w:rPr>
        <w:t>עלייה זו קוזזה בחלקה כתוצאה מייסוף של כ-3.1%</w:t>
      </w:r>
      <w:r w:rsidR="00602DED" w:rsidRPr="00C14573">
        <w:rPr>
          <w:rFonts w:ascii="David" w:hAnsi="David" w:cs="David"/>
          <w:sz w:val="24"/>
          <w:szCs w:val="24"/>
          <w:rtl/>
        </w:rPr>
        <w:t xml:space="preserve"> בשער החליפין של השקל מול הדולר שה</w:t>
      </w:r>
      <w:r w:rsidRPr="00C14573">
        <w:rPr>
          <w:rFonts w:ascii="David" w:hAnsi="David" w:cs="David"/>
          <w:sz w:val="24"/>
          <w:szCs w:val="24"/>
          <w:rtl/>
        </w:rPr>
        <w:t xml:space="preserve">קטין </w:t>
      </w:r>
      <w:r w:rsidR="00602DED" w:rsidRPr="00C14573">
        <w:rPr>
          <w:rFonts w:ascii="David" w:hAnsi="David" w:cs="David"/>
          <w:sz w:val="24"/>
          <w:szCs w:val="24"/>
          <w:rtl/>
        </w:rPr>
        <w:t xml:space="preserve">את השווי של החוב הנקוב במט"ח והצמוד לו. </w:t>
      </w:r>
      <w:r w:rsidR="00864546" w:rsidRPr="00C14573">
        <w:rPr>
          <w:rFonts w:ascii="David" w:hAnsi="David" w:cs="David"/>
          <w:sz w:val="24"/>
          <w:szCs w:val="24"/>
          <w:rtl/>
        </w:rPr>
        <w:t>(איור 1)</w:t>
      </w:r>
    </w:p>
    <w:p w:rsidR="002A51F1" w:rsidRPr="00C14573" w:rsidRDefault="004C43DC" w:rsidP="00D850AB">
      <w:pPr>
        <w:pStyle w:val="a9"/>
        <w:numPr>
          <w:ilvl w:val="0"/>
          <w:numId w:val="8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C14573">
        <w:rPr>
          <w:rFonts w:ascii="David" w:hAnsi="David" w:cs="David"/>
          <w:sz w:val="24"/>
          <w:szCs w:val="24"/>
          <w:rtl/>
        </w:rPr>
        <w:t xml:space="preserve">ברביע </w:t>
      </w:r>
      <w:r w:rsidR="00670D97" w:rsidRPr="00C14573">
        <w:rPr>
          <w:rFonts w:ascii="David" w:hAnsi="David" w:cs="David"/>
          <w:sz w:val="24"/>
          <w:szCs w:val="24"/>
          <w:rtl/>
        </w:rPr>
        <w:t>ה</w:t>
      </w:r>
      <w:r w:rsidR="006042F7" w:rsidRPr="00C14573">
        <w:rPr>
          <w:rFonts w:ascii="David" w:hAnsi="David" w:cs="David"/>
          <w:sz w:val="24"/>
          <w:szCs w:val="24"/>
          <w:rtl/>
        </w:rPr>
        <w:t>ר</w:t>
      </w:r>
      <w:r w:rsidR="00474B96" w:rsidRPr="00C14573">
        <w:rPr>
          <w:rFonts w:ascii="David" w:hAnsi="David" w:cs="David"/>
          <w:sz w:val="24"/>
          <w:szCs w:val="24"/>
          <w:rtl/>
        </w:rPr>
        <w:t xml:space="preserve">אשון </w:t>
      </w:r>
      <w:r w:rsidR="00E335BB" w:rsidRPr="00C14573">
        <w:rPr>
          <w:rFonts w:ascii="David" w:hAnsi="David" w:cs="David"/>
          <w:sz w:val="24"/>
          <w:szCs w:val="24"/>
          <w:rtl/>
        </w:rPr>
        <w:t xml:space="preserve">של השנה </w:t>
      </w:r>
      <w:r w:rsidRPr="00C14573">
        <w:rPr>
          <w:rFonts w:ascii="David" w:hAnsi="David" w:cs="David"/>
          <w:b/>
          <w:bCs/>
          <w:sz w:val="24"/>
          <w:szCs w:val="24"/>
          <w:rtl/>
        </w:rPr>
        <w:t>הנפיק המגזר העסקי</w:t>
      </w:r>
      <w:r w:rsidRPr="00C14573">
        <w:rPr>
          <w:rFonts w:ascii="David" w:hAnsi="David" w:cs="David"/>
          <w:sz w:val="24"/>
          <w:szCs w:val="24"/>
          <w:rtl/>
        </w:rPr>
        <w:t xml:space="preserve"> אג"ח בשווי של כ-</w:t>
      </w:r>
      <w:r w:rsidR="00D850AB" w:rsidRPr="00C14573">
        <w:rPr>
          <w:rFonts w:ascii="David" w:hAnsi="David" w:cs="David"/>
          <w:sz w:val="24"/>
          <w:szCs w:val="24"/>
          <w:rtl/>
        </w:rPr>
        <w:t>9</w:t>
      </w:r>
      <w:r w:rsidR="00804AEF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C14573">
        <w:rPr>
          <w:rFonts w:ascii="David" w:hAnsi="David" w:cs="David"/>
          <w:sz w:val="24"/>
          <w:szCs w:val="24"/>
          <w:rtl/>
        </w:rPr>
        <w:t>מיליארדי ש"ח</w:t>
      </w:r>
      <w:r w:rsidR="00670D97" w:rsidRPr="00C14573">
        <w:rPr>
          <w:rFonts w:ascii="David" w:hAnsi="David" w:cs="David"/>
          <w:sz w:val="24"/>
          <w:szCs w:val="24"/>
          <w:rtl/>
        </w:rPr>
        <w:t>,</w:t>
      </w:r>
      <w:r w:rsidR="00804AEF" w:rsidRPr="00C14573">
        <w:rPr>
          <w:rFonts w:ascii="David" w:hAnsi="David" w:cs="David"/>
          <w:sz w:val="24"/>
          <w:szCs w:val="24"/>
          <w:rtl/>
        </w:rPr>
        <w:t xml:space="preserve"> נמוך </w:t>
      </w:r>
      <w:r w:rsidR="00474B96" w:rsidRPr="00C14573">
        <w:rPr>
          <w:rFonts w:ascii="David" w:hAnsi="David" w:cs="David"/>
          <w:sz w:val="24"/>
          <w:szCs w:val="24"/>
          <w:rtl/>
        </w:rPr>
        <w:t xml:space="preserve">מעט </w:t>
      </w:r>
      <w:r w:rsidR="00804AEF" w:rsidRPr="00C14573">
        <w:rPr>
          <w:rFonts w:ascii="David" w:hAnsi="David" w:cs="David"/>
          <w:sz w:val="24"/>
          <w:szCs w:val="24"/>
          <w:rtl/>
        </w:rPr>
        <w:t>מ</w:t>
      </w:r>
      <w:r w:rsidR="00474B96" w:rsidRPr="00C14573">
        <w:rPr>
          <w:rFonts w:ascii="David" w:hAnsi="David" w:cs="David"/>
          <w:sz w:val="24"/>
          <w:szCs w:val="24"/>
          <w:rtl/>
        </w:rPr>
        <w:t>מ</w:t>
      </w:r>
      <w:r w:rsidR="00804AEF" w:rsidRPr="00C14573">
        <w:rPr>
          <w:rFonts w:ascii="David" w:hAnsi="David" w:cs="David"/>
          <w:sz w:val="24"/>
          <w:szCs w:val="24"/>
          <w:rtl/>
        </w:rPr>
        <w:t>מוצע הגיוסים ב</w:t>
      </w:r>
      <w:r w:rsidR="00474B96" w:rsidRPr="00C14573">
        <w:rPr>
          <w:rFonts w:ascii="David" w:hAnsi="David" w:cs="David"/>
          <w:sz w:val="24"/>
          <w:szCs w:val="24"/>
          <w:rtl/>
        </w:rPr>
        <w:t xml:space="preserve">שנת 2018 </w:t>
      </w:r>
      <w:r w:rsidR="00804AEF" w:rsidRPr="00C14573">
        <w:rPr>
          <w:rFonts w:ascii="David" w:hAnsi="David" w:cs="David"/>
          <w:sz w:val="24"/>
          <w:szCs w:val="24"/>
          <w:rtl/>
        </w:rPr>
        <w:t>(כ-</w:t>
      </w:r>
      <w:r w:rsidR="00474B96" w:rsidRPr="00C14573">
        <w:rPr>
          <w:rFonts w:ascii="David" w:hAnsi="David" w:cs="David"/>
          <w:sz w:val="24"/>
          <w:szCs w:val="24"/>
          <w:rtl/>
        </w:rPr>
        <w:t>9.7</w:t>
      </w:r>
      <w:r w:rsidR="00804AEF" w:rsidRPr="00C14573">
        <w:rPr>
          <w:rFonts w:ascii="David" w:hAnsi="David" w:cs="David"/>
          <w:sz w:val="24"/>
          <w:szCs w:val="24"/>
          <w:rtl/>
        </w:rPr>
        <w:t xml:space="preserve"> מיליארדים </w:t>
      </w:r>
      <w:r w:rsidR="00474B96" w:rsidRPr="00C14573">
        <w:rPr>
          <w:rFonts w:ascii="David" w:hAnsi="David" w:cs="David"/>
          <w:sz w:val="24"/>
          <w:szCs w:val="24"/>
          <w:rtl/>
        </w:rPr>
        <w:t>בממוצע ל</w:t>
      </w:r>
      <w:r w:rsidR="00804AEF" w:rsidRPr="00C14573">
        <w:rPr>
          <w:rFonts w:ascii="David" w:hAnsi="David" w:cs="David"/>
          <w:sz w:val="24"/>
          <w:szCs w:val="24"/>
          <w:rtl/>
        </w:rPr>
        <w:t>רביע)</w:t>
      </w:r>
      <w:r w:rsidR="002A51F1" w:rsidRPr="00C14573">
        <w:rPr>
          <w:rFonts w:ascii="David" w:hAnsi="David" w:cs="David"/>
          <w:sz w:val="24"/>
          <w:szCs w:val="24"/>
          <w:rtl/>
        </w:rPr>
        <w:t xml:space="preserve">. </w:t>
      </w:r>
      <w:r w:rsidR="000F7E97" w:rsidRPr="00C14573">
        <w:rPr>
          <w:rFonts w:ascii="David" w:hAnsi="David" w:cs="David"/>
          <w:sz w:val="24"/>
          <w:szCs w:val="24"/>
          <w:rtl/>
        </w:rPr>
        <w:t xml:space="preserve">ענף </w:t>
      </w:r>
      <w:r w:rsidR="00804AEF" w:rsidRPr="00C14573">
        <w:rPr>
          <w:rFonts w:ascii="David" w:hAnsi="David" w:cs="David"/>
          <w:sz w:val="24"/>
          <w:szCs w:val="24"/>
          <w:rtl/>
        </w:rPr>
        <w:t xml:space="preserve">הנדל"ן והבינוי </w:t>
      </w:r>
      <w:r w:rsidR="00474B96" w:rsidRPr="00C14573">
        <w:rPr>
          <w:rFonts w:ascii="David" w:hAnsi="David" w:cs="David"/>
          <w:sz w:val="24"/>
          <w:szCs w:val="24"/>
          <w:rtl/>
        </w:rPr>
        <w:t>המשיך להוביל בגיוסים (</w:t>
      </w:r>
      <w:r w:rsidR="000F7E97" w:rsidRPr="00C14573">
        <w:rPr>
          <w:rFonts w:ascii="David" w:hAnsi="David" w:cs="David"/>
          <w:sz w:val="24"/>
          <w:szCs w:val="24"/>
          <w:rtl/>
        </w:rPr>
        <w:t>כ-</w:t>
      </w:r>
      <w:r w:rsidR="00474B96" w:rsidRPr="00C14573">
        <w:rPr>
          <w:rFonts w:ascii="David" w:hAnsi="David" w:cs="David"/>
          <w:sz w:val="24"/>
          <w:szCs w:val="24"/>
          <w:rtl/>
        </w:rPr>
        <w:t>68</w:t>
      </w:r>
      <w:r w:rsidR="000F7E97" w:rsidRPr="00C14573">
        <w:rPr>
          <w:rFonts w:ascii="David" w:hAnsi="David" w:cs="David"/>
          <w:sz w:val="24"/>
          <w:szCs w:val="24"/>
          <w:rtl/>
        </w:rPr>
        <w:t>% מסך הגיוסים)</w:t>
      </w:r>
      <w:r w:rsidR="00981FA3" w:rsidRPr="00C14573">
        <w:rPr>
          <w:rFonts w:ascii="David" w:hAnsi="David" w:cs="David"/>
          <w:sz w:val="24"/>
          <w:szCs w:val="24"/>
          <w:rtl/>
        </w:rPr>
        <w:t xml:space="preserve">. </w:t>
      </w:r>
      <w:r w:rsidR="00695929" w:rsidRPr="00C14573">
        <w:rPr>
          <w:rFonts w:ascii="David" w:hAnsi="David" w:cs="David"/>
          <w:sz w:val="24"/>
          <w:szCs w:val="24"/>
          <w:rtl/>
        </w:rPr>
        <w:t>ב</w:t>
      </w:r>
      <w:r w:rsidR="00DE3E4A" w:rsidRPr="00C14573">
        <w:rPr>
          <w:rFonts w:ascii="David" w:hAnsi="David" w:cs="David"/>
          <w:sz w:val="24"/>
          <w:szCs w:val="24"/>
          <w:rtl/>
        </w:rPr>
        <w:t xml:space="preserve">אפריל </w:t>
      </w:r>
      <w:r w:rsidR="00695929" w:rsidRPr="00C14573">
        <w:rPr>
          <w:rFonts w:ascii="David" w:hAnsi="David" w:cs="David"/>
          <w:sz w:val="24"/>
          <w:szCs w:val="24"/>
          <w:rtl/>
        </w:rPr>
        <w:t>201</w:t>
      </w:r>
      <w:r w:rsidR="00416818" w:rsidRPr="00C14573">
        <w:rPr>
          <w:rFonts w:ascii="David" w:hAnsi="David" w:cs="David"/>
          <w:sz w:val="24"/>
          <w:szCs w:val="24"/>
          <w:rtl/>
        </w:rPr>
        <w:t>9</w:t>
      </w:r>
      <w:r w:rsidR="00695929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C14573">
        <w:rPr>
          <w:rFonts w:ascii="David" w:hAnsi="David" w:cs="David"/>
          <w:sz w:val="24"/>
          <w:szCs w:val="24"/>
          <w:rtl/>
        </w:rPr>
        <w:t>הנפיק המגזר העסקי אג"ח בשווי של כ-</w:t>
      </w:r>
      <w:r w:rsidR="00DE3E4A" w:rsidRPr="00C14573">
        <w:rPr>
          <w:rFonts w:ascii="David" w:hAnsi="David" w:cs="David"/>
          <w:sz w:val="24"/>
          <w:szCs w:val="24"/>
          <w:rtl/>
        </w:rPr>
        <w:t>3.3</w:t>
      </w:r>
      <w:r w:rsidR="002A51F1" w:rsidRPr="00C14573">
        <w:rPr>
          <w:rFonts w:ascii="David" w:hAnsi="David" w:cs="David"/>
          <w:sz w:val="24"/>
          <w:szCs w:val="24"/>
          <w:rtl/>
        </w:rPr>
        <w:t xml:space="preserve"> מיליארדי ש"ח, רובן באג"ח סחירות</w:t>
      </w:r>
      <w:r w:rsidR="00DE3E4A" w:rsidRPr="00C14573">
        <w:rPr>
          <w:rFonts w:ascii="David" w:hAnsi="David" w:cs="David"/>
          <w:sz w:val="24"/>
          <w:szCs w:val="24"/>
          <w:rtl/>
        </w:rPr>
        <w:t xml:space="preserve">. </w:t>
      </w:r>
      <w:r w:rsidR="00070391" w:rsidRPr="00C14573">
        <w:rPr>
          <w:rFonts w:ascii="David" w:hAnsi="David" w:cs="David"/>
          <w:sz w:val="24"/>
          <w:szCs w:val="24"/>
          <w:rtl/>
        </w:rPr>
        <w:t>(איור 3)</w:t>
      </w:r>
    </w:p>
    <w:p w:rsidR="00E44E3D" w:rsidRPr="00C14573" w:rsidRDefault="00B17282" w:rsidP="00BD4578">
      <w:pPr>
        <w:pStyle w:val="a9"/>
        <w:numPr>
          <w:ilvl w:val="0"/>
          <w:numId w:val="8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C14573">
        <w:rPr>
          <w:rFonts w:ascii="David" w:hAnsi="David" w:cs="David"/>
          <w:sz w:val="24"/>
          <w:szCs w:val="24"/>
          <w:rtl/>
        </w:rPr>
        <w:lastRenderedPageBreak/>
        <w:t>ברביע ה</w:t>
      </w:r>
      <w:r w:rsidR="00260F11" w:rsidRPr="00C14573">
        <w:rPr>
          <w:rFonts w:ascii="David" w:hAnsi="David" w:cs="David"/>
          <w:sz w:val="24"/>
          <w:szCs w:val="24"/>
          <w:rtl/>
        </w:rPr>
        <w:t>ר</w:t>
      </w:r>
      <w:r w:rsidR="00284B68" w:rsidRPr="00C14573">
        <w:rPr>
          <w:rFonts w:ascii="David" w:hAnsi="David" w:cs="David"/>
          <w:sz w:val="24"/>
          <w:szCs w:val="24"/>
          <w:rtl/>
        </w:rPr>
        <w:t>אשון</w:t>
      </w:r>
      <w:r w:rsidRPr="00C14573">
        <w:rPr>
          <w:rFonts w:ascii="David" w:hAnsi="David" w:cs="David"/>
          <w:sz w:val="24"/>
          <w:szCs w:val="24"/>
          <w:rtl/>
        </w:rPr>
        <w:t xml:space="preserve"> של השנה </w:t>
      </w:r>
      <w:r w:rsidR="00985B74" w:rsidRPr="00C14573">
        <w:rPr>
          <w:rFonts w:ascii="David" w:hAnsi="David" w:cs="David"/>
          <w:b/>
          <w:bCs/>
          <w:sz w:val="24"/>
          <w:szCs w:val="24"/>
          <w:rtl/>
        </w:rPr>
        <w:t>ה</w:t>
      </w:r>
      <w:r w:rsidR="00416818" w:rsidRPr="00C14573">
        <w:rPr>
          <w:rFonts w:ascii="David" w:hAnsi="David" w:cs="David"/>
          <w:b/>
          <w:bCs/>
          <w:sz w:val="24"/>
          <w:szCs w:val="24"/>
          <w:rtl/>
        </w:rPr>
        <w:t xml:space="preserve">מרווח בין תשואת </w:t>
      </w:r>
      <w:proofErr w:type="spellStart"/>
      <w:r w:rsidR="00BD4578" w:rsidRPr="00C14573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BD4578" w:rsidRPr="00C1457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BD4578" w:rsidRPr="00C14573">
        <w:rPr>
          <w:rFonts w:ascii="David" w:hAnsi="David" w:cs="David"/>
          <w:b/>
          <w:bCs/>
          <w:sz w:val="24"/>
          <w:szCs w:val="24"/>
          <w:rtl/>
        </w:rPr>
        <w:t>הקונצרניות</w:t>
      </w:r>
      <w:proofErr w:type="spellEnd"/>
      <w:r w:rsidR="00BD4578" w:rsidRPr="00C14573">
        <w:rPr>
          <w:rFonts w:ascii="David" w:hAnsi="David" w:cs="David"/>
          <w:b/>
          <w:bCs/>
          <w:sz w:val="24"/>
          <w:szCs w:val="24"/>
          <w:rtl/>
        </w:rPr>
        <w:t xml:space="preserve"> הכלולות במדד</w:t>
      </w:r>
      <w:r w:rsidR="00985B74" w:rsidRPr="00C14573">
        <w:rPr>
          <w:rFonts w:ascii="David" w:hAnsi="David" w:cs="David"/>
          <w:b/>
          <w:bCs/>
          <w:sz w:val="24"/>
          <w:szCs w:val="24"/>
          <w:rtl/>
        </w:rPr>
        <w:t xml:space="preserve"> תל בונד 60, לבין תשואת </w:t>
      </w:r>
      <w:proofErr w:type="spellStart"/>
      <w:r w:rsidR="00985B74" w:rsidRPr="00C14573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985B74" w:rsidRPr="00C14573">
        <w:rPr>
          <w:rFonts w:ascii="David" w:hAnsi="David" w:cs="David"/>
          <w:b/>
          <w:bCs/>
          <w:sz w:val="24"/>
          <w:szCs w:val="24"/>
          <w:rtl/>
        </w:rPr>
        <w:t xml:space="preserve"> הממשלתיות </w:t>
      </w:r>
      <w:r w:rsidR="00DA4279" w:rsidRPr="00C14573">
        <w:rPr>
          <w:rFonts w:ascii="David" w:hAnsi="David" w:cs="David"/>
          <w:b/>
          <w:bCs/>
          <w:sz w:val="24"/>
          <w:szCs w:val="24"/>
          <w:rtl/>
        </w:rPr>
        <w:t>הצמודות</w:t>
      </w:r>
      <w:r w:rsidR="00DA4279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166C6B" w:rsidRPr="00C14573">
        <w:rPr>
          <w:rFonts w:ascii="David" w:hAnsi="David" w:cs="David"/>
          <w:sz w:val="24"/>
          <w:szCs w:val="24"/>
          <w:rtl/>
        </w:rPr>
        <w:t>ה</w:t>
      </w:r>
      <w:r w:rsidR="00284B68" w:rsidRPr="00C14573">
        <w:rPr>
          <w:rFonts w:ascii="David" w:hAnsi="David" w:cs="David"/>
          <w:sz w:val="24"/>
          <w:szCs w:val="24"/>
          <w:rtl/>
        </w:rPr>
        <w:t>צטמצם</w:t>
      </w:r>
      <w:r w:rsidR="009B7097" w:rsidRPr="00C14573">
        <w:rPr>
          <w:rFonts w:ascii="David" w:hAnsi="David" w:cs="David"/>
          <w:sz w:val="24"/>
          <w:szCs w:val="24"/>
          <w:rtl/>
        </w:rPr>
        <w:t xml:space="preserve"> בכ-</w:t>
      </w:r>
      <w:r w:rsidRPr="00C14573">
        <w:rPr>
          <w:rFonts w:ascii="David" w:hAnsi="David" w:cs="David"/>
          <w:sz w:val="24"/>
          <w:szCs w:val="24"/>
          <w:rtl/>
        </w:rPr>
        <w:t>0.</w:t>
      </w:r>
      <w:r w:rsidR="00284B68" w:rsidRPr="00C14573">
        <w:rPr>
          <w:rFonts w:ascii="David" w:hAnsi="David" w:cs="David"/>
          <w:sz w:val="24"/>
          <w:szCs w:val="24"/>
          <w:rtl/>
        </w:rPr>
        <w:t>3</w:t>
      </w:r>
      <w:r w:rsidR="009B7097" w:rsidRPr="00C14573">
        <w:rPr>
          <w:rFonts w:ascii="David" w:hAnsi="David" w:cs="David"/>
          <w:sz w:val="24"/>
          <w:szCs w:val="24"/>
          <w:rtl/>
        </w:rPr>
        <w:t xml:space="preserve"> נק' האחוז</w:t>
      </w:r>
      <w:r w:rsidR="00DA4279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416818" w:rsidRPr="00C14573">
        <w:rPr>
          <w:rFonts w:ascii="David" w:hAnsi="David" w:cs="David"/>
          <w:sz w:val="24"/>
          <w:szCs w:val="24"/>
          <w:rtl/>
        </w:rPr>
        <w:t>ל</w:t>
      </w:r>
      <w:r w:rsidR="002C2286" w:rsidRPr="00C14573">
        <w:rPr>
          <w:rFonts w:ascii="David" w:hAnsi="David" w:cs="David"/>
          <w:sz w:val="24"/>
          <w:szCs w:val="24"/>
          <w:rtl/>
        </w:rPr>
        <w:t>כ-</w:t>
      </w:r>
      <w:r w:rsidR="00260F11" w:rsidRPr="00C14573">
        <w:rPr>
          <w:rFonts w:ascii="David" w:hAnsi="David" w:cs="David"/>
          <w:sz w:val="24"/>
          <w:szCs w:val="24"/>
          <w:rtl/>
        </w:rPr>
        <w:t>1.</w:t>
      </w:r>
      <w:r w:rsidR="00284B68" w:rsidRPr="00C14573">
        <w:rPr>
          <w:rFonts w:ascii="David" w:hAnsi="David" w:cs="David"/>
          <w:sz w:val="24"/>
          <w:szCs w:val="24"/>
          <w:rtl/>
        </w:rPr>
        <w:t>22</w:t>
      </w:r>
      <w:r w:rsidRPr="00C14573">
        <w:rPr>
          <w:rFonts w:ascii="David" w:hAnsi="David" w:cs="David"/>
          <w:sz w:val="24"/>
          <w:szCs w:val="24"/>
          <w:rtl/>
        </w:rPr>
        <w:t xml:space="preserve"> נק' האחוז</w:t>
      </w:r>
      <w:r w:rsidR="002C2286" w:rsidRPr="00C14573">
        <w:rPr>
          <w:rFonts w:ascii="David" w:hAnsi="David" w:cs="David"/>
          <w:sz w:val="24"/>
          <w:szCs w:val="24"/>
          <w:rtl/>
        </w:rPr>
        <w:t xml:space="preserve">, </w:t>
      </w:r>
      <w:r w:rsidRPr="00C14573">
        <w:rPr>
          <w:rFonts w:ascii="David" w:hAnsi="David" w:cs="David"/>
          <w:sz w:val="24"/>
          <w:szCs w:val="24"/>
          <w:rtl/>
        </w:rPr>
        <w:t xml:space="preserve">זאת לאחר </w:t>
      </w:r>
      <w:r w:rsidR="002C2286" w:rsidRPr="00C14573">
        <w:rPr>
          <w:rFonts w:ascii="David" w:hAnsi="David" w:cs="David"/>
          <w:sz w:val="24"/>
          <w:szCs w:val="24"/>
          <w:rtl/>
        </w:rPr>
        <w:t>ה</w:t>
      </w:r>
      <w:r w:rsidR="00284B68" w:rsidRPr="00C14573">
        <w:rPr>
          <w:rFonts w:ascii="David" w:hAnsi="David" w:cs="David"/>
          <w:sz w:val="24"/>
          <w:szCs w:val="24"/>
          <w:rtl/>
        </w:rPr>
        <w:t>תרחבות</w:t>
      </w:r>
      <w:r w:rsidRPr="00C14573">
        <w:rPr>
          <w:rFonts w:ascii="David" w:hAnsi="David" w:cs="David"/>
          <w:sz w:val="24"/>
          <w:szCs w:val="24"/>
          <w:rtl/>
        </w:rPr>
        <w:t xml:space="preserve"> </w:t>
      </w:r>
      <w:r w:rsidR="00561E57" w:rsidRPr="00C14573">
        <w:rPr>
          <w:rFonts w:ascii="David" w:hAnsi="David" w:cs="David"/>
          <w:sz w:val="24"/>
          <w:szCs w:val="24"/>
          <w:rtl/>
        </w:rPr>
        <w:t>של כ-0.</w:t>
      </w:r>
      <w:r w:rsidR="00284B68" w:rsidRPr="00C14573">
        <w:rPr>
          <w:rFonts w:ascii="David" w:hAnsi="David" w:cs="David"/>
          <w:sz w:val="24"/>
          <w:szCs w:val="24"/>
          <w:rtl/>
        </w:rPr>
        <w:t>5</w:t>
      </w:r>
      <w:r w:rsidR="00561E57" w:rsidRPr="00C14573">
        <w:rPr>
          <w:rFonts w:ascii="David" w:hAnsi="David" w:cs="David"/>
          <w:sz w:val="24"/>
          <w:szCs w:val="24"/>
          <w:rtl/>
        </w:rPr>
        <w:t xml:space="preserve"> נק' האחוז </w:t>
      </w:r>
      <w:r w:rsidRPr="00C14573">
        <w:rPr>
          <w:rFonts w:ascii="David" w:hAnsi="David" w:cs="David"/>
          <w:sz w:val="24"/>
          <w:szCs w:val="24"/>
          <w:rtl/>
        </w:rPr>
        <w:t>ברביע ה</w:t>
      </w:r>
      <w:r w:rsidR="004169F7" w:rsidRPr="00C14573">
        <w:rPr>
          <w:rFonts w:ascii="David" w:hAnsi="David" w:cs="David"/>
          <w:sz w:val="24"/>
          <w:szCs w:val="24"/>
          <w:rtl/>
        </w:rPr>
        <w:t xml:space="preserve">קודם. </w:t>
      </w:r>
      <w:r w:rsidR="008E7A02" w:rsidRPr="00C14573">
        <w:rPr>
          <w:rFonts w:ascii="David" w:hAnsi="David" w:cs="David"/>
          <w:sz w:val="24"/>
          <w:szCs w:val="24"/>
          <w:rtl/>
        </w:rPr>
        <w:t>ב</w:t>
      </w:r>
      <w:r w:rsidR="00284B68" w:rsidRPr="00C14573">
        <w:rPr>
          <w:rFonts w:ascii="David" w:hAnsi="David" w:cs="David"/>
          <w:sz w:val="24"/>
          <w:szCs w:val="24"/>
          <w:rtl/>
        </w:rPr>
        <w:t>אפריל</w:t>
      </w:r>
      <w:r w:rsidRPr="00C14573">
        <w:rPr>
          <w:rFonts w:ascii="David" w:hAnsi="David" w:cs="David"/>
          <w:sz w:val="24"/>
          <w:szCs w:val="24"/>
          <w:rtl/>
        </w:rPr>
        <w:t xml:space="preserve"> </w:t>
      </w:r>
      <w:r w:rsidR="008E7A02" w:rsidRPr="00C14573">
        <w:rPr>
          <w:rFonts w:ascii="David" w:hAnsi="David" w:cs="David"/>
          <w:sz w:val="24"/>
          <w:szCs w:val="24"/>
          <w:rtl/>
        </w:rPr>
        <w:t>201</w:t>
      </w:r>
      <w:r w:rsidR="00561E57" w:rsidRPr="00C14573">
        <w:rPr>
          <w:rFonts w:ascii="David" w:hAnsi="David" w:cs="David"/>
          <w:sz w:val="24"/>
          <w:szCs w:val="24"/>
          <w:rtl/>
        </w:rPr>
        <w:t>9</w:t>
      </w:r>
      <w:r w:rsidR="008E7A02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284B68" w:rsidRPr="00C14573">
        <w:rPr>
          <w:rFonts w:ascii="David" w:hAnsi="David" w:cs="David"/>
          <w:sz w:val="24"/>
          <w:szCs w:val="24"/>
          <w:rtl/>
        </w:rPr>
        <w:t xml:space="preserve">מרווח זה המשיך להצטמצם </w:t>
      </w:r>
      <w:r w:rsidR="00416818" w:rsidRPr="00C14573">
        <w:rPr>
          <w:rFonts w:ascii="David" w:hAnsi="David" w:cs="David"/>
          <w:sz w:val="24"/>
          <w:szCs w:val="24"/>
          <w:rtl/>
        </w:rPr>
        <w:t>עד ל</w:t>
      </w:r>
      <w:r w:rsidR="00284B68" w:rsidRPr="00C14573">
        <w:rPr>
          <w:rFonts w:ascii="David" w:hAnsi="David" w:cs="David"/>
          <w:sz w:val="24"/>
          <w:szCs w:val="24"/>
          <w:rtl/>
        </w:rPr>
        <w:t xml:space="preserve">רמה של </w:t>
      </w:r>
      <w:r w:rsidR="002C2286" w:rsidRPr="00C14573">
        <w:rPr>
          <w:rFonts w:ascii="David" w:hAnsi="David" w:cs="David"/>
          <w:sz w:val="24"/>
          <w:szCs w:val="24"/>
          <w:rtl/>
        </w:rPr>
        <w:t>כ-</w:t>
      </w:r>
      <w:r w:rsidR="00284B68" w:rsidRPr="00C14573">
        <w:rPr>
          <w:rFonts w:ascii="David" w:hAnsi="David" w:cs="David"/>
          <w:sz w:val="24"/>
          <w:szCs w:val="24"/>
          <w:rtl/>
        </w:rPr>
        <w:t>1.14</w:t>
      </w:r>
      <w:r w:rsidR="002C2286" w:rsidRPr="00C14573">
        <w:rPr>
          <w:rFonts w:ascii="David" w:hAnsi="David" w:cs="David"/>
          <w:sz w:val="24"/>
          <w:szCs w:val="24"/>
          <w:rtl/>
        </w:rPr>
        <w:t xml:space="preserve"> נק' האחוז</w:t>
      </w:r>
      <w:r w:rsidR="008E7A02" w:rsidRPr="00C14573">
        <w:rPr>
          <w:rFonts w:ascii="David" w:hAnsi="David" w:cs="David"/>
          <w:sz w:val="24"/>
          <w:szCs w:val="24"/>
          <w:rtl/>
        </w:rPr>
        <w:t>.</w:t>
      </w:r>
      <w:r w:rsidR="00070391" w:rsidRPr="00C14573">
        <w:rPr>
          <w:rFonts w:ascii="David" w:hAnsi="David" w:cs="David"/>
          <w:sz w:val="24"/>
          <w:szCs w:val="24"/>
          <w:rtl/>
        </w:rPr>
        <w:t xml:space="preserve"> (איור 4)</w:t>
      </w:r>
    </w:p>
    <w:p w:rsidR="00C22C1E" w:rsidRPr="00C14573" w:rsidRDefault="00C22C1E" w:rsidP="00C22C1E">
      <w:pPr>
        <w:pStyle w:val="a9"/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</w:p>
    <w:p w:rsidR="001E78A9" w:rsidRPr="00C14573" w:rsidRDefault="001E78A9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r w:rsidRPr="00C14573">
        <w:rPr>
          <w:rFonts w:ascii="David" w:hAnsi="David" w:cs="David"/>
          <w:b/>
          <w:bCs/>
          <w:rtl/>
        </w:rPr>
        <w:br w:type="page"/>
      </w:r>
    </w:p>
    <w:p w:rsidR="00AC3E61" w:rsidRPr="00C14573" w:rsidRDefault="00AC3E61" w:rsidP="001E78A9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rtl/>
        </w:rPr>
      </w:pPr>
      <w:r w:rsidRPr="00C14573">
        <w:rPr>
          <w:rFonts w:ascii="David" w:hAnsi="David" w:cs="David"/>
          <w:b/>
          <w:bCs/>
          <w:rtl/>
        </w:rPr>
        <w:lastRenderedPageBreak/>
        <w:t>לוח 1: התפלגות החוב של המגזר העסקי</w:t>
      </w:r>
      <w:r w:rsidR="001E78A9" w:rsidRPr="00C14573">
        <w:rPr>
          <w:rFonts w:ascii="David" w:hAnsi="David" w:cs="David"/>
          <w:b/>
          <w:bCs/>
          <w:rtl/>
        </w:rPr>
        <w:t xml:space="preserve"> הלא-פיננסי</w:t>
      </w:r>
      <w:r w:rsidR="0012175B" w:rsidRPr="00C14573">
        <w:rPr>
          <w:rFonts w:ascii="David" w:hAnsi="David" w:cs="David"/>
          <w:sz w:val="22"/>
          <w:szCs w:val="22"/>
          <w:vertAlign w:val="superscript"/>
          <w:rtl/>
        </w:rPr>
        <w:t>1</w:t>
      </w:r>
      <w:r w:rsidR="00303DA6" w:rsidRPr="00C14573">
        <w:rPr>
          <w:rFonts w:ascii="David" w:hAnsi="David" w:cs="David"/>
          <w:sz w:val="22"/>
          <w:szCs w:val="22"/>
          <w:vertAlign w:val="superscript"/>
          <w:rtl/>
        </w:rPr>
        <w:t xml:space="preserve"> </w:t>
      </w:r>
    </w:p>
    <w:p w:rsidR="002A60C4" w:rsidRPr="00C14573" w:rsidRDefault="001E78A9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  <w:r w:rsidRPr="00C14573">
        <w:rPr>
          <w:rFonts w:ascii="David" w:hAnsi="David" w:cs="David"/>
          <w:noProof/>
          <w:rtl/>
        </w:rPr>
        <w:drawing>
          <wp:inline distT="0" distB="0" distL="0" distR="0" wp14:anchorId="4FF41FB4" wp14:editId="63711494">
            <wp:extent cx="5278120" cy="2308036"/>
            <wp:effectExtent l="0" t="0" r="0" b="0"/>
            <wp:docPr id="2" name="תמונה 2" descr="לוח 1: התפלגות החוב של המגזר העסקי" title="לוח 1: התפלגות החוב של ה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30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Pr="00C14573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</w:p>
    <w:p w:rsidR="00AC3E61" w:rsidRPr="00C14573" w:rsidRDefault="00AC3E61" w:rsidP="00AD3F98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</w:rPr>
      </w:pPr>
      <w:r w:rsidRPr="00C14573">
        <w:rPr>
          <w:rFonts w:ascii="David" w:hAnsi="David" w:cs="David"/>
          <w:b/>
          <w:bCs/>
          <w:rtl/>
        </w:rPr>
        <w:t xml:space="preserve">איור 1: </w:t>
      </w:r>
      <w:r w:rsidR="00AD3F98" w:rsidRPr="00C14573">
        <w:rPr>
          <w:rFonts w:ascii="David" w:hAnsi="David" w:cs="David"/>
          <w:b/>
          <w:bCs/>
          <w:rtl/>
        </w:rPr>
        <w:t>אומדן השינוי הכמותי הרבעוני נטו בחוב של</w:t>
      </w:r>
      <w:r w:rsidRPr="00C14573">
        <w:rPr>
          <w:rFonts w:ascii="David" w:hAnsi="David" w:cs="David"/>
          <w:b/>
          <w:bCs/>
          <w:rtl/>
        </w:rPr>
        <w:t xml:space="preserve"> </w:t>
      </w:r>
      <w:r w:rsidR="0004490E" w:rsidRPr="00C14573">
        <w:rPr>
          <w:rFonts w:ascii="David" w:hAnsi="David" w:cs="David"/>
          <w:b/>
          <w:bCs/>
          <w:rtl/>
        </w:rPr>
        <w:t>המגזר</w:t>
      </w:r>
      <w:r w:rsidR="00AD3F98" w:rsidRPr="00C14573">
        <w:rPr>
          <w:rFonts w:ascii="David" w:hAnsi="David" w:cs="David"/>
          <w:b/>
          <w:bCs/>
          <w:rtl/>
        </w:rPr>
        <w:t xml:space="preserve"> העסקי </w:t>
      </w:r>
      <w:r w:rsidR="001E78A9" w:rsidRPr="00C14573">
        <w:rPr>
          <w:rFonts w:ascii="David" w:hAnsi="David" w:cs="David"/>
          <w:b/>
          <w:bCs/>
          <w:rtl/>
        </w:rPr>
        <w:t>הלא-פיננסי</w:t>
      </w:r>
    </w:p>
    <w:p w:rsidR="002A60C4" w:rsidRPr="00C14573" w:rsidRDefault="001E78A9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14573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5B2D1D6">
            <wp:extent cx="5297805" cy="2828925"/>
            <wp:effectExtent l="0" t="0" r="0" b="9525"/>
            <wp:docPr id="6" name="תמונה 6" descr="איור 1: אומדן השינוי הכמותי הרבעוני נטו בחוב של המגזר העסקי " title="איור 1: אומדן השינוי הכמותי הרבעוני נטו בחוב של המגזר העסק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2E8" w:rsidRPr="00C14573" w:rsidRDefault="00AC3E6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1457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602E8" w:rsidRPr="00C14573" w:rsidRDefault="00D602E8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C14573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AC3E61" w:rsidRPr="00C14573" w:rsidRDefault="00AC3E6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75551" w:rsidRPr="00C14573" w:rsidRDefault="00675551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14573">
        <w:rPr>
          <w:rFonts w:ascii="David" w:hAnsi="David" w:cs="David"/>
          <w:b/>
          <w:bCs/>
          <w:sz w:val="24"/>
          <w:szCs w:val="24"/>
          <w:rtl/>
        </w:rPr>
        <w:t>איור 2: שיעורי השינוי לעומת הרביע המקביל בשנה הקודמת בחוב הבנקאי והחוץ-בנקאי של המגזר העסקי</w:t>
      </w:r>
      <w:r w:rsidR="001E78A9" w:rsidRPr="00C14573">
        <w:rPr>
          <w:rFonts w:ascii="David" w:hAnsi="David" w:cs="David"/>
          <w:b/>
          <w:bCs/>
          <w:sz w:val="24"/>
          <w:szCs w:val="24"/>
          <w:rtl/>
        </w:rPr>
        <w:t xml:space="preserve"> הלא-פיננסי</w:t>
      </w:r>
    </w:p>
    <w:p w:rsidR="00675551" w:rsidRPr="00C14573" w:rsidRDefault="001E78A9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14573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462061D">
            <wp:extent cx="5261610" cy="2639695"/>
            <wp:effectExtent l="0" t="0" r="0" b="8255"/>
            <wp:docPr id="11" name="תמונה 11" descr="איור 2: שיעורי השינוי לעומת הרביע המקביל בשנה הקודמת בחוב הבנקאי והחוץ-בנקאי של המגזר העסקי" title="איור 2: שיעורי השינוי לעומת הרביע המקביל בשנה הקודמת בחוב הבנקאי והחוץ-בנקאי של ה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50A" w:rsidRPr="00C14573" w:rsidRDefault="00C9450A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AC3E61" w:rsidRPr="00C14573" w:rsidRDefault="00AC3E61" w:rsidP="00C9450A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14573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C14573">
        <w:rPr>
          <w:rFonts w:ascii="David" w:hAnsi="David" w:cs="David"/>
          <w:b/>
          <w:bCs/>
          <w:sz w:val="24"/>
          <w:szCs w:val="24"/>
        </w:rPr>
        <w:t>3</w:t>
      </w:r>
      <w:r w:rsidRPr="00C14573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D602E8" w:rsidRPr="00C14573">
        <w:rPr>
          <w:rFonts w:ascii="David" w:hAnsi="David" w:cs="David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C1457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83505" w:rsidRPr="00C14573" w:rsidRDefault="0086154C" w:rsidP="001F1E1B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14573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7B4C4A2">
            <wp:extent cx="5365115" cy="3218815"/>
            <wp:effectExtent l="0" t="0" r="6985" b="635"/>
            <wp:docPr id="19" name="תמונה 19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21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1D7" w:rsidRPr="00C14573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402A67" w:rsidRPr="00C14573" w:rsidRDefault="00402A67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C14573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522BB0" w:rsidRPr="00C14573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14573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C14573">
        <w:rPr>
          <w:rFonts w:ascii="David" w:hAnsi="David" w:cs="David"/>
          <w:b/>
          <w:bCs/>
          <w:sz w:val="24"/>
          <w:szCs w:val="24"/>
        </w:rPr>
        <w:t>4</w:t>
      </w:r>
      <w:r w:rsidRPr="00C14573">
        <w:rPr>
          <w:rFonts w:ascii="David" w:hAnsi="David" w:cs="David"/>
          <w:b/>
          <w:bCs/>
          <w:sz w:val="24"/>
          <w:szCs w:val="24"/>
          <w:rtl/>
        </w:rPr>
        <w:t>: המרווח בין אג"ח חברות צמוד</w:t>
      </w:r>
      <w:r w:rsidR="00416818" w:rsidRPr="00C14573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14573">
        <w:rPr>
          <w:rFonts w:ascii="David" w:hAnsi="David" w:cs="David"/>
          <w:b/>
          <w:bCs/>
          <w:sz w:val="24"/>
          <w:szCs w:val="24"/>
          <w:rtl/>
        </w:rPr>
        <w:t xml:space="preserve"> (תל בונד 60) לאג"ח ממשלתי</w:t>
      </w:r>
      <w:r w:rsidR="00416818" w:rsidRPr="00C14573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14573">
        <w:rPr>
          <w:rFonts w:ascii="David" w:hAnsi="David" w:cs="David"/>
          <w:b/>
          <w:bCs/>
          <w:sz w:val="24"/>
          <w:szCs w:val="24"/>
          <w:rtl/>
        </w:rPr>
        <w:t xml:space="preserve"> צמוד</w:t>
      </w:r>
      <w:r w:rsidR="00416818" w:rsidRPr="00C14573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1457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14573">
        <w:rPr>
          <w:rFonts w:ascii="David" w:hAnsi="David" w:cs="David"/>
          <w:b/>
          <w:bCs/>
          <w:sz w:val="24"/>
          <w:szCs w:val="24"/>
          <w:rtl/>
        </w:rPr>
        <w:br/>
        <w:t>(ממוצע חודשי)</w:t>
      </w:r>
    </w:p>
    <w:p w:rsidR="00522BB0" w:rsidRPr="00C14573" w:rsidRDefault="001E78A9" w:rsidP="00522BB0">
      <w:pPr>
        <w:pStyle w:val="a9"/>
        <w:bidi/>
        <w:spacing w:line="360" w:lineRule="auto"/>
        <w:ind w:left="-52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14573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96ED7D4">
            <wp:extent cx="5292090" cy="2749550"/>
            <wp:effectExtent l="0" t="0" r="3810" b="0"/>
            <wp:docPr id="14" name="תמונה 14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C14573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:rsidR="009F574F" w:rsidRPr="00C14573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="David" w:hAnsi="David" w:cs="David"/>
        </w:rPr>
      </w:pPr>
      <w:r w:rsidRPr="00C14573">
        <w:rPr>
          <w:rStyle w:val="10"/>
          <w:rFonts w:ascii="David" w:hAnsi="David" w:cs="David"/>
          <w:rtl/>
        </w:rPr>
        <w:t>החוב של משקי הבית</w:t>
      </w:r>
    </w:p>
    <w:p w:rsidR="00BB1F1B" w:rsidRPr="00C14573" w:rsidRDefault="002319C1" w:rsidP="001F50C9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C14573">
        <w:rPr>
          <w:rFonts w:ascii="David" w:hAnsi="David" w:cs="David"/>
          <w:b/>
          <w:bCs/>
          <w:sz w:val="24"/>
          <w:szCs w:val="24"/>
          <w:rtl/>
        </w:rPr>
        <w:t>יתרת החוב של משקי הבית</w:t>
      </w:r>
      <w:r w:rsidRPr="00C14573">
        <w:rPr>
          <w:rFonts w:ascii="David" w:hAnsi="David" w:cs="David"/>
          <w:sz w:val="24"/>
          <w:szCs w:val="24"/>
          <w:rtl/>
        </w:rPr>
        <w:t xml:space="preserve"> </w:t>
      </w:r>
      <w:r w:rsidR="007A39D0" w:rsidRPr="00C14573">
        <w:rPr>
          <w:rFonts w:ascii="David" w:hAnsi="David" w:cs="David"/>
          <w:sz w:val="24"/>
          <w:szCs w:val="24"/>
          <w:rtl/>
        </w:rPr>
        <w:t>גדלה</w:t>
      </w:r>
      <w:r w:rsidR="0004490E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7A39D0" w:rsidRPr="00C14573">
        <w:rPr>
          <w:rFonts w:ascii="David" w:hAnsi="David" w:cs="David"/>
          <w:sz w:val="24"/>
          <w:szCs w:val="24"/>
          <w:rtl/>
        </w:rPr>
        <w:t>ב</w:t>
      </w:r>
      <w:r w:rsidR="00DA070E" w:rsidRPr="00C14573">
        <w:rPr>
          <w:rFonts w:ascii="David" w:hAnsi="David" w:cs="David"/>
          <w:sz w:val="24"/>
          <w:szCs w:val="24"/>
          <w:rtl/>
        </w:rPr>
        <w:t xml:space="preserve">רביע </w:t>
      </w:r>
      <w:r w:rsidR="00CF24FB" w:rsidRPr="00C14573">
        <w:rPr>
          <w:rFonts w:ascii="David" w:hAnsi="David" w:cs="David"/>
          <w:sz w:val="24"/>
          <w:szCs w:val="24"/>
          <w:rtl/>
        </w:rPr>
        <w:t>ה</w:t>
      </w:r>
      <w:r w:rsidR="00182968" w:rsidRPr="00C14573">
        <w:rPr>
          <w:rFonts w:ascii="David" w:hAnsi="David" w:cs="David"/>
          <w:sz w:val="24"/>
          <w:szCs w:val="24"/>
          <w:rtl/>
        </w:rPr>
        <w:t xml:space="preserve">ראשון </w:t>
      </w:r>
      <w:r w:rsidR="0004490E" w:rsidRPr="00C14573">
        <w:rPr>
          <w:rFonts w:ascii="David" w:hAnsi="David" w:cs="David"/>
          <w:sz w:val="24"/>
          <w:szCs w:val="24"/>
          <w:rtl/>
        </w:rPr>
        <w:t xml:space="preserve">של שנת </w:t>
      </w:r>
      <w:r w:rsidR="00182968" w:rsidRPr="00C14573">
        <w:rPr>
          <w:rFonts w:ascii="David" w:hAnsi="David" w:cs="David"/>
          <w:sz w:val="24"/>
          <w:szCs w:val="24"/>
          <w:rtl/>
        </w:rPr>
        <w:t>2019</w:t>
      </w:r>
      <w:r w:rsidR="0004490E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7A39D0" w:rsidRPr="00C14573">
        <w:rPr>
          <w:rFonts w:ascii="David" w:hAnsi="David" w:cs="David"/>
          <w:sz w:val="24"/>
          <w:szCs w:val="24"/>
          <w:rtl/>
        </w:rPr>
        <w:t>בכ-</w:t>
      </w:r>
      <w:r w:rsidR="00182968" w:rsidRPr="00C14573">
        <w:rPr>
          <w:rFonts w:ascii="David" w:hAnsi="David" w:cs="David"/>
          <w:sz w:val="24"/>
          <w:szCs w:val="24"/>
          <w:rtl/>
        </w:rPr>
        <w:t>5</w:t>
      </w:r>
      <w:r w:rsidR="006819E9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7A39D0" w:rsidRPr="00C14573">
        <w:rPr>
          <w:rFonts w:ascii="David" w:hAnsi="David" w:cs="David"/>
          <w:sz w:val="24"/>
          <w:szCs w:val="24"/>
          <w:rtl/>
        </w:rPr>
        <w:t>מיליארדי ש"ח (</w:t>
      </w:r>
      <w:r w:rsidR="00182968" w:rsidRPr="00C14573">
        <w:rPr>
          <w:rFonts w:ascii="David" w:hAnsi="David" w:cs="David"/>
          <w:sz w:val="24"/>
          <w:szCs w:val="24"/>
          <w:rtl/>
        </w:rPr>
        <w:t>1</w:t>
      </w:r>
      <w:r w:rsidR="007A39D0" w:rsidRPr="00C14573">
        <w:rPr>
          <w:rFonts w:ascii="David" w:hAnsi="David" w:cs="David"/>
          <w:sz w:val="24"/>
          <w:szCs w:val="24"/>
          <w:rtl/>
        </w:rPr>
        <w:t xml:space="preserve">%) </w:t>
      </w:r>
      <w:r w:rsidR="0054512E" w:rsidRPr="00C14573">
        <w:rPr>
          <w:rFonts w:ascii="David" w:hAnsi="David" w:cs="David"/>
          <w:sz w:val="24"/>
          <w:szCs w:val="24"/>
          <w:rtl/>
        </w:rPr>
        <w:t xml:space="preserve">לרמה של </w:t>
      </w:r>
      <w:r w:rsidR="0004490E" w:rsidRPr="00C14573">
        <w:rPr>
          <w:rFonts w:ascii="David" w:hAnsi="David" w:cs="David"/>
          <w:sz w:val="24"/>
          <w:szCs w:val="24"/>
          <w:rtl/>
        </w:rPr>
        <w:t>כ-</w:t>
      </w:r>
      <w:r w:rsidR="00182968" w:rsidRPr="00C14573">
        <w:rPr>
          <w:rFonts w:ascii="David" w:hAnsi="David" w:cs="David"/>
          <w:sz w:val="24"/>
          <w:szCs w:val="24"/>
          <w:rtl/>
        </w:rPr>
        <w:t>562</w:t>
      </w:r>
      <w:r w:rsidR="0004490E" w:rsidRPr="00C14573">
        <w:rPr>
          <w:rFonts w:ascii="David" w:hAnsi="David" w:cs="David"/>
          <w:sz w:val="24"/>
          <w:szCs w:val="24"/>
          <w:rtl/>
        </w:rPr>
        <w:t xml:space="preserve"> מיליארדי</w:t>
      </w:r>
      <w:r w:rsidR="001F50C9" w:rsidRPr="00C14573">
        <w:rPr>
          <w:rFonts w:ascii="David" w:hAnsi="David" w:cs="David"/>
          <w:sz w:val="24"/>
          <w:szCs w:val="24"/>
          <w:rtl/>
        </w:rPr>
        <w:t>ם</w:t>
      </w:r>
      <w:r w:rsidR="00182968" w:rsidRPr="00C14573">
        <w:rPr>
          <w:rFonts w:ascii="David" w:hAnsi="David" w:cs="David"/>
          <w:sz w:val="24"/>
          <w:szCs w:val="24"/>
          <w:rtl/>
        </w:rPr>
        <w:t xml:space="preserve">. מרבית הגידול, כ-4 מיליארדים, ביתרת </w:t>
      </w:r>
      <w:r w:rsidR="00182968" w:rsidRPr="00C14573">
        <w:rPr>
          <w:rFonts w:ascii="David" w:hAnsi="David" w:cs="David"/>
          <w:b/>
          <w:bCs/>
          <w:sz w:val="24"/>
          <w:szCs w:val="24"/>
          <w:rtl/>
        </w:rPr>
        <w:t>החוב לדיור</w:t>
      </w:r>
      <w:r w:rsidR="00182968" w:rsidRPr="00C14573">
        <w:rPr>
          <w:rFonts w:ascii="David" w:hAnsi="David" w:cs="David"/>
          <w:sz w:val="24"/>
          <w:szCs w:val="24"/>
          <w:rtl/>
        </w:rPr>
        <w:t xml:space="preserve"> (לרמה של כ-364 מיליארדים)</w:t>
      </w:r>
      <w:r w:rsidR="007D0D18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BB1F1B" w:rsidRPr="00C14573">
        <w:rPr>
          <w:rFonts w:ascii="David" w:hAnsi="David" w:cs="David"/>
          <w:sz w:val="24"/>
          <w:szCs w:val="24"/>
          <w:rtl/>
        </w:rPr>
        <w:t>וה</w:t>
      </w:r>
      <w:r w:rsidR="00182968" w:rsidRPr="00C14573">
        <w:rPr>
          <w:rFonts w:ascii="David" w:hAnsi="David" w:cs="David"/>
          <w:sz w:val="24"/>
          <w:szCs w:val="24"/>
          <w:rtl/>
        </w:rPr>
        <w:t>יתר, כמיליארד, ב</w:t>
      </w:r>
      <w:r w:rsidR="007D0D18" w:rsidRPr="00C14573">
        <w:rPr>
          <w:rFonts w:ascii="David" w:hAnsi="David" w:cs="David"/>
          <w:sz w:val="24"/>
          <w:szCs w:val="24"/>
          <w:rtl/>
        </w:rPr>
        <w:t xml:space="preserve">יתרת </w:t>
      </w:r>
      <w:r w:rsidR="007D0D18" w:rsidRPr="00C14573">
        <w:rPr>
          <w:rFonts w:ascii="David" w:hAnsi="David" w:cs="David"/>
          <w:b/>
          <w:bCs/>
          <w:sz w:val="24"/>
          <w:szCs w:val="24"/>
          <w:rtl/>
        </w:rPr>
        <w:t>החוב שלא לדיור</w:t>
      </w:r>
      <w:r w:rsidR="007D0D18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182968" w:rsidRPr="00C14573">
        <w:rPr>
          <w:rFonts w:ascii="David" w:hAnsi="David" w:cs="David"/>
          <w:sz w:val="24"/>
          <w:szCs w:val="24"/>
          <w:rtl/>
        </w:rPr>
        <w:t>(</w:t>
      </w:r>
      <w:r w:rsidR="007D0D18" w:rsidRPr="00C14573">
        <w:rPr>
          <w:rFonts w:ascii="David" w:hAnsi="David" w:cs="David"/>
          <w:sz w:val="24"/>
          <w:szCs w:val="24"/>
          <w:rtl/>
        </w:rPr>
        <w:t>לרמה של כ-19</w:t>
      </w:r>
      <w:r w:rsidR="00182968" w:rsidRPr="00C14573">
        <w:rPr>
          <w:rFonts w:ascii="David" w:hAnsi="David" w:cs="David"/>
          <w:sz w:val="24"/>
          <w:szCs w:val="24"/>
          <w:rtl/>
        </w:rPr>
        <w:t>8</w:t>
      </w:r>
      <w:r w:rsidR="007D0D18" w:rsidRPr="00C14573">
        <w:rPr>
          <w:rFonts w:ascii="David" w:hAnsi="David" w:cs="David"/>
          <w:sz w:val="24"/>
          <w:szCs w:val="24"/>
          <w:rtl/>
        </w:rPr>
        <w:t xml:space="preserve"> מיליארדים</w:t>
      </w:r>
      <w:r w:rsidR="00182968" w:rsidRPr="00C14573">
        <w:rPr>
          <w:rFonts w:ascii="David" w:hAnsi="David" w:cs="David"/>
          <w:sz w:val="24"/>
          <w:szCs w:val="24"/>
          <w:rtl/>
        </w:rPr>
        <w:t>)</w:t>
      </w:r>
      <w:r w:rsidR="00CB07FA" w:rsidRPr="00C14573">
        <w:rPr>
          <w:rFonts w:ascii="David" w:hAnsi="David" w:cs="David"/>
          <w:sz w:val="24"/>
          <w:szCs w:val="24"/>
          <w:rtl/>
        </w:rPr>
        <w:t xml:space="preserve">. </w:t>
      </w:r>
    </w:p>
    <w:p w:rsidR="007D0D18" w:rsidRPr="00C14573" w:rsidRDefault="00BB1F1B" w:rsidP="00BB1F1B">
      <w:pPr>
        <w:pStyle w:val="a9"/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C14573">
        <w:rPr>
          <w:rFonts w:ascii="David" w:hAnsi="David" w:cs="David"/>
          <w:sz w:val="24"/>
          <w:szCs w:val="24"/>
          <w:rtl/>
        </w:rPr>
        <w:t xml:space="preserve">ברביע זה חלה עלייה קלה בקצב </w:t>
      </w:r>
      <w:r w:rsidR="007D0D18" w:rsidRPr="00C14573">
        <w:rPr>
          <w:rFonts w:ascii="David" w:hAnsi="David" w:cs="David"/>
          <w:sz w:val="24"/>
          <w:szCs w:val="24"/>
          <w:rtl/>
        </w:rPr>
        <w:t xml:space="preserve">הגידול השנתי של יתרת החוב שלא לדיור, </w:t>
      </w:r>
      <w:r w:rsidRPr="00C14573">
        <w:rPr>
          <w:rFonts w:ascii="David" w:hAnsi="David" w:cs="David"/>
          <w:sz w:val="24"/>
          <w:szCs w:val="24"/>
          <w:rtl/>
        </w:rPr>
        <w:t xml:space="preserve">בשונה ממגמת הירידה של קצב זה בשנתיים האחרונות. </w:t>
      </w:r>
      <w:r w:rsidR="007D0D18" w:rsidRPr="00C14573">
        <w:rPr>
          <w:rFonts w:ascii="David" w:hAnsi="David" w:cs="David"/>
          <w:sz w:val="24"/>
          <w:szCs w:val="24"/>
          <w:rtl/>
        </w:rPr>
        <w:t xml:space="preserve">(איור </w:t>
      </w:r>
      <w:r w:rsidR="00070391" w:rsidRPr="00C14573">
        <w:rPr>
          <w:rFonts w:ascii="David" w:hAnsi="David" w:cs="David"/>
          <w:sz w:val="24"/>
          <w:szCs w:val="24"/>
        </w:rPr>
        <w:t>5</w:t>
      </w:r>
      <w:r w:rsidR="007D0D18" w:rsidRPr="00C14573">
        <w:rPr>
          <w:rFonts w:ascii="David" w:hAnsi="David" w:cs="David"/>
          <w:sz w:val="24"/>
          <w:szCs w:val="24"/>
          <w:rtl/>
        </w:rPr>
        <w:t>)</w:t>
      </w:r>
    </w:p>
    <w:p w:rsidR="006B0BAE" w:rsidRPr="00C14573" w:rsidRDefault="00AB31EF" w:rsidP="00041E30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C14573">
        <w:rPr>
          <w:rFonts w:ascii="David" w:hAnsi="David" w:cs="David"/>
          <w:sz w:val="24"/>
          <w:szCs w:val="24"/>
          <w:rtl/>
        </w:rPr>
        <w:t xml:space="preserve">ברביע </w:t>
      </w:r>
      <w:r w:rsidR="00CF24FB" w:rsidRPr="00C14573">
        <w:rPr>
          <w:rFonts w:ascii="David" w:hAnsi="David" w:cs="David"/>
          <w:sz w:val="24"/>
          <w:szCs w:val="24"/>
          <w:rtl/>
        </w:rPr>
        <w:t>ה</w:t>
      </w:r>
      <w:r w:rsidR="00045838" w:rsidRPr="00C14573">
        <w:rPr>
          <w:rFonts w:ascii="David" w:hAnsi="David" w:cs="David"/>
          <w:sz w:val="24"/>
          <w:szCs w:val="24"/>
          <w:rtl/>
        </w:rPr>
        <w:t>ר</w:t>
      </w:r>
      <w:r w:rsidR="001F50C9" w:rsidRPr="00C14573">
        <w:rPr>
          <w:rFonts w:ascii="David" w:hAnsi="David" w:cs="David"/>
          <w:sz w:val="24"/>
          <w:szCs w:val="24"/>
          <w:rtl/>
        </w:rPr>
        <w:t xml:space="preserve">אשון </w:t>
      </w:r>
      <w:r w:rsidRPr="00C14573">
        <w:rPr>
          <w:rFonts w:ascii="David" w:hAnsi="David" w:cs="David"/>
          <w:sz w:val="24"/>
          <w:szCs w:val="24"/>
          <w:rtl/>
        </w:rPr>
        <w:t xml:space="preserve">של שנת </w:t>
      </w:r>
      <w:r w:rsidR="001F50C9" w:rsidRPr="00C14573">
        <w:rPr>
          <w:rFonts w:ascii="David" w:hAnsi="David" w:cs="David"/>
          <w:sz w:val="24"/>
          <w:szCs w:val="24"/>
          <w:rtl/>
        </w:rPr>
        <w:t>2019</w:t>
      </w:r>
      <w:r w:rsidRPr="00C14573">
        <w:rPr>
          <w:rFonts w:ascii="David" w:hAnsi="David" w:cs="David"/>
          <w:sz w:val="24"/>
          <w:szCs w:val="24"/>
          <w:rtl/>
        </w:rPr>
        <w:t xml:space="preserve"> </w:t>
      </w:r>
      <w:r w:rsidR="00045838" w:rsidRPr="00C14573">
        <w:rPr>
          <w:rFonts w:ascii="David" w:hAnsi="David" w:cs="David"/>
          <w:sz w:val="24"/>
          <w:szCs w:val="24"/>
          <w:rtl/>
        </w:rPr>
        <w:t>נטילת</w:t>
      </w:r>
      <w:r w:rsidR="003138AF" w:rsidRPr="00C14573">
        <w:rPr>
          <w:rFonts w:ascii="David" w:hAnsi="David" w:cs="David"/>
          <w:sz w:val="24"/>
          <w:szCs w:val="24"/>
          <w:rtl/>
        </w:rPr>
        <w:t xml:space="preserve"> משכנתאות</w:t>
      </w:r>
      <w:r w:rsidR="00D46A28" w:rsidRPr="00C14573">
        <w:rPr>
          <w:rFonts w:ascii="David" w:hAnsi="David" w:cs="David"/>
          <w:sz w:val="24"/>
          <w:szCs w:val="24"/>
          <w:rtl/>
        </w:rPr>
        <w:t xml:space="preserve"> חדשות</w:t>
      </w:r>
      <w:r w:rsidR="003138AF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162787" w:rsidRPr="00C14573">
        <w:rPr>
          <w:rFonts w:ascii="David" w:hAnsi="David" w:cs="David"/>
          <w:sz w:val="24"/>
          <w:szCs w:val="24"/>
          <w:rtl/>
        </w:rPr>
        <w:t xml:space="preserve">הסתכמה </w:t>
      </w:r>
      <w:r w:rsidRPr="00C14573">
        <w:rPr>
          <w:rFonts w:ascii="David" w:hAnsi="David" w:cs="David"/>
          <w:sz w:val="24"/>
          <w:szCs w:val="24"/>
          <w:rtl/>
        </w:rPr>
        <w:t>בכ-</w:t>
      </w:r>
      <w:r w:rsidR="001F50C9" w:rsidRPr="00C14573">
        <w:rPr>
          <w:rFonts w:ascii="David" w:hAnsi="David" w:cs="David"/>
          <w:sz w:val="24"/>
          <w:szCs w:val="24"/>
          <w:rtl/>
        </w:rPr>
        <w:t>15.5</w:t>
      </w:r>
      <w:r w:rsidR="00045838" w:rsidRPr="00C14573">
        <w:rPr>
          <w:rFonts w:ascii="David" w:hAnsi="David" w:cs="David"/>
          <w:sz w:val="24"/>
          <w:szCs w:val="24"/>
          <w:rtl/>
        </w:rPr>
        <w:t xml:space="preserve"> מיליארדי </w:t>
      </w:r>
      <w:r w:rsidR="003A5570" w:rsidRPr="00C14573">
        <w:rPr>
          <w:rFonts w:ascii="David" w:hAnsi="David" w:cs="David"/>
          <w:sz w:val="24"/>
          <w:szCs w:val="24"/>
          <w:rtl/>
        </w:rPr>
        <w:t>ש"ח,</w:t>
      </w:r>
      <w:r w:rsidR="00045838" w:rsidRPr="00C14573">
        <w:rPr>
          <w:rFonts w:ascii="David" w:hAnsi="David" w:cs="David"/>
          <w:sz w:val="24"/>
          <w:szCs w:val="24"/>
          <w:rtl/>
        </w:rPr>
        <w:t xml:space="preserve"> גבוה</w:t>
      </w:r>
      <w:r w:rsidRPr="00C14573">
        <w:rPr>
          <w:rFonts w:ascii="David" w:hAnsi="David" w:cs="David"/>
          <w:sz w:val="24"/>
          <w:szCs w:val="24"/>
          <w:rtl/>
        </w:rPr>
        <w:t xml:space="preserve"> </w:t>
      </w:r>
      <w:r w:rsidR="00CF24FB" w:rsidRPr="00C14573">
        <w:rPr>
          <w:rFonts w:ascii="David" w:hAnsi="David" w:cs="David"/>
          <w:sz w:val="24"/>
          <w:szCs w:val="24"/>
          <w:rtl/>
        </w:rPr>
        <w:t>מה</w:t>
      </w:r>
      <w:r w:rsidRPr="00C14573">
        <w:rPr>
          <w:rFonts w:ascii="David" w:hAnsi="David" w:cs="David"/>
          <w:sz w:val="24"/>
          <w:szCs w:val="24"/>
          <w:rtl/>
        </w:rPr>
        <w:t>תקופה המקבילה אשתקד</w:t>
      </w:r>
      <w:r w:rsidR="00CF24FB" w:rsidRPr="00C14573">
        <w:rPr>
          <w:rFonts w:ascii="David" w:hAnsi="David" w:cs="David"/>
          <w:sz w:val="24"/>
          <w:szCs w:val="24"/>
          <w:rtl/>
        </w:rPr>
        <w:t xml:space="preserve"> (</w:t>
      </w:r>
      <w:r w:rsidR="00CC2676" w:rsidRPr="00C14573">
        <w:rPr>
          <w:rFonts w:ascii="David" w:hAnsi="David" w:cs="David"/>
          <w:sz w:val="24"/>
          <w:szCs w:val="24"/>
          <w:rtl/>
        </w:rPr>
        <w:t>כ-</w:t>
      </w:r>
      <w:r w:rsidR="001F50C9" w:rsidRPr="00C14573">
        <w:rPr>
          <w:rFonts w:ascii="David" w:hAnsi="David" w:cs="David"/>
          <w:sz w:val="24"/>
          <w:szCs w:val="24"/>
          <w:rtl/>
        </w:rPr>
        <w:t>14.1</w:t>
      </w:r>
      <w:r w:rsidR="00221420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CF24FB" w:rsidRPr="00C14573">
        <w:rPr>
          <w:rFonts w:ascii="David" w:hAnsi="David" w:cs="David"/>
          <w:sz w:val="24"/>
          <w:szCs w:val="24"/>
          <w:rtl/>
        </w:rPr>
        <w:t>מיליארדים)</w:t>
      </w:r>
      <w:r w:rsidR="000E45F2" w:rsidRPr="00C14573">
        <w:rPr>
          <w:rFonts w:ascii="David" w:hAnsi="David" w:cs="David"/>
          <w:sz w:val="24"/>
          <w:szCs w:val="24"/>
          <w:rtl/>
        </w:rPr>
        <w:t xml:space="preserve">. </w:t>
      </w:r>
      <w:r w:rsidR="00045838" w:rsidRPr="00C14573">
        <w:rPr>
          <w:rFonts w:ascii="David" w:hAnsi="David" w:cs="David"/>
          <w:sz w:val="24"/>
          <w:szCs w:val="24"/>
          <w:rtl/>
        </w:rPr>
        <w:t>ב</w:t>
      </w:r>
      <w:r w:rsidR="001F50C9" w:rsidRPr="00C14573">
        <w:rPr>
          <w:rFonts w:ascii="David" w:hAnsi="David" w:cs="David"/>
          <w:sz w:val="24"/>
          <w:szCs w:val="24"/>
          <w:rtl/>
        </w:rPr>
        <w:t>אפריל</w:t>
      </w:r>
      <w:r w:rsidR="00045838" w:rsidRPr="00C14573">
        <w:rPr>
          <w:rFonts w:ascii="David" w:hAnsi="David" w:cs="David"/>
          <w:sz w:val="24"/>
          <w:szCs w:val="24"/>
          <w:rtl/>
        </w:rPr>
        <w:t xml:space="preserve"> 201</w:t>
      </w:r>
      <w:r w:rsidR="00CB07FA" w:rsidRPr="00C14573">
        <w:rPr>
          <w:rFonts w:ascii="David" w:hAnsi="David" w:cs="David"/>
          <w:sz w:val="24"/>
          <w:szCs w:val="24"/>
          <w:rtl/>
        </w:rPr>
        <w:t>9</w:t>
      </w:r>
      <w:r w:rsidR="00045838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CB07FA" w:rsidRPr="00C14573">
        <w:rPr>
          <w:rFonts w:ascii="David" w:hAnsi="David" w:cs="David"/>
          <w:sz w:val="24"/>
          <w:szCs w:val="24"/>
          <w:rtl/>
        </w:rPr>
        <w:t xml:space="preserve">נטילת משכנתאות חדשות הסתכמה בכ-5 מיליארדי ש"ח, </w:t>
      </w:r>
      <w:r w:rsidR="00041E30" w:rsidRPr="00C14573">
        <w:rPr>
          <w:rFonts w:ascii="David" w:hAnsi="David" w:cs="David"/>
          <w:sz w:val="24"/>
          <w:szCs w:val="24"/>
          <w:rtl/>
        </w:rPr>
        <w:t>דומה</w:t>
      </w:r>
      <w:r w:rsidR="00CB07FA" w:rsidRPr="00C14573">
        <w:rPr>
          <w:rFonts w:ascii="David" w:hAnsi="David" w:cs="David"/>
          <w:sz w:val="24"/>
          <w:szCs w:val="24"/>
          <w:rtl/>
        </w:rPr>
        <w:t xml:space="preserve"> </w:t>
      </w:r>
      <w:r w:rsidR="00041E30" w:rsidRPr="00C14573">
        <w:rPr>
          <w:rFonts w:ascii="David" w:hAnsi="David" w:cs="David"/>
          <w:sz w:val="24"/>
          <w:szCs w:val="24"/>
          <w:rtl/>
        </w:rPr>
        <w:t>ל</w:t>
      </w:r>
      <w:r w:rsidR="00CB07FA" w:rsidRPr="00C14573">
        <w:rPr>
          <w:rFonts w:ascii="David" w:hAnsi="David" w:cs="David"/>
          <w:sz w:val="24"/>
          <w:szCs w:val="24"/>
          <w:rtl/>
        </w:rPr>
        <w:t>ממוצע החודשי במהלך הרביע ה</w:t>
      </w:r>
      <w:r w:rsidR="00041E30" w:rsidRPr="00C14573">
        <w:rPr>
          <w:rFonts w:ascii="David" w:hAnsi="David" w:cs="David"/>
          <w:sz w:val="24"/>
          <w:szCs w:val="24"/>
          <w:rtl/>
        </w:rPr>
        <w:t xml:space="preserve">ראשון של השנה. </w:t>
      </w:r>
      <w:r w:rsidR="00664600" w:rsidRPr="00C14573">
        <w:rPr>
          <w:rFonts w:ascii="David" w:hAnsi="David" w:cs="David"/>
          <w:sz w:val="24"/>
          <w:szCs w:val="24"/>
          <w:rtl/>
        </w:rPr>
        <w:t xml:space="preserve">(איור </w:t>
      </w:r>
      <w:r w:rsidR="00070391" w:rsidRPr="00C14573">
        <w:rPr>
          <w:rFonts w:ascii="David" w:hAnsi="David" w:cs="David"/>
          <w:sz w:val="24"/>
          <w:szCs w:val="24"/>
        </w:rPr>
        <w:t>6</w:t>
      </w:r>
      <w:r w:rsidR="00060D8E" w:rsidRPr="00C14573">
        <w:rPr>
          <w:rFonts w:ascii="David" w:hAnsi="David" w:cs="David"/>
          <w:sz w:val="24"/>
          <w:szCs w:val="24"/>
          <w:rtl/>
        </w:rPr>
        <w:t>)</w:t>
      </w:r>
    </w:p>
    <w:p w:rsidR="00B33FA0" w:rsidRPr="00C14573" w:rsidRDefault="00B33FA0" w:rsidP="00B33FA0">
      <w:pPr>
        <w:pStyle w:val="a9"/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</w:p>
    <w:p w:rsidR="00402A67" w:rsidRPr="00C14573" w:rsidRDefault="00402A67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C14573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AC3E61" w:rsidRPr="00C14573" w:rsidRDefault="00AC3E61" w:rsidP="00416818">
      <w:pPr>
        <w:pStyle w:val="a9"/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C14573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לוח </w:t>
      </w:r>
      <w:r w:rsidR="00416818" w:rsidRPr="00C14573">
        <w:rPr>
          <w:rFonts w:ascii="David" w:hAnsi="David" w:cs="David"/>
          <w:b/>
          <w:bCs/>
          <w:sz w:val="24"/>
          <w:szCs w:val="24"/>
        </w:rPr>
        <w:t>2</w:t>
      </w:r>
      <w:r w:rsidRPr="00C14573">
        <w:rPr>
          <w:rFonts w:ascii="David" w:hAnsi="David" w:cs="David"/>
          <w:b/>
          <w:bCs/>
          <w:sz w:val="24"/>
          <w:szCs w:val="24"/>
          <w:rtl/>
        </w:rPr>
        <w:t>: יתרות החוב של משקי הבית</w:t>
      </w:r>
      <w:r w:rsidRPr="00C14573">
        <w:rPr>
          <w:rFonts w:ascii="David" w:hAnsi="David" w:cs="David"/>
          <w:b/>
          <w:bCs/>
          <w:sz w:val="24"/>
          <w:szCs w:val="24"/>
          <w:vertAlign w:val="superscript"/>
          <w:rtl/>
        </w:rPr>
        <w:t>1</w:t>
      </w:r>
      <w:r w:rsidR="009653F5" w:rsidRPr="00C14573">
        <w:rPr>
          <w:rFonts w:ascii="David" w:hAnsi="David" w:cs="David"/>
          <w:sz w:val="24"/>
          <w:szCs w:val="24"/>
        </w:rPr>
        <w:t xml:space="preserve"> </w:t>
      </w:r>
    </w:p>
    <w:p w:rsidR="006D3752" w:rsidRPr="00C14573" w:rsidRDefault="00777113" w:rsidP="006D3752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14573">
        <w:rPr>
          <w:rFonts w:ascii="David" w:hAnsi="David" w:cs="David"/>
          <w:noProof/>
          <w:rtl/>
          <w:lang w:eastAsia="en-US"/>
        </w:rPr>
        <w:drawing>
          <wp:inline distT="0" distB="0" distL="0" distR="0" wp14:anchorId="60A0BEE8" wp14:editId="11C8B462">
            <wp:extent cx="5278120" cy="4464204"/>
            <wp:effectExtent l="0" t="0" r="0" b="0"/>
            <wp:docPr id="16" name="תמונה 16" descr="לוח 2: יתרות החוב של משקי הבית" title="לוח 2: 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46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C14573" w:rsidRDefault="00D46A28" w:rsidP="00DC51E3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46A28" w:rsidRPr="00C14573" w:rsidRDefault="00D46A28" w:rsidP="00D46A28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C14573" w:rsidRDefault="00941A49" w:rsidP="00D46A28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C14573" w:rsidRDefault="00941A49" w:rsidP="00941A49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251F2" w:rsidRPr="00C14573" w:rsidRDefault="00D251F2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C14573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941A49" w:rsidRPr="00C14573" w:rsidRDefault="00941A49" w:rsidP="00941A49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C14573" w:rsidRDefault="00941A49" w:rsidP="00941A49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47FBF" w:rsidRPr="00C14573" w:rsidRDefault="00D47FBF" w:rsidP="00070391">
      <w:pPr>
        <w:bidi/>
        <w:jc w:val="center"/>
        <w:rPr>
          <w:rFonts w:ascii="David" w:hAnsi="David" w:cs="David"/>
          <w:b/>
          <w:bCs/>
          <w:sz w:val="24"/>
          <w:szCs w:val="24"/>
        </w:rPr>
      </w:pPr>
      <w:r w:rsidRPr="00C14573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C14573">
        <w:rPr>
          <w:rFonts w:ascii="David" w:hAnsi="David" w:cs="David"/>
          <w:b/>
          <w:bCs/>
          <w:sz w:val="24"/>
          <w:szCs w:val="24"/>
        </w:rPr>
        <w:t>5</w:t>
      </w:r>
      <w:r w:rsidR="00DC51E3" w:rsidRPr="00C14573">
        <w:rPr>
          <w:rFonts w:ascii="David" w:hAnsi="David" w:cs="David"/>
          <w:b/>
          <w:bCs/>
          <w:sz w:val="24"/>
          <w:szCs w:val="24"/>
          <w:rtl/>
        </w:rPr>
        <w:t>:</w:t>
      </w:r>
      <w:r w:rsidRPr="00C14573">
        <w:rPr>
          <w:rFonts w:ascii="David" w:hAnsi="David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6D3752" w:rsidRPr="00C14573" w:rsidRDefault="006D3752" w:rsidP="006D3752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10811" w:rsidRPr="00C14573" w:rsidRDefault="00777113" w:rsidP="00B33FA0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14573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526A634D">
            <wp:extent cx="5297805" cy="2834640"/>
            <wp:effectExtent l="0" t="0" r="0" b="3810"/>
            <wp:docPr id="17" name="תמונה 17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C14573" w:rsidRDefault="00C10811" w:rsidP="00C1081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10811" w:rsidRPr="00C14573" w:rsidRDefault="00C10811" w:rsidP="00C1081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80F81" w:rsidRPr="00C14573" w:rsidRDefault="00BF4C2E" w:rsidP="0007039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14573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C14573">
        <w:rPr>
          <w:rFonts w:ascii="David" w:hAnsi="David" w:cs="David"/>
          <w:b/>
          <w:bCs/>
          <w:sz w:val="24"/>
          <w:szCs w:val="24"/>
        </w:rPr>
        <w:t>6</w:t>
      </w:r>
      <w:r w:rsidRPr="00C14573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280F81" w:rsidRPr="00C14573">
        <w:rPr>
          <w:rFonts w:ascii="David" w:hAnsi="David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C14573">
        <w:rPr>
          <w:rFonts w:ascii="David" w:hAnsi="David" w:cs="David"/>
          <w:b/>
          <w:bCs/>
          <w:sz w:val="24"/>
          <w:szCs w:val="24"/>
          <w:rtl/>
        </w:rPr>
        <w:t xml:space="preserve"> (משכנתאות)</w:t>
      </w:r>
    </w:p>
    <w:p w:rsidR="00005C41" w:rsidRPr="00C14573" w:rsidRDefault="00005C41" w:rsidP="00005C4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324EF2" w:rsidRPr="00C14573" w:rsidRDefault="00777113" w:rsidP="00280F81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C14573">
        <w:rPr>
          <w:rFonts w:ascii="David" w:hAnsi="David" w:cs="David"/>
          <w:noProof/>
          <w:sz w:val="24"/>
          <w:szCs w:val="24"/>
          <w:lang w:eastAsia="en-US"/>
        </w:rPr>
        <w:drawing>
          <wp:inline distT="0" distB="0" distL="0" distR="0" wp14:anchorId="27C622E8">
            <wp:extent cx="5297805" cy="2828925"/>
            <wp:effectExtent l="0" t="0" r="0" b="9525"/>
            <wp:docPr id="18" name="תמונה 18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C14573" w:rsidRDefault="006B0BAE" w:rsidP="00AD6881">
      <w:pPr>
        <w:pStyle w:val="a9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C14573">
        <w:rPr>
          <w:rFonts w:ascii="David" w:hAnsi="David" w:cs="David"/>
          <w:sz w:val="24"/>
          <w:szCs w:val="24"/>
          <w:rtl/>
        </w:rPr>
        <w:t xml:space="preserve">ראה קישור למידע נוסף בנושא המופיע באתר הבנק בדף </w:t>
      </w:r>
      <w:hyperlink r:id="rId17" w:history="1">
        <w:r w:rsidRPr="00C14573">
          <w:rPr>
            <w:rStyle w:val="Hyperlink"/>
            <w:rFonts w:ascii="David" w:hAnsi="David" w:cs="David"/>
            <w:sz w:val="24"/>
            <w:szCs w:val="24"/>
            <w:rtl/>
          </w:rPr>
          <w:t>יתרות האשראי במשק</w:t>
        </w:r>
      </w:hyperlink>
      <w:r w:rsidRPr="00C14573">
        <w:rPr>
          <w:rFonts w:ascii="David" w:hAnsi="David" w:cs="David"/>
          <w:sz w:val="24"/>
          <w:szCs w:val="24"/>
          <w:rtl/>
        </w:rPr>
        <w:t xml:space="preserve">, קישור </w:t>
      </w:r>
      <w:hyperlink r:id="rId18" w:history="1">
        <w:r w:rsidRPr="00C14573">
          <w:rPr>
            <w:rStyle w:val="Hyperlink"/>
            <w:rFonts w:ascii="David" w:hAnsi="David" w:cs="David"/>
            <w:sz w:val="24"/>
            <w:szCs w:val="24"/>
            <w:rtl/>
          </w:rPr>
          <w:t>לנתוני משכנתאות</w:t>
        </w:r>
      </w:hyperlink>
      <w:r w:rsidR="00F97D41" w:rsidRPr="00C14573">
        <w:rPr>
          <w:rFonts w:ascii="David" w:hAnsi="David" w:cs="David"/>
          <w:sz w:val="24"/>
          <w:szCs w:val="24"/>
          <w:rtl/>
        </w:rPr>
        <w:t xml:space="preserve">, קישור לנתוני </w:t>
      </w:r>
      <w:hyperlink r:id="rId19" w:history="1">
        <w:r w:rsidR="00F97D41" w:rsidRPr="00C14573">
          <w:rPr>
            <w:rStyle w:val="Hyperlink"/>
            <w:rFonts w:ascii="David" w:hAnsi="David" w:cs="David"/>
            <w:sz w:val="24"/>
            <w:szCs w:val="24"/>
            <w:rtl/>
          </w:rPr>
          <w:t>מחירים בבנקים</w:t>
        </w:r>
      </w:hyperlink>
      <w:r w:rsidR="00F97D41" w:rsidRPr="00C14573">
        <w:rPr>
          <w:rFonts w:ascii="David" w:hAnsi="David" w:cs="David"/>
          <w:sz w:val="24"/>
          <w:szCs w:val="24"/>
          <w:rtl/>
        </w:rPr>
        <w:t>.</w:t>
      </w:r>
    </w:p>
    <w:sectPr w:rsidR="00F97D41" w:rsidRPr="00C14573" w:rsidSect="007A3CCD">
      <w:footerReference w:type="default" r:id="rId20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3D" w:rsidRDefault="00A84B3D" w:rsidP="00C04A6B">
      <w:r>
        <w:separator/>
      </w:r>
    </w:p>
  </w:endnote>
  <w:endnote w:type="continuationSeparator" w:id="0">
    <w:p w:rsidR="00A84B3D" w:rsidRDefault="00A84B3D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E2" w:rsidRPr="007A3CCD" w:rsidRDefault="002438E2" w:rsidP="00C14573">
    <w:pPr>
      <w:pStyle w:val="a7"/>
      <w:tabs>
        <w:tab w:val="clear" w:pos="8306"/>
        <w:tab w:val="right" w:pos="8873"/>
      </w:tabs>
      <w:bidi/>
      <w:ind w:left="-625"/>
      <w:jc w:val="right"/>
      <w:rPr>
        <w:rFonts w:ascii="Arial" w:hAnsi="Arial" w:cs="Arial"/>
        <w:sz w:val="24"/>
        <w:szCs w:val="24"/>
        <w:rtl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3D" w:rsidRDefault="00A84B3D" w:rsidP="00C04A6B">
      <w:r>
        <w:separator/>
      </w:r>
    </w:p>
  </w:footnote>
  <w:footnote w:type="continuationSeparator" w:id="0">
    <w:p w:rsidR="00A84B3D" w:rsidRDefault="00A84B3D" w:rsidP="00C04A6B">
      <w:r>
        <w:continuationSeparator/>
      </w:r>
    </w:p>
  </w:footnote>
  <w:footnote w:id="1">
    <w:p w:rsidR="00474B96" w:rsidRPr="00C14573" w:rsidRDefault="00474B96" w:rsidP="00474B96">
      <w:pPr>
        <w:pStyle w:val="af"/>
        <w:bidi/>
        <w:rPr>
          <w:rFonts w:ascii="David" w:hAnsi="David" w:cs="David"/>
          <w:rtl/>
        </w:rPr>
      </w:pPr>
      <w:r w:rsidRPr="00C14573">
        <w:rPr>
          <w:rStyle w:val="af1"/>
          <w:rFonts w:ascii="David" w:hAnsi="David" w:cs="David"/>
        </w:rPr>
        <w:footnoteRef/>
      </w:r>
      <w:r w:rsidRPr="00C14573">
        <w:rPr>
          <w:rFonts w:ascii="David" w:hAnsi="David" w:cs="David"/>
        </w:rPr>
        <w:t xml:space="preserve"> </w:t>
      </w:r>
      <w:r w:rsidRPr="00C14573">
        <w:rPr>
          <w:rFonts w:ascii="David" w:hAnsi="David" w:cs="David"/>
          <w:rtl/>
        </w:rPr>
        <w:t xml:space="preserve"> </w:t>
      </w:r>
      <w:r w:rsidR="00DC263E" w:rsidRPr="00C14573">
        <w:rPr>
          <w:rFonts w:ascii="David" w:hAnsi="David" w:cs="David"/>
          <w:rtl/>
        </w:rPr>
        <w:t xml:space="preserve">חברות עסקיות ישראליות, </w:t>
      </w:r>
      <w:r w:rsidRPr="00C14573">
        <w:rPr>
          <w:rFonts w:ascii="David" w:hAnsi="David" w:cs="David"/>
          <w:rtl/>
        </w:rPr>
        <w:t>ללא בנקים, חברות כרטיסי אשראי וחברות ביטוח.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5C41"/>
    <w:rsid w:val="00011D14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029A"/>
    <w:rsid w:val="000418F2"/>
    <w:rsid w:val="00041E30"/>
    <w:rsid w:val="0004490E"/>
    <w:rsid w:val="00045838"/>
    <w:rsid w:val="00051063"/>
    <w:rsid w:val="0005169A"/>
    <w:rsid w:val="00053684"/>
    <w:rsid w:val="0005562A"/>
    <w:rsid w:val="00060D8E"/>
    <w:rsid w:val="0006247F"/>
    <w:rsid w:val="000624C1"/>
    <w:rsid w:val="000630AB"/>
    <w:rsid w:val="00063601"/>
    <w:rsid w:val="00064830"/>
    <w:rsid w:val="00065320"/>
    <w:rsid w:val="00065C62"/>
    <w:rsid w:val="00070391"/>
    <w:rsid w:val="000713E4"/>
    <w:rsid w:val="00075FC4"/>
    <w:rsid w:val="000812AB"/>
    <w:rsid w:val="00081313"/>
    <w:rsid w:val="000822C2"/>
    <w:rsid w:val="00085BE0"/>
    <w:rsid w:val="000874C1"/>
    <w:rsid w:val="000911D7"/>
    <w:rsid w:val="000915A6"/>
    <w:rsid w:val="0009315D"/>
    <w:rsid w:val="00097E8B"/>
    <w:rsid w:val="000A4C37"/>
    <w:rsid w:val="000A588A"/>
    <w:rsid w:val="000B083E"/>
    <w:rsid w:val="000B190F"/>
    <w:rsid w:val="000B6B82"/>
    <w:rsid w:val="000B7AE3"/>
    <w:rsid w:val="000B7D5E"/>
    <w:rsid w:val="000C62F4"/>
    <w:rsid w:val="000D756E"/>
    <w:rsid w:val="000E3992"/>
    <w:rsid w:val="000E3F1A"/>
    <w:rsid w:val="000E45F2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731B"/>
    <w:rsid w:val="00107D10"/>
    <w:rsid w:val="00115A6D"/>
    <w:rsid w:val="00115A82"/>
    <w:rsid w:val="0011712D"/>
    <w:rsid w:val="001178ED"/>
    <w:rsid w:val="00117C7B"/>
    <w:rsid w:val="0012175B"/>
    <w:rsid w:val="00121FF7"/>
    <w:rsid w:val="00125E7E"/>
    <w:rsid w:val="00127335"/>
    <w:rsid w:val="00127CE7"/>
    <w:rsid w:val="00130EF4"/>
    <w:rsid w:val="001316A1"/>
    <w:rsid w:val="001329B0"/>
    <w:rsid w:val="00132A42"/>
    <w:rsid w:val="00137006"/>
    <w:rsid w:val="0013752D"/>
    <w:rsid w:val="001400D2"/>
    <w:rsid w:val="001431B5"/>
    <w:rsid w:val="00143BC9"/>
    <w:rsid w:val="00144AA6"/>
    <w:rsid w:val="00146694"/>
    <w:rsid w:val="001503F7"/>
    <w:rsid w:val="001510D4"/>
    <w:rsid w:val="001543AD"/>
    <w:rsid w:val="00162787"/>
    <w:rsid w:val="00166C6B"/>
    <w:rsid w:val="0017002C"/>
    <w:rsid w:val="00177686"/>
    <w:rsid w:val="00180E8A"/>
    <w:rsid w:val="00182968"/>
    <w:rsid w:val="00186495"/>
    <w:rsid w:val="0018670E"/>
    <w:rsid w:val="0019015A"/>
    <w:rsid w:val="001909E1"/>
    <w:rsid w:val="00193A25"/>
    <w:rsid w:val="001943E3"/>
    <w:rsid w:val="00194480"/>
    <w:rsid w:val="0019703C"/>
    <w:rsid w:val="001B15F7"/>
    <w:rsid w:val="001B3C3C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E78A9"/>
    <w:rsid w:val="001F1E1B"/>
    <w:rsid w:val="001F436F"/>
    <w:rsid w:val="001F50C9"/>
    <w:rsid w:val="001F529C"/>
    <w:rsid w:val="00207EF6"/>
    <w:rsid w:val="00210333"/>
    <w:rsid w:val="00210E2D"/>
    <w:rsid w:val="0021293F"/>
    <w:rsid w:val="00214D6B"/>
    <w:rsid w:val="00215E7F"/>
    <w:rsid w:val="0022046E"/>
    <w:rsid w:val="00221420"/>
    <w:rsid w:val="002232D2"/>
    <w:rsid w:val="002237E5"/>
    <w:rsid w:val="0022486C"/>
    <w:rsid w:val="00224F08"/>
    <w:rsid w:val="00225651"/>
    <w:rsid w:val="00227BB9"/>
    <w:rsid w:val="0023142A"/>
    <w:rsid w:val="002318C9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55A4E"/>
    <w:rsid w:val="00260F11"/>
    <w:rsid w:val="00263083"/>
    <w:rsid w:val="00264230"/>
    <w:rsid w:val="00265361"/>
    <w:rsid w:val="00266DC3"/>
    <w:rsid w:val="0027192B"/>
    <w:rsid w:val="00274A6A"/>
    <w:rsid w:val="00280F81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A2E"/>
    <w:rsid w:val="002972B4"/>
    <w:rsid w:val="002A0469"/>
    <w:rsid w:val="002A2B75"/>
    <w:rsid w:val="002A51F1"/>
    <w:rsid w:val="002A5C23"/>
    <w:rsid w:val="002A60C4"/>
    <w:rsid w:val="002B0F7F"/>
    <w:rsid w:val="002B39A4"/>
    <w:rsid w:val="002B3FB0"/>
    <w:rsid w:val="002B447B"/>
    <w:rsid w:val="002B74E5"/>
    <w:rsid w:val="002C2286"/>
    <w:rsid w:val="002C29DA"/>
    <w:rsid w:val="002C3A77"/>
    <w:rsid w:val="002C515A"/>
    <w:rsid w:val="002C7213"/>
    <w:rsid w:val="002C73B0"/>
    <w:rsid w:val="002C756B"/>
    <w:rsid w:val="002D0FD7"/>
    <w:rsid w:val="002D1779"/>
    <w:rsid w:val="002D3C1F"/>
    <w:rsid w:val="002E016D"/>
    <w:rsid w:val="002E20F7"/>
    <w:rsid w:val="002E5ADF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5E7"/>
    <w:rsid w:val="00310281"/>
    <w:rsid w:val="003138AF"/>
    <w:rsid w:val="00315DCB"/>
    <w:rsid w:val="00317948"/>
    <w:rsid w:val="00320FD1"/>
    <w:rsid w:val="00322FC0"/>
    <w:rsid w:val="00323164"/>
    <w:rsid w:val="003240D3"/>
    <w:rsid w:val="00324EF2"/>
    <w:rsid w:val="0033214F"/>
    <w:rsid w:val="00333F8E"/>
    <w:rsid w:val="00340B38"/>
    <w:rsid w:val="0034285A"/>
    <w:rsid w:val="003439F5"/>
    <w:rsid w:val="0035070F"/>
    <w:rsid w:val="003509EF"/>
    <w:rsid w:val="00351EF0"/>
    <w:rsid w:val="003537B9"/>
    <w:rsid w:val="003576B2"/>
    <w:rsid w:val="00357818"/>
    <w:rsid w:val="00363D6A"/>
    <w:rsid w:val="003641D5"/>
    <w:rsid w:val="003645A9"/>
    <w:rsid w:val="00364AB7"/>
    <w:rsid w:val="00370901"/>
    <w:rsid w:val="003713E8"/>
    <w:rsid w:val="0037614E"/>
    <w:rsid w:val="003766F9"/>
    <w:rsid w:val="00377C33"/>
    <w:rsid w:val="0038353E"/>
    <w:rsid w:val="0038394F"/>
    <w:rsid w:val="00383F02"/>
    <w:rsid w:val="00385301"/>
    <w:rsid w:val="003901E0"/>
    <w:rsid w:val="00390EEB"/>
    <w:rsid w:val="003928D7"/>
    <w:rsid w:val="00395C57"/>
    <w:rsid w:val="003A0C66"/>
    <w:rsid w:val="003A242C"/>
    <w:rsid w:val="003A2FA9"/>
    <w:rsid w:val="003A315C"/>
    <w:rsid w:val="003A43C0"/>
    <w:rsid w:val="003A48D2"/>
    <w:rsid w:val="003A490D"/>
    <w:rsid w:val="003A5570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61BA"/>
    <w:rsid w:val="003B6ADF"/>
    <w:rsid w:val="003C751F"/>
    <w:rsid w:val="003D04A2"/>
    <w:rsid w:val="003D06D2"/>
    <w:rsid w:val="003D54D0"/>
    <w:rsid w:val="003E3AEF"/>
    <w:rsid w:val="003E4002"/>
    <w:rsid w:val="003E68CF"/>
    <w:rsid w:val="003F12AD"/>
    <w:rsid w:val="003F39B8"/>
    <w:rsid w:val="003F4002"/>
    <w:rsid w:val="003F454D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20F93"/>
    <w:rsid w:val="00424BF3"/>
    <w:rsid w:val="00426001"/>
    <w:rsid w:val="004268D2"/>
    <w:rsid w:val="00426A9C"/>
    <w:rsid w:val="0043226F"/>
    <w:rsid w:val="0044713E"/>
    <w:rsid w:val="004474C7"/>
    <w:rsid w:val="0045197C"/>
    <w:rsid w:val="00453DD1"/>
    <w:rsid w:val="004606C0"/>
    <w:rsid w:val="00460712"/>
    <w:rsid w:val="004625EB"/>
    <w:rsid w:val="0046354A"/>
    <w:rsid w:val="00464A9A"/>
    <w:rsid w:val="00466F96"/>
    <w:rsid w:val="00470630"/>
    <w:rsid w:val="00470996"/>
    <w:rsid w:val="004717A3"/>
    <w:rsid w:val="00472EDE"/>
    <w:rsid w:val="00474B96"/>
    <w:rsid w:val="004806BA"/>
    <w:rsid w:val="00480FFC"/>
    <w:rsid w:val="00482D0E"/>
    <w:rsid w:val="00484208"/>
    <w:rsid w:val="00493882"/>
    <w:rsid w:val="00497BD0"/>
    <w:rsid w:val="004A6D8C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63EE"/>
    <w:rsid w:val="004D746B"/>
    <w:rsid w:val="004D763E"/>
    <w:rsid w:val="004E2566"/>
    <w:rsid w:val="004F06E0"/>
    <w:rsid w:val="004F16EA"/>
    <w:rsid w:val="004F1EB9"/>
    <w:rsid w:val="004F3279"/>
    <w:rsid w:val="004F426F"/>
    <w:rsid w:val="004F4E43"/>
    <w:rsid w:val="00502068"/>
    <w:rsid w:val="00502294"/>
    <w:rsid w:val="005042A9"/>
    <w:rsid w:val="0050443A"/>
    <w:rsid w:val="00507193"/>
    <w:rsid w:val="00507235"/>
    <w:rsid w:val="00510ABA"/>
    <w:rsid w:val="00513C0C"/>
    <w:rsid w:val="00516A2C"/>
    <w:rsid w:val="00520122"/>
    <w:rsid w:val="00521DE3"/>
    <w:rsid w:val="00522BB0"/>
    <w:rsid w:val="00525B9D"/>
    <w:rsid w:val="00526641"/>
    <w:rsid w:val="00532713"/>
    <w:rsid w:val="0054311D"/>
    <w:rsid w:val="0054512E"/>
    <w:rsid w:val="00546295"/>
    <w:rsid w:val="005528A7"/>
    <w:rsid w:val="00555BDD"/>
    <w:rsid w:val="0056103E"/>
    <w:rsid w:val="00561E57"/>
    <w:rsid w:val="0056258A"/>
    <w:rsid w:val="00572730"/>
    <w:rsid w:val="00572B04"/>
    <w:rsid w:val="00573545"/>
    <w:rsid w:val="00574044"/>
    <w:rsid w:val="00577146"/>
    <w:rsid w:val="005816B4"/>
    <w:rsid w:val="00584275"/>
    <w:rsid w:val="0058468A"/>
    <w:rsid w:val="00585612"/>
    <w:rsid w:val="005913CE"/>
    <w:rsid w:val="005921D5"/>
    <w:rsid w:val="005958D0"/>
    <w:rsid w:val="00596389"/>
    <w:rsid w:val="005972B0"/>
    <w:rsid w:val="005A199D"/>
    <w:rsid w:val="005A4B9C"/>
    <w:rsid w:val="005A5B31"/>
    <w:rsid w:val="005A6536"/>
    <w:rsid w:val="005A7029"/>
    <w:rsid w:val="005B24B3"/>
    <w:rsid w:val="005B3C69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40CD"/>
    <w:rsid w:val="005E6AF0"/>
    <w:rsid w:val="005E77A7"/>
    <w:rsid w:val="005E7841"/>
    <w:rsid w:val="005F482A"/>
    <w:rsid w:val="005F663A"/>
    <w:rsid w:val="00600591"/>
    <w:rsid w:val="006028EA"/>
    <w:rsid w:val="00602DED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1A91"/>
    <w:rsid w:val="00632F81"/>
    <w:rsid w:val="006345E5"/>
    <w:rsid w:val="00635BDC"/>
    <w:rsid w:val="00636483"/>
    <w:rsid w:val="00636A4D"/>
    <w:rsid w:val="006373FB"/>
    <w:rsid w:val="006407DF"/>
    <w:rsid w:val="0064196B"/>
    <w:rsid w:val="00643343"/>
    <w:rsid w:val="006453AB"/>
    <w:rsid w:val="0064551B"/>
    <w:rsid w:val="00650A9D"/>
    <w:rsid w:val="00652294"/>
    <w:rsid w:val="00664600"/>
    <w:rsid w:val="00664A0B"/>
    <w:rsid w:val="00665A1C"/>
    <w:rsid w:val="00670D97"/>
    <w:rsid w:val="00674FDA"/>
    <w:rsid w:val="00675551"/>
    <w:rsid w:val="00675FDA"/>
    <w:rsid w:val="00676F2C"/>
    <w:rsid w:val="006816CE"/>
    <w:rsid w:val="006819E9"/>
    <w:rsid w:val="00682B0D"/>
    <w:rsid w:val="0069062B"/>
    <w:rsid w:val="00691556"/>
    <w:rsid w:val="00695778"/>
    <w:rsid w:val="006957E0"/>
    <w:rsid w:val="00695929"/>
    <w:rsid w:val="006961B2"/>
    <w:rsid w:val="00697C2E"/>
    <w:rsid w:val="006A160B"/>
    <w:rsid w:val="006A16E5"/>
    <w:rsid w:val="006A4A2C"/>
    <w:rsid w:val="006A66B4"/>
    <w:rsid w:val="006A7088"/>
    <w:rsid w:val="006B0BAE"/>
    <w:rsid w:val="006B2FAC"/>
    <w:rsid w:val="006B58A2"/>
    <w:rsid w:val="006B624E"/>
    <w:rsid w:val="006B6ACF"/>
    <w:rsid w:val="006C01FB"/>
    <w:rsid w:val="006C27C7"/>
    <w:rsid w:val="006D0C16"/>
    <w:rsid w:val="006D3752"/>
    <w:rsid w:val="006D526D"/>
    <w:rsid w:val="006D7644"/>
    <w:rsid w:val="006E0537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1617D"/>
    <w:rsid w:val="00716EF2"/>
    <w:rsid w:val="00720923"/>
    <w:rsid w:val="00725208"/>
    <w:rsid w:val="00725739"/>
    <w:rsid w:val="00727054"/>
    <w:rsid w:val="00737755"/>
    <w:rsid w:val="00742DCE"/>
    <w:rsid w:val="00744938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231E"/>
    <w:rsid w:val="00762D5A"/>
    <w:rsid w:val="00763347"/>
    <w:rsid w:val="007714BD"/>
    <w:rsid w:val="0077544B"/>
    <w:rsid w:val="0077670A"/>
    <w:rsid w:val="00777113"/>
    <w:rsid w:val="0077779F"/>
    <w:rsid w:val="00781240"/>
    <w:rsid w:val="0078308C"/>
    <w:rsid w:val="0078308F"/>
    <w:rsid w:val="00784528"/>
    <w:rsid w:val="00784F91"/>
    <w:rsid w:val="0078511C"/>
    <w:rsid w:val="00787DD9"/>
    <w:rsid w:val="00790911"/>
    <w:rsid w:val="0079278E"/>
    <w:rsid w:val="0079675B"/>
    <w:rsid w:val="007A2DDB"/>
    <w:rsid w:val="007A39D0"/>
    <w:rsid w:val="007A3CCD"/>
    <w:rsid w:val="007B1313"/>
    <w:rsid w:val="007B174B"/>
    <w:rsid w:val="007B45DE"/>
    <w:rsid w:val="007B6206"/>
    <w:rsid w:val="007C0A47"/>
    <w:rsid w:val="007C2446"/>
    <w:rsid w:val="007C26CE"/>
    <w:rsid w:val="007C3769"/>
    <w:rsid w:val="007C4233"/>
    <w:rsid w:val="007C639F"/>
    <w:rsid w:val="007D0D18"/>
    <w:rsid w:val="007D0EF4"/>
    <w:rsid w:val="007D32BF"/>
    <w:rsid w:val="007D7D86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7054"/>
    <w:rsid w:val="00811358"/>
    <w:rsid w:val="008121D7"/>
    <w:rsid w:val="00814206"/>
    <w:rsid w:val="008158A5"/>
    <w:rsid w:val="008215C3"/>
    <w:rsid w:val="00825878"/>
    <w:rsid w:val="008259B7"/>
    <w:rsid w:val="00825F21"/>
    <w:rsid w:val="00826810"/>
    <w:rsid w:val="00835FC5"/>
    <w:rsid w:val="00843E29"/>
    <w:rsid w:val="008478AE"/>
    <w:rsid w:val="00847B21"/>
    <w:rsid w:val="00852D44"/>
    <w:rsid w:val="00860503"/>
    <w:rsid w:val="008608B4"/>
    <w:rsid w:val="0086154C"/>
    <w:rsid w:val="0086330B"/>
    <w:rsid w:val="00864546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68F8"/>
    <w:rsid w:val="0088690D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771A"/>
    <w:rsid w:val="008C197C"/>
    <w:rsid w:val="008C335C"/>
    <w:rsid w:val="008C5990"/>
    <w:rsid w:val="008C6760"/>
    <w:rsid w:val="008D098C"/>
    <w:rsid w:val="008D2EA6"/>
    <w:rsid w:val="008D5AD7"/>
    <w:rsid w:val="008D68DB"/>
    <w:rsid w:val="008E2AE6"/>
    <w:rsid w:val="008E4D5D"/>
    <w:rsid w:val="008E50B1"/>
    <w:rsid w:val="008E7A02"/>
    <w:rsid w:val="008F47C4"/>
    <w:rsid w:val="0090225A"/>
    <w:rsid w:val="00902402"/>
    <w:rsid w:val="0090346B"/>
    <w:rsid w:val="009050FC"/>
    <w:rsid w:val="009065F1"/>
    <w:rsid w:val="00911151"/>
    <w:rsid w:val="009118DB"/>
    <w:rsid w:val="00912494"/>
    <w:rsid w:val="00915424"/>
    <w:rsid w:val="00915CE8"/>
    <w:rsid w:val="00917C1C"/>
    <w:rsid w:val="0092021B"/>
    <w:rsid w:val="00923125"/>
    <w:rsid w:val="009231C3"/>
    <w:rsid w:val="00925F5D"/>
    <w:rsid w:val="009303F4"/>
    <w:rsid w:val="009311DE"/>
    <w:rsid w:val="00933604"/>
    <w:rsid w:val="00941A49"/>
    <w:rsid w:val="00943887"/>
    <w:rsid w:val="009444D9"/>
    <w:rsid w:val="009467BA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7BED"/>
    <w:rsid w:val="009818C2"/>
    <w:rsid w:val="00981FA3"/>
    <w:rsid w:val="00985045"/>
    <w:rsid w:val="00985B74"/>
    <w:rsid w:val="0099010D"/>
    <w:rsid w:val="00990A9F"/>
    <w:rsid w:val="00992E1E"/>
    <w:rsid w:val="0099500B"/>
    <w:rsid w:val="00995039"/>
    <w:rsid w:val="00996693"/>
    <w:rsid w:val="009974D0"/>
    <w:rsid w:val="009A2755"/>
    <w:rsid w:val="009A3808"/>
    <w:rsid w:val="009A54F7"/>
    <w:rsid w:val="009A7195"/>
    <w:rsid w:val="009A773E"/>
    <w:rsid w:val="009B0128"/>
    <w:rsid w:val="009B16C6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7283"/>
    <w:rsid w:val="00A20385"/>
    <w:rsid w:val="00A23183"/>
    <w:rsid w:val="00A24CC8"/>
    <w:rsid w:val="00A30DCC"/>
    <w:rsid w:val="00A322B9"/>
    <w:rsid w:val="00A32A72"/>
    <w:rsid w:val="00A333C5"/>
    <w:rsid w:val="00A334F6"/>
    <w:rsid w:val="00A3417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4B3D"/>
    <w:rsid w:val="00A85E92"/>
    <w:rsid w:val="00A878A6"/>
    <w:rsid w:val="00A933C6"/>
    <w:rsid w:val="00A94B36"/>
    <w:rsid w:val="00A95DD8"/>
    <w:rsid w:val="00A96870"/>
    <w:rsid w:val="00A96BDC"/>
    <w:rsid w:val="00A979CF"/>
    <w:rsid w:val="00AA0702"/>
    <w:rsid w:val="00AA0AFF"/>
    <w:rsid w:val="00AA0C2F"/>
    <w:rsid w:val="00AA22D1"/>
    <w:rsid w:val="00AA3E80"/>
    <w:rsid w:val="00AA51B0"/>
    <w:rsid w:val="00AA6DC6"/>
    <w:rsid w:val="00AA70E3"/>
    <w:rsid w:val="00AB31EF"/>
    <w:rsid w:val="00AB409F"/>
    <w:rsid w:val="00AB44C3"/>
    <w:rsid w:val="00AB5B06"/>
    <w:rsid w:val="00AC3E61"/>
    <w:rsid w:val="00AC47DE"/>
    <w:rsid w:val="00AC5CD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C0D"/>
    <w:rsid w:val="00B03DCA"/>
    <w:rsid w:val="00B055B5"/>
    <w:rsid w:val="00B058F3"/>
    <w:rsid w:val="00B072ED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4F7C"/>
    <w:rsid w:val="00B24FBE"/>
    <w:rsid w:val="00B2503D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7332"/>
    <w:rsid w:val="00B474E8"/>
    <w:rsid w:val="00B478D2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6814"/>
    <w:rsid w:val="00B801AB"/>
    <w:rsid w:val="00B80AE5"/>
    <w:rsid w:val="00B841F2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BFF"/>
    <w:rsid w:val="00BA5E1F"/>
    <w:rsid w:val="00BB15EB"/>
    <w:rsid w:val="00BB1F1B"/>
    <w:rsid w:val="00BB23C1"/>
    <w:rsid w:val="00BB4550"/>
    <w:rsid w:val="00BB4F5C"/>
    <w:rsid w:val="00BB7F49"/>
    <w:rsid w:val="00BC578A"/>
    <w:rsid w:val="00BD1037"/>
    <w:rsid w:val="00BD3A1C"/>
    <w:rsid w:val="00BD4578"/>
    <w:rsid w:val="00BD55EC"/>
    <w:rsid w:val="00BD7804"/>
    <w:rsid w:val="00BE235C"/>
    <w:rsid w:val="00BE3716"/>
    <w:rsid w:val="00BE49A2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0811"/>
    <w:rsid w:val="00C1139C"/>
    <w:rsid w:val="00C14573"/>
    <w:rsid w:val="00C21539"/>
    <w:rsid w:val="00C22C1E"/>
    <w:rsid w:val="00C22E09"/>
    <w:rsid w:val="00C259B6"/>
    <w:rsid w:val="00C25C1C"/>
    <w:rsid w:val="00C3219B"/>
    <w:rsid w:val="00C411E7"/>
    <w:rsid w:val="00C4129A"/>
    <w:rsid w:val="00C44E9B"/>
    <w:rsid w:val="00C45C9C"/>
    <w:rsid w:val="00C4703E"/>
    <w:rsid w:val="00C47A82"/>
    <w:rsid w:val="00C5174C"/>
    <w:rsid w:val="00C51835"/>
    <w:rsid w:val="00C56B85"/>
    <w:rsid w:val="00C60849"/>
    <w:rsid w:val="00C6135C"/>
    <w:rsid w:val="00C63A60"/>
    <w:rsid w:val="00C656C3"/>
    <w:rsid w:val="00C7000A"/>
    <w:rsid w:val="00C71943"/>
    <w:rsid w:val="00C72743"/>
    <w:rsid w:val="00C843C1"/>
    <w:rsid w:val="00C84B20"/>
    <w:rsid w:val="00C87F91"/>
    <w:rsid w:val="00C9110B"/>
    <w:rsid w:val="00C9322A"/>
    <w:rsid w:val="00C9450A"/>
    <w:rsid w:val="00C94676"/>
    <w:rsid w:val="00C95582"/>
    <w:rsid w:val="00CA10CF"/>
    <w:rsid w:val="00CA6DAB"/>
    <w:rsid w:val="00CB040E"/>
    <w:rsid w:val="00CB07FA"/>
    <w:rsid w:val="00CB187C"/>
    <w:rsid w:val="00CB1B2B"/>
    <w:rsid w:val="00CB39D9"/>
    <w:rsid w:val="00CB450C"/>
    <w:rsid w:val="00CC1A24"/>
    <w:rsid w:val="00CC2676"/>
    <w:rsid w:val="00CC2B6E"/>
    <w:rsid w:val="00CC6D6D"/>
    <w:rsid w:val="00CD06A0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E7A68"/>
    <w:rsid w:val="00CF1E50"/>
    <w:rsid w:val="00CF24FB"/>
    <w:rsid w:val="00CF6B60"/>
    <w:rsid w:val="00CF76EE"/>
    <w:rsid w:val="00D0022E"/>
    <w:rsid w:val="00D02264"/>
    <w:rsid w:val="00D02682"/>
    <w:rsid w:val="00D04887"/>
    <w:rsid w:val="00D06C99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46DF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1E63"/>
    <w:rsid w:val="00D80B77"/>
    <w:rsid w:val="00D81061"/>
    <w:rsid w:val="00D81660"/>
    <w:rsid w:val="00D81866"/>
    <w:rsid w:val="00D84C94"/>
    <w:rsid w:val="00D850AB"/>
    <w:rsid w:val="00D86BF0"/>
    <w:rsid w:val="00D87DC1"/>
    <w:rsid w:val="00D95186"/>
    <w:rsid w:val="00D960E3"/>
    <w:rsid w:val="00DA01D8"/>
    <w:rsid w:val="00DA070E"/>
    <w:rsid w:val="00DA2C0B"/>
    <w:rsid w:val="00DA3BD9"/>
    <w:rsid w:val="00DA3CE5"/>
    <w:rsid w:val="00DA4279"/>
    <w:rsid w:val="00DB2E03"/>
    <w:rsid w:val="00DB5322"/>
    <w:rsid w:val="00DB630B"/>
    <w:rsid w:val="00DB6C55"/>
    <w:rsid w:val="00DB73B4"/>
    <w:rsid w:val="00DB7F65"/>
    <w:rsid w:val="00DC263E"/>
    <w:rsid w:val="00DC3899"/>
    <w:rsid w:val="00DC3BC8"/>
    <w:rsid w:val="00DC51E3"/>
    <w:rsid w:val="00DD0FB0"/>
    <w:rsid w:val="00DD100F"/>
    <w:rsid w:val="00DD1B3F"/>
    <w:rsid w:val="00DD5923"/>
    <w:rsid w:val="00DD599F"/>
    <w:rsid w:val="00DE3E4A"/>
    <w:rsid w:val="00DE4BB3"/>
    <w:rsid w:val="00DE6ABB"/>
    <w:rsid w:val="00DE75E2"/>
    <w:rsid w:val="00DF19B1"/>
    <w:rsid w:val="00DF4120"/>
    <w:rsid w:val="00DF56CB"/>
    <w:rsid w:val="00E01030"/>
    <w:rsid w:val="00E10836"/>
    <w:rsid w:val="00E11343"/>
    <w:rsid w:val="00E13412"/>
    <w:rsid w:val="00E15796"/>
    <w:rsid w:val="00E16719"/>
    <w:rsid w:val="00E20EC3"/>
    <w:rsid w:val="00E23336"/>
    <w:rsid w:val="00E3272D"/>
    <w:rsid w:val="00E335BB"/>
    <w:rsid w:val="00E36930"/>
    <w:rsid w:val="00E4179F"/>
    <w:rsid w:val="00E42B88"/>
    <w:rsid w:val="00E44E3D"/>
    <w:rsid w:val="00E46A8F"/>
    <w:rsid w:val="00E46FD4"/>
    <w:rsid w:val="00E51F1E"/>
    <w:rsid w:val="00E577A9"/>
    <w:rsid w:val="00E65ACA"/>
    <w:rsid w:val="00E67ECB"/>
    <w:rsid w:val="00E73497"/>
    <w:rsid w:val="00E7456B"/>
    <w:rsid w:val="00E750DB"/>
    <w:rsid w:val="00E76607"/>
    <w:rsid w:val="00E80E85"/>
    <w:rsid w:val="00E85E11"/>
    <w:rsid w:val="00E870DD"/>
    <w:rsid w:val="00E9054A"/>
    <w:rsid w:val="00E91E57"/>
    <w:rsid w:val="00EA0C1C"/>
    <w:rsid w:val="00EA51C0"/>
    <w:rsid w:val="00EA7329"/>
    <w:rsid w:val="00EB5CD6"/>
    <w:rsid w:val="00EB61B0"/>
    <w:rsid w:val="00EC6205"/>
    <w:rsid w:val="00EC65F0"/>
    <w:rsid w:val="00ED153D"/>
    <w:rsid w:val="00ED17CE"/>
    <w:rsid w:val="00EE4337"/>
    <w:rsid w:val="00EE57B2"/>
    <w:rsid w:val="00EE5F35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6C3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902C8"/>
    <w:rsid w:val="00F9053D"/>
    <w:rsid w:val="00F90780"/>
    <w:rsid w:val="00F90BA8"/>
    <w:rsid w:val="00F91828"/>
    <w:rsid w:val="00F96916"/>
    <w:rsid w:val="00F97D41"/>
    <w:rsid w:val="00FA0242"/>
    <w:rsid w:val="00FA02EF"/>
    <w:rsid w:val="00FA0665"/>
    <w:rsid w:val="00FA1F15"/>
    <w:rsid w:val="00FA314D"/>
    <w:rsid w:val="00FA6355"/>
    <w:rsid w:val="00FA6451"/>
    <w:rsid w:val="00FA7EB2"/>
    <w:rsid w:val="00FB2A8C"/>
    <w:rsid w:val="00FB3D77"/>
    <w:rsid w:val="00FC1281"/>
    <w:rsid w:val="00FC2095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FFC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boi.org.il/he/BankingSupervision/Data/Pages/Tables.aspx?ChapterId=1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boi.org.il/he/DataAndStatistics/Pages/MainPage.aspx?Level=4&amp;Sid=53&amp;SubjectType=2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yperlink" Target="http://www.boi.org.il/he/BankingSupervision/Data/Pages/Tables.aspx?ChapterId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458EF95-2401-43EF-83E2-870B12D2E6B6}"/>
</file>

<file path=customXml/itemProps2.xml><?xml version="1.0" encoding="utf-8"?>
<ds:datastoreItem xmlns:ds="http://schemas.openxmlformats.org/officeDocument/2006/customXml" ds:itemID="{BA3D62F3-F8F1-477E-A43A-129FE1A0A692}"/>
</file>

<file path=customXml/itemProps3.xml><?xml version="1.0" encoding="utf-8"?>
<ds:datastoreItem xmlns:ds="http://schemas.openxmlformats.org/officeDocument/2006/customXml" ds:itemID="{30B5CB24-C160-4DD9-B933-0A67A9A5B46B}"/>
</file>

<file path=customXml/itemProps4.xml><?xml version="1.0" encoding="utf-8"?>
<ds:datastoreItem xmlns:ds="http://schemas.openxmlformats.org/officeDocument/2006/customXml" ds:itemID="{4115BBA7-4233-4625-9211-F4BE787244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511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2019-06-24T07:01:00Z</dcterms:created>
  <dcterms:modified xsi:type="dcterms:W3CDTF">2019-06-24T07:01:00Z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