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274311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F5365D" w:rsidRDefault="005D217D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365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F5365D" w:rsidRDefault="005D217D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5365D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F5365D" w:rsidRDefault="005D217D" w:rsidP="0029736D">
            <w:pPr>
              <w:jc w:val="center"/>
              <w:rPr>
                <w:rFonts w:asciiTheme="minorBidi" w:hAnsiTheme="minorBidi"/>
              </w:rPr>
            </w:pPr>
            <w:r w:rsidRPr="00F5365D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F5365D" w:rsidRDefault="005D217D" w:rsidP="009005BA">
            <w:pPr>
              <w:jc w:val="right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highlight w:val="green"/>
                <w:rtl/>
              </w:rPr>
              <w:t>‏</w:t>
            </w:r>
            <w:r w:rsidRPr="00F5365D">
              <w:rPr>
                <w:rFonts w:asciiTheme="minorBidi" w:hAnsiTheme="minorBidi"/>
                <w:rtl/>
              </w:rPr>
              <w:t xml:space="preserve">ירושלים, </w:t>
            </w:r>
            <w:r w:rsidRPr="00F5365D">
              <w:rPr>
                <w:rFonts w:asciiTheme="minorBidi" w:hAnsiTheme="minorBidi"/>
                <w:rtl/>
              </w:rPr>
              <w:fldChar w:fldCharType="begin"/>
            </w:r>
            <w:r w:rsidRPr="00F5365D">
              <w:rPr>
                <w:rFonts w:asciiTheme="minorBidi" w:hAnsiTheme="minorBidi"/>
                <w:rtl/>
              </w:rPr>
              <w:instrText xml:space="preserve"> </w:instrText>
            </w:r>
            <w:r w:rsidRPr="00F5365D">
              <w:rPr>
                <w:rFonts w:asciiTheme="minorBidi" w:hAnsiTheme="minorBidi"/>
              </w:rPr>
              <w:instrText>DATE</w:instrText>
            </w:r>
            <w:r w:rsidRPr="00F5365D">
              <w:rPr>
                <w:rFonts w:asciiTheme="minorBidi" w:hAnsiTheme="minorBidi"/>
                <w:rtl/>
              </w:rPr>
              <w:instrText xml:space="preserve"> \@ "</w:instrText>
            </w:r>
            <w:r w:rsidRPr="00F5365D">
              <w:rPr>
                <w:rFonts w:asciiTheme="minorBidi" w:hAnsiTheme="minorBidi"/>
              </w:rPr>
              <w:instrText>d MMMM, yyyy" \h</w:instrText>
            </w:r>
            <w:r w:rsidRPr="00F5365D">
              <w:rPr>
                <w:rFonts w:asciiTheme="minorBidi" w:hAnsiTheme="minorBidi"/>
                <w:rtl/>
              </w:rPr>
              <w:instrText xml:space="preserve"> </w:instrText>
            </w:r>
            <w:r w:rsidRPr="00F5365D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‏י' אייר, תשפ"ה</w:t>
            </w:r>
            <w:r w:rsidRPr="00F5365D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F5365D" w:rsidRDefault="005D217D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F5365D">
              <w:rPr>
                <w:rFonts w:asciiTheme="minorBidi" w:hAnsiTheme="minorBidi"/>
                <w:rtl/>
              </w:rPr>
              <w:fldChar w:fldCharType="begin"/>
            </w:r>
            <w:r w:rsidRPr="00F5365D">
              <w:rPr>
                <w:rFonts w:asciiTheme="minorBidi" w:hAnsiTheme="minorBidi"/>
                <w:rtl/>
              </w:rPr>
              <w:instrText xml:space="preserve"> </w:instrText>
            </w:r>
            <w:r w:rsidRPr="00F5365D">
              <w:rPr>
                <w:rFonts w:asciiTheme="minorBidi" w:hAnsiTheme="minorBidi"/>
              </w:rPr>
              <w:instrText>DATE</w:instrText>
            </w:r>
            <w:r w:rsidRPr="00F5365D">
              <w:rPr>
                <w:rFonts w:asciiTheme="minorBidi" w:hAnsiTheme="minorBidi"/>
                <w:rtl/>
              </w:rPr>
              <w:instrText xml:space="preserve"> \@ "</w:instrText>
            </w:r>
            <w:r w:rsidRPr="00F5365D">
              <w:rPr>
                <w:rFonts w:asciiTheme="minorBidi" w:hAnsiTheme="minorBidi"/>
              </w:rPr>
              <w:instrText>d MMMM, yyyy</w:instrText>
            </w:r>
            <w:r w:rsidRPr="00F5365D">
              <w:rPr>
                <w:rFonts w:asciiTheme="minorBidi" w:hAnsiTheme="minorBidi"/>
                <w:rtl/>
              </w:rPr>
              <w:instrText xml:space="preserve">" </w:instrText>
            </w:r>
            <w:r w:rsidRPr="00F5365D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‏8 מאי, 2025</w:t>
            </w:r>
            <w:r w:rsidRPr="00F5365D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F5365D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D66255" w:rsidRPr="00F5365D" w:rsidRDefault="005D217D" w:rsidP="009005BA">
      <w:pPr>
        <w:tabs>
          <w:tab w:val="left" w:pos="2315"/>
        </w:tabs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بيان صحفي:</w:t>
      </w:r>
    </w:p>
    <w:p w:rsidR="001E1C8C" w:rsidRPr="00F5365D" w:rsidRDefault="005D217D" w:rsidP="001E1C8C">
      <w:pPr>
        <w:pStyle w:val="Title"/>
        <w:pBdr>
          <w:bottom w:val="single" w:sz="4" w:space="4" w:color="auto"/>
        </w:pBdr>
        <w:spacing w:line="360" w:lineRule="auto"/>
        <w:rPr>
          <w:rFonts w:asciiTheme="minorBidi" w:hAnsiTheme="minorBidi" w:cstheme="minorBidi"/>
          <w:color w:val="1F497D"/>
          <w:rtl/>
        </w:rPr>
      </w:pPr>
      <w:r w:rsidRPr="00F5365D">
        <w:rPr>
          <w:rFonts w:asciiTheme="minorBidi" w:hAnsiTheme="minorBidi" w:cstheme="minorBidi"/>
          <w:sz w:val="28"/>
          <w:szCs w:val="28"/>
          <w:rtl/>
          <w:lang w:bidi="ar-SA"/>
        </w:rPr>
        <w:t>التداول في سوق الصرف الأجنبي في الربع الأول من عام</w:t>
      </w:r>
      <w:r w:rsidRPr="00F5365D">
        <w:rPr>
          <w:rFonts w:asciiTheme="minorBidi" w:hAnsiTheme="minorBidi" w:cstheme="minorBidi"/>
          <w:sz w:val="28"/>
          <w:szCs w:val="28"/>
          <w:rtl/>
        </w:rPr>
        <w:t xml:space="preserve"> 2025 </w:t>
      </w:r>
    </w:p>
    <w:p w:rsidR="00F5365D" w:rsidRDefault="00F5365D" w:rsidP="00F5365D">
      <w:pPr>
        <w:keepNext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bidi="ar-SA"/>
        </w:rPr>
      </w:pPr>
    </w:p>
    <w:p w:rsidR="00F5365D" w:rsidRPr="00F5365D" w:rsidRDefault="005D217D" w:rsidP="00F5365D">
      <w:pPr>
        <w:keepNext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bidi="ar-SA"/>
        </w:rPr>
      </w:pPr>
      <w:bookmarkStart w:id="0" w:name="_GoBack"/>
      <w:r w:rsidRPr="00F5365D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bidi="ar-SA"/>
        </w:rPr>
        <w:t xml:space="preserve">تطور سعر الصرف – </w:t>
      </w: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A"/>
        </w:rPr>
        <w:t>تراجع</w:t>
      </w:r>
      <w:r w:rsidRPr="00F5365D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bidi="ar-SA"/>
        </w:rPr>
        <w:t xml:space="preserve"> قيمة الشيكل </w:t>
      </w:r>
      <w:r w:rsidR="002D3A49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A"/>
        </w:rPr>
        <w:t>و</w:t>
      </w: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A"/>
        </w:rPr>
        <w:t>انخفاض</w:t>
      </w:r>
      <w:r w:rsidRPr="00F5365D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bidi="ar-SA"/>
        </w:rPr>
        <w:t xml:space="preserve"> قيمة الدولار في العالم.</w:t>
      </w:r>
    </w:p>
    <w:p w:rsidR="00F5365D" w:rsidRDefault="005D217D" w:rsidP="00F5365D">
      <w:pPr>
        <w:spacing w:line="480" w:lineRule="auto"/>
        <w:ind w:right="-101"/>
        <w:jc w:val="both"/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</w:pP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خلال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الربع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الأول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من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عام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2025،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انخفض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الشيكل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مقابل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الدولار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بنحو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2%،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ومقابل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اليورو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بنحو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6%.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كما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انخفض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الشيكل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بنسبة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3.7%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مقابل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عملات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شركاء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التجاريين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الرئيسيين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لإسرائيل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،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وفق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اً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لمؤشر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سعر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الصرف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الفعلي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الاسمي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. </w:t>
      </w:r>
    </w:p>
    <w:p w:rsidR="00F5365D" w:rsidRPr="00F5365D" w:rsidRDefault="005D217D" w:rsidP="00F5365D">
      <w:pPr>
        <w:spacing w:line="480" w:lineRule="auto"/>
        <w:ind w:right="-101"/>
        <w:jc w:val="both"/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</w:pP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منذ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بداية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العام،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تراجع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الدولار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مقابل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معظم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العملات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الرئيسية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في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العالم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(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الشكل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2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)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،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ويعزى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ذلك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أيض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اً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إلى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حالة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عدم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اليقين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بشأن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سياسة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التعريفات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الجمركية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الأمريكية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.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حيث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انخفض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الدولار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بنحو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4.6%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مقابل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الين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الياباني،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ونحو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3.8%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مقابل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اليورو</w:t>
      </w:r>
      <w:r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.</w:t>
      </w:r>
    </w:p>
    <w:p w:rsidR="001E1C8C" w:rsidRPr="00F5365D" w:rsidRDefault="005D217D" w:rsidP="001E1C8C">
      <w:pPr>
        <w:spacing w:line="360" w:lineRule="auto"/>
        <w:ind w:right="-101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F5365D">
        <w:rPr>
          <w:rFonts w:asciiTheme="minorBidi" w:hAnsiTheme="minorBid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2848417</wp:posOffset>
            </wp:positionV>
            <wp:extent cx="4891653" cy="2645160"/>
            <wp:effectExtent l="0" t="0" r="4445" b="3175"/>
            <wp:wrapTopAndBottom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653" cy="2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65D"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925695" cy="2646045"/>
            <wp:effectExtent l="0" t="0" r="8255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1C8C" w:rsidRPr="00F5365D" w:rsidRDefault="001E1C8C" w:rsidP="001E1C8C">
      <w:pPr>
        <w:spacing w:line="360" w:lineRule="auto"/>
        <w:ind w:right="-101"/>
        <w:rPr>
          <w:rFonts w:asciiTheme="minorBidi" w:hAnsiTheme="minorBidi"/>
          <w:sz w:val="24"/>
          <w:szCs w:val="24"/>
          <w:rtl/>
        </w:rPr>
      </w:pPr>
    </w:p>
    <w:p w:rsidR="00F5365D" w:rsidRPr="00F5365D" w:rsidRDefault="005D217D" w:rsidP="001E1C8C">
      <w:pPr>
        <w:spacing w:line="360" w:lineRule="auto"/>
        <w:ind w:right="-101"/>
        <w:rPr>
          <w:rFonts w:asciiTheme="minorBidi" w:hAnsiTheme="minorBidi"/>
          <w:color w:val="1F497D" w:themeColor="text2"/>
          <w:sz w:val="24"/>
          <w:szCs w:val="24"/>
          <w:rtl/>
          <w:lang w:bidi="ar-SA"/>
        </w:rPr>
      </w:pP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>تقلب</w:t>
      </w:r>
      <w:r w:rsidRPr="004B5E32">
        <w:rPr>
          <w:rFonts w:asciiTheme="minorBidi" w:hAnsiTheme="minorBidi" w:cs="Arial" w:hint="cs"/>
          <w:b/>
          <w:bCs/>
          <w:color w:val="1F497D" w:themeColor="text2"/>
          <w:sz w:val="24"/>
          <w:szCs w:val="24"/>
          <w:rtl/>
          <w:lang w:bidi="ar-SA"/>
        </w:rPr>
        <w:t>ات</w:t>
      </w: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 xml:space="preserve"> </w:t>
      </w:r>
      <w:r w:rsidRPr="004B5E32">
        <w:rPr>
          <w:rFonts w:asciiTheme="minorBidi" w:hAnsiTheme="minorBidi" w:cs="Arial" w:hint="cs"/>
          <w:b/>
          <w:bCs/>
          <w:color w:val="1F497D" w:themeColor="text2"/>
          <w:sz w:val="24"/>
          <w:szCs w:val="24"/>
          <w:rtl/>
          <w:lang w:bidi="ar-SA"/>
        </w:rPr>
        <w:t>سعر الصرف</w:t>
      </w: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>–</w:t>
      </w: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color w:val="1F497D" w:themeColor="text2"/>
          <w:sz w:val="24"/>
          <w:szCs w:val="24"/>
          <w:rtl/>
          <w:lang w:bidi="ar-SA"/>
        </w:rPr>
        <w:t>استمرار ال</w:t>
      </w: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 xml:space="preserve">انخفاض في الانحراف المعياري الفعلي </w:t>
      </w:r>
      <w:r w:rsidRPr="004B5E32">
        <w:rPr>
          <w:rFonts w:asciiTheme="minorBidi" w:hAnsiTheme="minorBidi" w:cs="Arial" w:hint="cs"/>
          <w:b/>
          <w:bCs/>
          <w:color w:val="1F497D" w:themeColor="text2"/>
          <w:sz w:val="24"/>
          <w:szCs w:val="24"/>
          <w:rtl/>
          <w:lang w:bidi="ar-SA"/>
        </w:rPr>
        <w:t>و</w:t>
      </w: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>انخفاض في الانحراف المعياري الضمني</w:t>
      </w:r>
    </w:p>
    <w:p w:rsidR="00F5365D" w:rsidRPr="00F14EAF" w:rsidRDefault="005D217D" w:rsidP="002D3A49">
      <w:pPr>
        <w:keepNext/>
        <w:spacing w:line="480" w:lineRule="auto"/>
        <w:ind w:right="-101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انخفض متوسط ​​الانحراف المعياري لتغير سعر صرف الشيكل/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الدولار – والذي يمثل التقلب 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>الفعلي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في سعر الصرف – خلال الربع بنحو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1.5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نقطة مئوية إلى مستوى متوسط ​​</w:t>
      </w:r>
      <w:r w:rsidR="002D3A49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بلغ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8.2%</w:t>
      </w:r>
    </w:p>
    <w:p w:rsidR="00F5365D" w:rsidRPr="00F5365D" w:rsidRDefault="00F5365D" w:rsidP="001E1C8C">
      <w:pPr>
        <w:spacing w:line="480" w:lineRule="auto"/>
        <w:ind w:right="-101"/>
        <w:jc w:val="both"/>
        <w:rPr>
          <w:rFonts w:asciiTheme="minorBidi" w:hAnsiTheme="minorBidi"/>
          <w:color w:val="000000" w:themeColor="text1"/>
          <w:sz w:val="24"/>
          <w:szCs w:val="24"/>
          <w:lang w:bidi="ar-SA"/>
        </w:rPr>
      </w:pPr>
    </w:p>
    <w:p w:rsidR="00F5365D" w:rsidRPr="00F14EAF" w:rsidRDefault="005D217D" w:rsidP="00F5365D">
      <w:pPr>
        <w:keepNext/>
        <w:spacing w:line="480" w:lineRule="auto"/>
        <w:ind w:right="-101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lastRenderedPageBreak/>
        <w:t xml:space="preserve">انخفض الانحراف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المعياري الكامن في الخيارات على سعر صرف الشيكل/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الدولار المتداول "خارج البورصة" - والذي يمثل التقلب 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>المتوقع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في سعر الصرف - بنحو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1.5%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وبلغ متوسطه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8.7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% في نهاية الربع.</w:t>
      </w:r>
    </w:p>
    <w:p w:rsidR="001E1C8C" w:rsidRPr="00F5365D" w:rsidRDefault="005D217D" w:rsidP="00F5365D">
      <w:pPr>
        <w:spacing w:line="480" w:lineRule="auto"/>
        <w:ind w:right="-101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F5365D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1215537</wp:posOffset>
            </wp:positionV>
            <wp:extent cx="4921250" cy="264985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64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هذا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إلى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جانب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متوسط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​​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مستوى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الانحراف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المعياري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لخيارات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الصرف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الأجنبي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في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الأسواق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الناشئة،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والذي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انخفض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بنحو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0.7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نقطة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مئوية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مقارنة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بالربع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السابق،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وبلغ</w:t>
      </w:r>
      <w:r w:rsid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في نهاية الربع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10.3%.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في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الأسواق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المتقدمة،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سجل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متوسط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​​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الانحراف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المعياري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زيادة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معتدلة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بنحو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0.1%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،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وبلغ</w:t>
      </w:r>
      <w:r w:rsid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في نهاية الربع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8.2% (</w:t>
      </w:r>
      <w:r w:rsid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الشكل</w:t>
      </w:r>
      <w:r w:rsidRPr="00F5365D">
        <w:rPr>
          <w:rFonts w:asciiTheme="minorBidi" w:hAnsiTheme="minorBidi"/>
          <w:color w:val="000000" w:themeColor="text1"/>
          <w:sz w:val="24"/>
          <w:szCs w:val="24"/>
          <w:rtl/>
        </w:rPr>
        <w:t xml:space="preserve"> 4).</w:t>
      </w:r>
    </w:p>
    <w:p w:rsidR="001E1C8C" w:rsidRPr="00F5365D" w:rsidRDefault="005D217D" w:rsidP="001E1C8C">
      <w:pPr>
        <w:spacing w:line="480" w:lineRule="auto"/>
        <w:ind w:right="-101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F5365D">
        <w:rPr>
          <w:rFonts w:asciiTheme="minorBidi" w:hAnsiTheme="minorBidi"/>
          <w:noProof/>
          <w:color w:val="1F497D" w:themeColor="text2"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626354</wp:posOffset>
            </wp:positionH>
            <wp:positionV relativeFrom="paragraph">
              <wp:posOffset>2925152</wp:posOffset>
            </wp:positionV>
            <wp:extent cx="4921250" cy="2737485"/>
            <wp:effectExtent l="0" t="0" r="0" b="5715"/>
            <wp:wrapTopAndBottom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E1C8C" w:rsidRPr="00F5365D" w:rsidRDefault="001E1C8C" w:rsidP="001E1C8C">
      <w:pPr>
        <w:rPr>
          <w:rFonts w:asciiTheme="minorBidi" w:hAnsiTheme="minorBidi"/>
          <w:noProof/>
        </w:rPr>
      </w:pPr>
    </w:p>
    <w:p w:rsidR="001E1C8C" w:rsidRPr="00F5365D" w:rsidRDefault="005D217D" w:rsidP="00F5365D">
      <w:pPr>
        <w:pStyle w:val="Heading1"/>
        <w:bidi/>
        <w:spacing w:line="360" w:lineRule="auto"/>
        <w:rPr>
          <w:rFonts w:asciiTheme="minorBidi" w:hAnsiTheme="minorBidi" w:cstheme="minorBidi"/>
          <w:rtl/>
        </w:rPr>
      </w:pPr>
      <w:r w:rsidRPr="00A219E8">
        <w:rPr>
          <w:rFonts w:asciiTheme="minorBidi" w:hAnsiTheme="minorBidi" w:cstheme="minorBidi"/>
          <w:color w:val="1F497D" w:themeColor="text2"/>
          <w:sz w:val="24"/>
          <w:szCs w:val="24"/>
          <w:rtl/>
          <w:lang w:bidi="ar-SA"/>
        </w:rPr>
        <w:lastRenderedPageBreak/>
        <w:t xml:space="preserve">نشاط القطاعات الرئيسية في سوق </w:t>
      </w:r>
      <w:r w:rsidRPr="00A219E8">
        <w:rPr>
          <w:rFonts w:asciiTheme="minorBidi" w:hAnsiTheme="minorBidi" w:cstheme="minorBidi" w:hint="cs"/>
          <w:color w:val="1F497D" w:themeColor="text2"/>
          <w:sz w:val="24"/>
          <w:szCs w:val="24"/>
          <w:rtl/>
          <w:lang w:bidi="ar-SA"/>
        </w:rPr>
        <w:t>النقد</w:t>
      </w:r>
      <w:r w:rsidRPr="00A219E8">
        <w:rPr>
          <w:rFonts w:asciiTheme="minorBidi" w:hAnsiTheme="minorBidi" w:cstheme="minorBidi"/>
          <w:color w:val="1F497D" w:themeColor="text2"/>
          <w:sz w:val="24"/>
          <w:szCs w:val="24"/>
          <w:rtl/>
          <w:lang w:bidi="ar-SA"/>
        </w:rPr>
        <w:t xml:space="preserve"> الأجنبي</w:t>
      </w:r>
      <w:r>
        <w:rPr>
          <w:rStyle w:val="FootnoteReference"/>
          <w:rFonts w:asciiTheme="minorBidi" w:hAnsiTheme="minorBidi" w:cstheme="minorBidi"/>
          <w:color w:val="1F497D" w:themeColor="text2"/>
          <w:sz w:val="24"/>
          <w:szCs w:val="24"/>
          <w:rtl/>
        </w:rPr>
        <w:footnoteReference w:id="1"/>
      </w:r>
      <w:r>
        <w:rPr>
          <w:rStyle w:val="FootnoteReference"/>
          <w:rFonts w:asciiTheme="minorBidi" w:hAnsiTheme="minorBidi" w:cstheme="minorBidi"/>
          <w:color w:val="1F497D" w:themeColor="text2"/>
          <w:sz w:val="24"/>
          <w:szCs w:val="24"/>
          <w:rtl/>
        </w:rPr>
        <w:footnoteReference w:id="2"/>
      </w:r>
    </w:p>
    <w:p w:rsidR="001E1C8C" w:rsidRPr="00F5365D" w:rsidRDefault="005D217D" w:rsidP="002E6163">
      <w:pPr>
        <w:pStyle w:val="Heading1"/>
        <w:bidi/>
        <w:spacing w:line="360" w:lineRule="auto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F5365D">
        <w:rPr>
          <w:rFonts w:asciiTheme="minorBidi" w:hAnsiTheme="minorBidi" w:cstheme="min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1244600</wp:posOffset>
            </wp:positionV>
            <wp:extent cx="4834255" cy="2643505"/>
            <wp:effectExtent l="0" t="0" r="4445" b="4445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264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65D">
        <w:rPr>
          <w:rFonts w:asciiTheme="minorBidi" w:hAnsiTheme="minorBidi" w:cstheme="minorBidi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يُظهر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تقدير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نشاط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القطاعات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2E6163">
        <w:rPr>
          <w:rFonts w:asciiTheme="minorBidi" w:hAnsiTheme="minorBidi" w:cs="Arial" w:hint="cs"/>
          <w:color w:val="000000" w:themeColor="text1"/>
          <w:sz w:val="24"/>
          <w:szCs w:val="24"/>
          <w:u w:val="single"/>
          <w:rtl/>
          <w:lang w:bidi="ar-SA"/>
        </w:rPr>
        <w:t>الرئيسية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في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سوق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الصرف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الأجنبي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أنه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خلال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الربع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الأول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اشترت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المؤسسات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(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صناديق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التقاعد،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وصناديق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الاستثمار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المشترك،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وشركات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التأمين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)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والقطاع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المالي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عملات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أجنبية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بقيمة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2.9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1.2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مليار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دولار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أمريكي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على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التوالي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.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في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المقابل،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باع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غير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المقيمين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وقطاع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الأعمال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عملات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أجنبية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بقيمة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2.9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2.3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مليار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دولار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أمريكي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على</w:t>
      </w:r>
      <w:r w:rsidR="00F5365D" w:rsidRPr="00F5365D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F5365D" w:rsidRPr="00F5365D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التوالي</w:t>
      </w:r>
      <w:r w:rsidRPr="00F5365D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. </w:t>
      </w:r>
    </w:p>
    <w:p w:rsidR="001E1C8C" w:rsidRPr="00F5365D" w:rsidRDefault="005D217D" w:rsidP="001E1C8C">
      <w:pPr>
        <w:spacing w:line="48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F5365D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649798</wp:posOffset>
            </wp:positionH>
            <wp:positionV relativeFrom="paragraph">
              <wp:posOffset>3184249</wp:posOffset>
            </wp:positionV>
            <wp:extent cx="4843145" cy="2583180"/>
            <wp:effectExtent l="0" t="0" r="0" b="7620"/>
            <wp:wrapTopAndBottom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258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65D"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2978785</wp:posOffset>
            </wp:positionV>
            <wp:extent cx="229287" cy="126000"/>
            <wp:effectExtent l="0" t="0" r="0" b="7620"/>
            <wp:wrapTopAndBottom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7" cy="1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C8C" w:rsidRPr="00F5365D" w:rsidRDefault="005D217D" w:rsidP="001E1C8C">
      <w:pPr>
        <w:pStyle w:val="Heading1"/>
        <w:bidi/>
        <w:spacing w:line="360" w:lineRule="auto"/>
        <w:rPr>
          <w:rFonts w:asciiTheme="minorBidi" w:hAnsiTheme="minorBidi" w:cstheme="minorBidi"/>
          <w:color w:val="1F497D" w:themeColor="text2"/>
          <w:sz w:val="24"/>
          <w:szCs w:val="24"/>
          <w:rtl/>
          <w:lang w:bidi="ar-SA"/>
        </w:rPr>
      </w:pPr>
      <w:r>
        <w:rPr>
          <w:rFonts w:asciiTheme="minorBidi" w:hAnsiTheme="minorBidi" w:cstheme="minorBidi"/>
          <w:color w:val="1F497D" w:themeColor="text2"/>
          <w:sz w:val="24"/>
          <w:szCs w:val="24"/>
          <w:rtl/>
          <w:lang w:bidi="ar-SA"/>
        </w:rPr>
        <w:lastRenderedPageBreak/>
        <w:t>أحجام التداول – جداول و</w:t>
      </w:r>
      <w:r w:rsidRPr="00A219E8">
        <w:rPr>
          <w:rFonts w:asciiTheme="minorBidi" w:hAnsiTheme="minorBidi" w:cstheme="minorBidi"/>
          <w:color w:val="1F497D" w:themeColor="text2"/>
          <w:sz w:val="24"/>
          <w:szCs w:val="24"/>
          <w:rtl/>
          <w:lang w:bidi="ar-SA"/>
        </w:rPr>
        <w:t>رسوم بيانية</w:t>
      </w:r>
    </w:p>
    <w:p w:rsidR="001E1C8C" w:rsidRPr="00F5365D" w:rsidRDefault="005D217D" w:rsidP="002E6163">
      <w:pPr>
        <w:pStyle w:val="Heading2"/>
        <w:rPr>
          <w:rFonts w:asciiTheme="minorBidi" w:hAnsiTheme="minorBidi" w:cstheme="minorBidi"/>
          <w:sz w:val="24"/>
          <w:szCs w:val="24"/>
          <w:rtl/>
        </w:rPr>
      </w:pPr>
      <w:r w:rsidRPr="00A219E8">
        <w:rPr>
          <w:rFonts w:asciiTheme="minorBidi" w:hAnsiTheme="minorBidi" w:cstheme="minorBidi"/>
          <w:sz w:val="24"/>
          <w:szCs w:val="24"/>
          <w:rtl/>
          <w:lang w:bidi="ar-SA"/>
        </w:rPr>
        <w:t>حجم التداول مع النظام المصرفي المحلي</w:t>
      </w:r>
      <w:r w:rsidRPr="00F14EAF">
        <w:rPr>
          <w:rFonts w:asciiTheme="minorBidi" w:hAnsiTheme="minorBidi" w:cstheme="minorBidi"/>
          <w:vertAlign w:val="superscript"/>
          <w:rtl/>
        </w:rPr>
        <w:t xml:space="preserve"> </w:t>
      </w:r>
      <w:r>
        <w:rPr>
          <w:rFonts w:asciiTheme="minorBidi" w:hAnsiTheme="minorBidi" w:cstheme="minorBidi"/>
          <w:vertAlign w:val="superscript"/>
          <w:rtl/>
        </w:rPr>
        <w:footnoteReference w:id="3"/>
      </w:r>
    </w:p>
    <w:p w:rsidR="001E1C8C" w:rsidRPr="00F5365D" w:rsidRDefault="001E1C8C" w:rsidP="001E1C8C">
      <w:pPr>
        <w:rPr>
          <w:rFonts w:asciiTheme="minorBidi" w:hAnsiTheme="minorBidi"/>
          <w:rtl/>
        </w:rPr>
      </w:pPr>
    </w:p>
    <w:p w:rsidR="001E1C8C" w:rsidRPr="00F5365D" w:rsidRDefault="005D217D" w:rsidP="002E6163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</w:pP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>ارتفع متوسط ​​حجم التداول اليومي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خلال الربع بنسبة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معتدلة بلغت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0.6% </w:t>
      </w:r>
      <w:r w:rsidR="002D3A49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ليصل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إلى 13.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3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مليار دولار، حيث جاء معظم الارتفاع من زيادة حجم التداول اليومي في معاملات المبادلة. 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>وانخفضت الحصة النسبية للمقيمين الأجانب في حجم التعاملات مع النظام المصرفي المحلي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(معاملات التحويل، معاملات الخيارات، معاملات المبادلة) بنحو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0.9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%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نقطة مئوية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لتصل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في نهاية ا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لربع الأول </w:t>
      </w:r>
      <w:r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إلى نحو 4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0</w:t>
      </w:r>
      <w:r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.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4</w:t>
      </w:r>
      <w:r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%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.</w:t>
      </w:r>
    </w:p>
    <w:p w:rsidR="001E1C8C" w:rsidRPr="00F5365D" w:rsidRDefault="001E1C8C" w:rsidP="001E1C8C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274311" w:rsidTr="001A639A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5D217D" w:rsidP="001A639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F14EAF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معاملات </w:t>
            </w: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النقد</w:t>
            </w:r>
            <w:r w:rsidRPr="00F14EAF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الأجنبي مع البنوك المحلية </w:t>
            </w: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ب</w:t>
            </w:r>
            <w:r w:rsidRPr="00F14EAF">
              <w:rPr>
                <w:rFonts w:asciiTheme="minorBidi" w:hAnsiTheme="minorBidi" w:cs="Arial"/>
                <w:b/>
                <w:bCs/>
                <w:rtl/>
                <w:lang w:bidi="ar-SA"/>
              </w:rPr>
              <w:t>حسب الأدوات والقطاعات (بملايين الدولارات)</w:t>
            </w: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941"/>
              <w:gridCol w:w="3154"/>
              <w:gridCol w:w="917"/>
              <w:gridCol w:w="917"/>
              <w:gridCol w:w="1211"/>
              <w:gridCol w:w="888"/>
              <w:gridCol w:w="1412"/>
            </w:tblGrid>
            <w:tr w:rsidR="00274311" w:rsidTr="002E6163">
              <w:trPr>
                <w:trHeight w:val="795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bidi="ar-SA"/>
                    </w:rPr>
                    <w:t xml:space="preserve">معاملات التحويل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(1)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bidi="ar-SA"/>
                    </w:rPr>
                    <w:t xml:space="preserve">معاملات </w:t>
                  </w:r>
                  <w:r>
                    <w:rPr>
                      <w:rFonts w:asciiTheme="minorBidi" w:hAnsiTheme="minorBidi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المبادلة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1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Pr="0075228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Swap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) (2)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2E6163"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bidi="ar-SA"/>
                    </w:rPr>
                    <w:t xml:space="preserve">معاملات </w:t>
                  </w:r>
                  <w:r w:rsidR="002E6163">
                    <w:rPr>
                      <w:rFonts w:asciiTheme="minorBidi" w:hAnsiTheme="minorBidi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المبادلة</w:t>
                  </w:r>
                  <w:r w:rsidR="002E6163"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bidi="ar-SA"/>
                    </w:rPr>
                    <w:t xml:space="preserve">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2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>Cross Currency Swap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(3)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معاملات الخيارات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3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(4)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إجمالي حجم التداول</w:t>
                  </w:r>
                  <w:r w:rsidRPr="006D5003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(1)+(2)+(3)+(4)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الربع الأول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2025 (</w:t>
                  </w: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معطى مؤقت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الاجمالي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192,569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601,971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1,919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26,715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823,173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2E6163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الإجمالي (متوسط يومي وفق 62 يوم تداول)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3,106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9,709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31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bookmarkStart w:id="1" w:name="RANGE!F7"/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431 </w:t>
                  </w:r>
                  <w:bookmarkEnd w:id="1"/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13,277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المقيمون الأجانب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63,054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261,002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764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7,389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332,209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منهم: مؤسسات مالية أجنبية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62,484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261,001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764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7,389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331,637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سكان اسرائيل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129,515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340,969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1,155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19,326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490,965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</w:t>
                  </w:r>
                  <w:r w:rsidRPr="006500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الحقيقي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42,050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24,593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361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7,856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74,860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2E616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المالي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39,097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164,284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138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1,363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204,882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2E616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المؤسسات</w:t>
                  </w:r>
                  <w:r w:rsidR="002E6163" w:rsidRPr="006500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="002E616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شركات التأمين</w:t>
                  </w:r>
                  <w:r w:rsidR="002E6163" w:rsidRPr="006500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26,097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116,150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52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7,195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149,494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2E6163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أفراد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5,077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221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167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5,465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2E6163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آخرون</w:t>
                  </w:r>
                  <w:r w:rsidR="002E6163"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570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571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2E6163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بنوك محلية</w:t>
                  </w:r>
                  <w:r w:rsidR="002E6163" w:rsidRPr="006D5003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8,095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21,345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207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1,827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31,474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الربع الرابع</w:t>
                  </w:r>
                  <w:r w:rsidRPr="00F14E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2024</w:t>
                  </w: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الاجمالي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bookmarkStart w:id="2" w:name="RANGE!C17"/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195,058 </w:t>
                  </w:r>
                  <w:bookmarkEnd w:id="2"/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558,945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1,180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23,126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778,309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الإجمالي (متوسط يومي وفق 59 يوم تداول)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bookmarkStart w:id="3" w:name="RANGE!C18"/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3,306 </w:t>
                  </w:r>
                  <w:bookmarkEnd w:id="3"/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9,474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392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13,192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163" w:rsidRPr="00F5365D" w:rsidRDefault="002E6163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14EAF" w:rsidRDefault="005D217D" w:rsidP="005D5E2B">
                  <w:pPr>
                    <w:keepNext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المقيمون الأجانب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59,655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253,262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517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7,608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321,042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163" w:rsidRPr="00F5365D" w:rsidRDefault="002E6163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14EAF" w:rsidRDefault="005D217D" w:rsidP="005D5E2B">
                  <w:pPr>
                    <w:keepNext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منهم: مؤسسات مالية أجنبية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59,009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253,262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517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7,608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320,395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163" w:rsidRPr="00F5365D" w:rsidRDefault="002E6163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14EAF" w:rsidRDefault="005D217D" w:rsidP="005D5E2B">
                  <w:pPr>
                    <w:keepNext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سكان اسرائيل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135,402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305,683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663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15,518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457,267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163" w:rsidRPr="00F5365D" w:rsidRDefault="002E6163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14EAF" w:rsidRDefault="005D217D" w:rsidP="005D5E2B">
                  <w:pPr>
                    <w:keepNext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</w:t>
                  </w:r>
                  <w:r w:rsidRPr="006500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الحقيقي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42,456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22,636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145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7,230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72,468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163" w:rsidRPr="00F5365D" w:rsidRDefault="002E6163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14EAF" w:rsidRDefault="005D217D" w:rsidP="005D5E2B">
                  <w:pPr>
                    <w:keepNext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F14E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المالي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41,820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149,698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341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1,024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192,883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163" w:rsidRPr="00F5365D" w:rsidRDefault="002E6163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14EAF" w:rsidRDefault="005D217D" w:rsidP="005D5E2B">
                  <w:pPr>
                    <w:keepNext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F14E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المؤسسات</w:t>
                  </w:r>
                  <w:r w:rsidRPr="006500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شركات التأمين</w:t>
                  </w:r>
                  <w:r w:rsidRPr="006500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27,758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100,226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4,958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132,942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163" w:rsidRPr="00F5365D" w:rsidRDefault="002E6163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14EAF" w:rsidRDefault="005D217D" w:rsidP="005D5E2B">
                  <w:pPr>
                    <w:keepNext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F14EAF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أفراد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5,238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615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134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163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5,987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2E6163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آخرون</w:t>
                  </w:r>
                  <w:r w:rsidR="002E6163"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646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647 </w:t>
                  </w:r>
                </w:p>
              </w:tc>
            </w:tr>
            <w:tr w:rsidR="00274311" w:rsidTr="002E6163">
              <w:trPr>
                <w:trHeight w:val="210"/>
              </w:trPr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1C8C" w:rsidRPr="00F5365D" w:rsidRDefault="001E1C8C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2E6163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بنوك محلية</w:t>
                  </w:r>
                  <w:r w:rsidR="002E6163" w:rsidRPr="006D5003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</w:t>
                  </w:r>
                  <w:r w:rsidRPr="00F5365D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10,393 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20,160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1,743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1C8C" w:rsidRPr="00F5365D" w:rsidRDefault="005D217D" w:rsidP="001E1C8C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F5365D">
                    <w:rPr>
                      <w:rFonts w:asciiTheme="minorBidi" w:hAnsiTheme="minorBidi"/>
                      <w:sz w:val="18"/>
                      <w:szCs w:val="18"/>
                    </w:rPr>
                    <w:t xml:space="preserve">32,296 </w:t>
                  </w:r>
                </w:p>
              </w:tc>
            </w:tr>
          </w:tbl>
          <w:p w:rsidR="001E1C8C" w:rsidRPr="00F5365D" w:rsidRDefault="001E1C8C" w:rsidP="001A639A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274311" w:rsidTr="001A639A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jc w:val="center"/>
              <w:rPr>
                <w:rFonts w:asciiTheme="minorBidi" w:hAnsiTheme="minorBidi"/>
              </w:rPr>
            </w:pPr>
          </w:p>
        </w:tc>
      </w:tr>
      <w:tr w:rsidR="00274311" w:rsidTr="001A639A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C8C" w:rsidRPr="00F5365D" w:rsidRDefault="001E1C8C" w:rsidP="001A639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C8C" w:rsidRPr="00F5365D" w:rsidRDefault="001E1C8C" w:rsidP="001A639A">
            <w:pPr>
              <w:rPr>
                <w:rFonts w:asciiTheme="minorBidi" w:hAnsiTheme="minorBid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C8C" w:rsidRPr="00F5365D" w:rsidRDefault="001E1C8C" w:rsidP="001A639A">
            <w:pPr>
              <w:rPr>
                <w:rFonts w:asciiTheme="minorBidi" w:hAnsiTheme="minorBid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C8C" w:rsidRPr="00F5365D" w:rsidRDefault="001E1C8C" w:rsidP="001A639A">
            <w:pPr>
              <w:rPr>
                <w:rFonts w:asciiTheme="minorBidi" w:hAnsiTheme="minorBidi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C8C" w:rsidRPr="00F5365D" w:rsidRDefault="001E1C8C" w:rsidP="001A639A">
            <w:pPr>
              <w:rPr>
                <w:rFonts w:asciiTheme="minorBidi" w:hAnsiTheme="minorBid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C8C" w:rsidRPr="00F5365D" w:rsidRDefault="001E1C8C" w:rsidP="001A639A">
            <w:pPr>
              <w:rPr>
                <w:rFonts w:asciiTheme="minorBidi" w:hAnsiTheme="minorBidi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C8C" w:rsidRPr="00F5365D" w:rsidRDefault="001E1C8C" w:rsidP="001A639A">
            <w:pPr>
              <w:rPr>
                <w:rFonts w:asciiTheme="minorBidi" w:hAnsiTheme="minorBidi"/>
              </w:rPr>
            </w:pPr>
          </w:p>
        </w:tc>
      </w:tr>
      <w:tr w:rsidR="00274311" w:rsidTr="001A639A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rPr>
                <w:rFonts w:asciiTheme="minorBidi" w:hAnsiTheme="minorBidi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5D217D" w:rsidP="001A639A">
            <w:pPr>
              <w:rPr>
                <w:rFonts w:asciiTheme="minorBidi" w:hAnsiTheme="minorBidi"/>
                <w:sz w:val="12"/>
                <w:szCs w:val="12"/>
                <w:rtl/>
              </w:rPr>
            </w:pPr>
            <w:r w:rsidRPr="00F5365D">
              <w:rPr>
                <w:rFonts w:asciiTheme="minorBidi" w:hAnsiTheme="minorBidi"/>
                <w:sz w:val="12"/>
                <w:szCs w:val="12"/>
                <w:vertAlign w:val="superscript"/>
                <w:rtl/>
              </w:rPr>
              <w:t>1</w:t>
            </w:r>
            <w:r w:rsidRPr="00F5365D">
              <w:rPr>
                <w:rFonts w:asciiTheme="minorBidi" w:hAnsiTheme="minorBidi"/>
                <w:sz w:val="12"/>
                <w:szCs w:val="12"/>
                <w:rtl/>
              </w:rPr>
              <w:t xml:space="preserve"> </w:t>
            </w:r>
            <w:r w:rsidR="002E6163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 xml:space="preserve">سلسلة واحدة فقط من معاملة </w:t>
            </w:r>
            <w:r w:rsidR="002E6163">
              <w:rPr>
                <w:rFonts w:ascii="Arial" w:hAnsi="Arial" w:cs="Arial" w:hint="cs"/>
                <w:sz w:val="12"/>
                <w:szCs w:val="12"/>
                <w:rtl/>
                <w:lang w:bidi="ar-SA"/>
              </w:rPr>
              <w:t>المبادلة</w:t>
            </w:r>
            <w:r w:rsidR="002E6163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>، أي القيمة الاسمية للمعاملة</w:t>
            </w:r>
            <w:r w:rsidR="002E6163" w:rsidRPr="00D41531">
              <w:rPr>
                <w:rFonts w:ascii="Arial" w:hAnsi="Arial" w:cs="Arial" w:hint="cs"/>
                <w:sz w:val="12"/>
                <w:szCs w:val="12"/>
                <w:rtl/>
                <w:lang w:bidi="ar-SA"/>
              </w:rPr>
              <w:t xml:space="preserve"> (</w:t>
            </w:r>
            <w:r w:rsidR="002E6163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>وفق</w:t>
            </w:r>
            <w:r w:rsidR="002D3A49">
              <w:rPr>
                <w:rFonts w:ascii="Arial" w:hAnsi="Arial" w:cs="Arial"/>
                <w:sz w:val="12"/>
                <w:szCs w:val="12"/>
                <w:rtl/>
                <w:lang w:bidi="ar-SA"/>
              </w:rPr>
              <w:t>اً</w:t>
            </w:r>
            <w:r w:rsidR="002E6163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 xml:space="preserve"> لتعريفات بنك التسويات الدولية</w:t>
            </w:r>
            <w:r w:rsidR="002E6163" w:rsidRPr="00D41531">
              <w:rPr>
                <w:rFonts w:asciiTheme="minorBidi" w:hAnsiTheme="minorBidi" w:hint="cs"/>
                <w:sz w:val="12"/>
                <w:szCs w:val="12"/>
                <w:rtl/>
                <w:lang w:bidi="ar-SA"/>
              </w:rPr>
              <w:t xml:space="preserve"> </w:t>
            </w:r>
            <w:r w:rsidR="002E6163" w:rsidRPr="00D41531">
              <w:rPr>
                <w:rFonts w:asciiTheme="minorBidi" w:hAnsiTheme="minorBidi"/>
                <w:sz w:val="12"/>
                <w:szCs w:val="12"/>
                <w:lang w:bidi="ar-SA"/>
              </w:rPr>
              <w:t>BIS</w:t>
            </w:r>
            <w:r w:rsidR="002E6163" w:rsidRPr="00D41531">
              <w:rPr>
                <w:rFonts w:asciiTheme="minorBidi" w:hAnsiTheme="minorBidi" w:hint="cs"/>
                <w:sz w:val="12"/>
                <w:szCs w:val="12"/>
                <w:rtl/>
                <w:lang w:bidi="ar-SA"/>
              </w:rPr>
              <w:t>)</w:t>
            </w:r>
          </w:p>
        </w:tc>
      </w:tr>
      <w:tr w:rsidR="00274311" w:rsidTr="001A639A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5D217D" w:rsidP="001A639A">
            <w:pPr>
              <w:rPr>
                <w:rFonts w:asciiTheme="minorBidi" w:hAnsiTheme="minorBidi"/>
                <w:sz w:val="12"/>
                <w:szCs w:val="12"/>
              </w:rPr>
            </w:pPr>
            <w:r w:rsidRPr="00F5365D">
              <w:rPr>
                <w:rFonts w:asciiTheme="minorBidi" w:hAnsiTheme="minorBidi"/>
                <w:sz w:val="12"/>
                <w:szCs w:val="12"/>
                <w:vertAlign w:val="superscript"/>
                <w:rtl/>
              </w:rPr>
              <w:t>2</w:t>
            </w:r>
            <w:r w:rsidR="002E6163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 xml:space="preserve"> سيتم احتساب الصناديق المتبادلة في معاملات</w:t>
            </w:r>
            <w:r w:rsidR="002E6163" w:rsidRPr="00D41531">
              <w:rPr>
                <w:rFonts w:ascii="Arial" w:hAnsi="Arial" w:cs="Arial"/>
                <w:sz w:val="12"/>
                <w:szCs w:val="12"/>
              </w:rPr>
              <w:t xml:space="preserve"> Cross Currency Swap </w:t>
            </w:r>
            <w:r w:rsidR="002E6163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 xml:space="preserve">لغرض الحجم كسلسلة واحدة فقط، في الحالات التي يتم فيها خصم السلاسل (سيقان </w:t>
            </w:r>
            <w:r w:rsidR="002E6163">
              <w:rPr>
                <w:rFonts w:ascii="Arial" w:hAnsi="Arial" w:cs="Arial" w:hint="cs"/>
                <w:sz w:val="12"/>
                <w:szCs w:val="12"/>
                <w:rtl/>
                <w:lang w:bidi="ar-SA"/>
              </w:rPr>
              <w:t>المبادلة</w:t>
            </w:r>
            <w:r w:rsidR="002E6163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>) من بعضهما البعض</w:t>
            </w:r>
            <w:r w:rsidR="002E6163" w:rsidRPr="006D5003">
              <w:rPr>
                <w:rFonts w:asciiTheme="minorBidi" w:hAnsiTheme="minorBidi"/>
                <w:sz w:val="12"/>
                <w:szCs w:val="12"/>
                <w:rtl/>
              </w:rPr>
              <w:t>.</w:t>
            </w:r>
          </w:p>
        </w:tc>
      </w:tr>
      <w:tr w:rsidR="00274311" w:rsidTr="001A639A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5D217D" w:rsidP="001A639A">
            <w:pPr>
              <w:rPr>
                <w:rFonts w:asciiTheme="minorBidi" w:hAnsiTheme="minorBidi"/>
                <w:sz w:val="12"/>
                <w:szCs w:val="12"/>
              </w:rPr>
            </w:pPr>
            <w:bookmarkStart w:id="4" w:name="RANGE!B31"/>
            <w:r w:rsidRPr="00F5365D">
              <w:rPr>
                <w:rFonts w:asciiTheme="minorBidi" w:hAnsiTheme="minorBidi"/>
                <w:sz w:val="12"/>
                <w:szCs w:val="12"/>
                <w:vertAlign w:val="superscript"/>
                <w:rtl/>
              </w:rPr>
              <w:t>3</w:t>
            </w:r>
            <w:r w:rsidRPr="00F5365D">
              <w:rPr>
                <w:rFonts w:asciiTheme="minorBidi" w:hAnsiTheme="minorBidi"/>
                <w:sz w:val="12"/>
                <w:szCs w:val="12"/>
                <w:rtl/>
              </w:rPr>
              <w:t xml:space="preserve"> ה- </w:t>
            </w:r>
            <w:r w:rsidRPr="00F5365D">
              <w:rPr>
                <w:rFonts w:asciiTheme="minorBidi" w:hAnsiTheme="minorBidi"/>
                <w:sz w:val="12"/>
                <w:szCs w:val="12"/>
              </w:rPr>
              <w:t>National value</w:t>
            </w:r>
            <w:r w:rsidRPr="00F5365D">
              <w:rPr>
                <w:rFonts w:asciiTheme="minorBidi" w:hAnsiTheme="minorBidi"/>
                <w:sz w:val="12"/>
                <w:szCs w:val="12"/>
                <w:rtl/>
              </w:rPr>
              <w:t xml:space="preserve"> </w:t>
            </w:r>
            <w:r w:rsidR="002E6163" w:rsidRPr="00D41531">
              <w:rPr>
                <w:rFonts w:asciiTheme="minorBidi" w:hAnsiTheme="minorBidi" w:cs="Arial"/>
                <w:sz w:val="12"/>
                <w:szCs w:val="12"/>
                <w:rtl/>
                <w:lang w:bidi="ar-SA"/>
              </w:rPr>
              <w:t xml:space="preserve">القيمة الوطنية الإجمالية لمعاملات </w:t>
            </w:r>
            <w:r w:rsidR="002E6163" w:rsidRPr="00D41531">
              <w:rPr>
                <w:rFonts w:asciiTheme="minorBidi" w:hAnsiTheme="minorBidi"/>
                <w:sz w:val="12"/>
                <w:szCs w:val="12"/>
              </w:rPr>
              <w:t>Call</w:t>
            </w:r>
            <w:r w:rsidR="002E6163" w:rsidRPr="00D41531">
              <w:rPr>
                <w:rFonts w:asciiTheme="minorBidi" w:hAnsiTheme="minorBidi"/>
                <w:sz w:val="12"/>
                <w:szCs w:val="12"/>
                <w:rtl/>
              </w:rPr>
              <w:t xml:space="preserve"> </w:t>
            </w:r>
            <w:r w:rsidR="002E6163" w:rsidRPr="00D41531">
              <w:rPr>
                <w:rFonts w:asciiTheme="minorBidi" w:hAnsiTheme="minorBidi" w:hint="cs"/>
                <w:sz w:val="12"/>
                <w:szCs w:val="12"/>
                <w:rtl/>
                <w:lang w:bidi="ar-SA"/>
              </w:rPr>
              <w:t>و</w:t>
            </w:r>
            <w:r w:rsidR="002E6163" w:rsidRPr="00D41531">
              <w:rPr>
                <w:rFonts w:asciiTheme="minorBidi" w:hAnsiTheme="minorBidi"/>
                <w:sz w:val="12"/>
                <w:szCs w:val="12"/>
                <w:rtl/>
              </w:rPr>
              <w:t xml:space="preserve"> </w:t>
            </w:r>
            <w:r w:rsidR="002E6163" w:rsidRPr="00D41531">
              <w:rPr>
                <w:rFonts w:asciiTheme="minorBidi" w:hAnsiTheme="minorBidi"/>
                <w:sz w:val="12"/>
                <w:szCs w:val="12"/>
              </w:rPr>
              <w:t>Put</w:t>
            </w:r>
            <w:r w:rsidR="002E6163" w:rsidRPr="006D5003">
              <w:rPr>
                <w:rFonts w:asciiTheme="minorBidi" w:hAnsiTheme="minorBidi"/>
                <w:sz w:val="12"/>
                <w:szCs w:val="12"/>
                <w:rtl/>
              </w:rPr>
              <w:t>.</w:t>
            </w:r>
            <w:bookmarkEnd w:id="4"/>
          </w:p>
        </w:tc>
      </w:tr>
      <w:tr w:rsidR="00274311" w:rsidTr="001A639A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5D217D" w:rsidP="001A639A">
            <w:pPr>
              <w:rPr>
                <w:rFonts w:asciiTheme="minorBidi" w:hAnsiTheme="minorBidi"/>
                <w:sz w:val="12"/>
                <w:szCs w:val="12"/>
              </w:rPr>
            </w:pPr>
            <w:bookmarkStart w:id="5" w:name="RANGE!B32"/>
            <w:r w:rsidRPr="00F5365D">
              <w:rPr>
                <w:rFonts w:asciiTheme="minorBidi" w:hAnsiTheme="minorBidi"/>
                <w:sz w:val="12"/>
                <w:szCs w:val="12"/>
                <w:vertAlign w:val="superscript"/>
                <w:rtl/>
              </w:rPr>
              <w:t xml:space="preserve">4 </w:t>
            </w:r>
            <w:r w:rsidR="002E6163" w:rsidRPr="00D41531">
              <w:rPr>
                <w:rFonts w:asciiTheme="minorBidi" w:hAnsiTheme="minorBidi" w:cs="Arial"/>
                <w:sz w:val="12"/>
                <w:szCs w:val="12"/>
                <w:rtl/>
                <w:lang w:bidi="ar-SA"/>
              </w:rPr>
              <w:t xml:space="preserve">يشمل </w:t>
            </w:r>
            <w:r w:rsidR="002E6163" w:rsidRPr="00D41531">
              <w:rPr>
                <w:rFonts w:asciiTheme="minorBidi" w:hAnsiTheme="minorBidi" w:cs="Arial" w:hint="cs"/>
                <w:sz w:val="12"/>
                <w:szCs w:val="12"/>
                <w:rtl/>
                <w:lang w:bidi="ar-SA"/>
              </w:rPr>
              <w:t>هيئات</w:t>
            </w:r>
            <w:r w:rsidR="002E6163" w:rsidRPr="00D41531">
              <w:rPr>
                <w:rFonts w:asciiTheme="minorBidi" w:hAnsiTheme="minorBidi" w:cs="Arial"/>
                <w:sz w:val="12"/>
                <w:szCs w:val="12"/>
                <w:rtl/>
                <w:lang w:bidi="ar-SA"/>
              </w:rPr>
              <w:t xml:space="preserve"> مثل مديري </w:t>
            </w:r>
            <w:r w:rsidR="002E6163" w:rsidRPr="00D41531">
              <w:rPr>
                <w:rFonts w:asciiTheme="minorBidi" w:hAnsiTheme="minorBidi" w:cs="Arial" w:hint="cs"/>
                <w:sz w:val="12"/>
                <w:szCs w:val="12"/>
                <w:rtl/>
                <w:lang w:bidi="ar-SA"/>
              </w:rPr>
              <w:t>المحافظ</w:t>
            </w:r>
            <w:r w:rsidR="002E6163" w:rsidRPr="00D41531">
              <w:rPr>
                <w:rFonts w:asciiTheme="minorBidi" w:hAnsiTheme="minorBidi" w:cs="Arial"/>
                <w:sz w:val="12"/>
                <w:szCs w:val="12"/>
                <w:rtl/>
                <w:lang w:bidi="ar-SA"/>
              </w:rPr>
              <w:t xml:space="preserve"> والمنظمات غير الربحية والمؤسسات الوطنية وتلك غير المدرجة في </w:t>
            </w:r>
            <w:r w:rsidR="002E6163" w:rsidRPr="00D41531">
              <w:rPr>
                <w:rFonts w:asciiTheme="minorBidi" w:hAnsiTheme="minorBidi" w:cs="Arial" w:hint="cs"/>
                <w:sz w:val="12"/>
                <w:szCs w:val="12"/>
                <w:rtl/>
                <w:lang w:bidi="ar-SA"/>
              </w:rPr>
              <w:t>البنود</w:t>
            </w:r>
            <w:r w:rsidR="002E6163" w:rsidRPr="00D41531">
              <w:rPr>
                <w:rFonts w:asciiTheme="minorBidi" w:hAnsiTheme="minorBidi" w:cs="Arial"/>
                <w:sz w:val="12"/>
                <w:szCs w:val="12"/>
                <w:rtl/>
                <w:lang w:bidi="ar-SA"/>
              </w:rPr>
              <w:t xml:space="preserve"> الأخرى</w:t>
            </w:r>
            <w:r w:rsidR="002E6163" w:rsidRPr="006D5003">
              <w:rPr>
                <w:rFonts w:asciiTheme="minorBidi" w:hAnsiTheme="minorBidi"/>
                <w:sz w:val="12"/>
                <w:szCs w:val="12"/>
                <w:rtl/>
              </w:rPr>
              <w:t>.</w:t>
            </w:r>
            <w:bookmarkEnd w:id="5"/>
          </w:p>
        </w:tc>
      </w:tr>
      <w:tr w:rsidR="00274311" w:rsidTr="001A639A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1E1C8C" w:rsidP="001A639A">
            <w:pPr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8C" w:rsidRPr="00F5365D" w:rsidRDefault="005D217D" w:rsidP="001A639A">
            <w:pPr>
              <w:rPr>
                <w:rFonts w:asciiTheme="minorBidi" w:hAnsiTheme="minorBidi"/>
                <w:sz w:val="12"/>
                <w:szCs w:val="12"/>
              </w:rPr>
            </w:pPr>
            <w:bookmarkStart w:id="6" w:name="RANGE!B33"/>
            <w:r w:rsidRPr="00F5365D">
              <w:rPr>
                <w:rFonts w:asciiTheme="minorBidi" w:hAnsiTheme="minorBidi"/>
                <w:b/>
                <w:bCs/>
                <w:sz w:val="12"/>
                <w:szCs w:val="12"/>
                <w:vertAlign w:val="superscript"/>
                <w:rtl/>
              </w:rPr>
              <w:t>5</w:t>
            </w:r>
            <w:r w:rsidRPr="00F5365D">
              <w:rPr>
                <w:rFonts w:asciiTheme="minorBidi" w:hAnsiTheme="minorBidi"/>
                <w:sz w:val="12"/>
                <w:szCs w:val="12"/>
                <w:rtl/>
              </w:rPr>
              <w:t xml:space="preserve"> </w:t>
            </w:r>
            <w:r w:rsidR="002E6163" w:rsidRPr="00D41531">
              <w:rPr>
                <w:rFonts w:asciiTheme="minorBidi" w:hAnsiTheme="minorBidi" w:cs="Arial" w:hint="cs"/>
                <w:sz w:val="12"/>
                <w:szCs w:val="12"/>
                <w:rtl/>
                <w:lang w:bidi="ar-SA"/>
              </w:rPr>
              <w:t xml:space="preserve">يتم تقسيم </w:t>
            </w:r>
            <w:r w:rsidR="002E6163" w:rsidRPr="00D41531">
              <w:rPr>
                <w:rFonts w:asciiTheme="minorBidi" w:hAnsiTheme="minorBidi" w:cs="Arial"/>
                <w:sz w:val="12"/>
                <w:szCs w:val="12"/>
                <w:rtl/>
                <w:lang w:bidi="ar-SA"/>
              </w:rPr>
              <w:t xml:space="preserve">إجمالي </w:t>
            </w:r>
            <w:r w:rsidR="002E6163" w:rsidRPr="00D41531">
              <w:rPr>
                <w:rFonts w:asciiTheme="minorBidi" w:hAnsiTheme="minorBidi" w:cs="Arial" w:hint="cs"/>
                <w:sz w:val="12"/>
                <w:szCs w:val="12"/>
                <w:rtl/>
                <w:lang w:bidi="ar-SA"/>
              </w:rPr>
              <w:t>التداول</w:t>
            </w:r>
            <w:r w:rsidR="002E6163" w:rsidRPr="00D41531">
              <w:rPr>
                <w:rFonts w:asciiTheme="minorBidi" w:hAnsiTheme="minorBidi" w:cs="Arial"/>
                <w:sz w:val="12"/>
                <w:szCs w:val="12"/>
                <w:rtl/>
                <w:lang w:bidi="ar-SA"/>
              </w:rPr>
              <w:t xml:space="preserve"> بين البنوك على اثنين</w:t>
            </w:r>
            <w:r w:rsidR="002E6163" w:rsidRPr="006D5003">
              <w:rPr>
                <w:rFonts w:asciiTheme="minorBidi" w:hAnsiTheme="minorBidi"/>
                <w:sz w:val="12"/>
                <w:szCs w:val="12"/>
                <w:rtl/>
              </w:rPr>
              <w:t>.</w:t>
            </w:r>
            <w:bookmarkEnd w:id="6"/>
          </w:p>
        </w:tc>
      </w:tr>
    </w:tbl>
    <w:p w:rsidR="001E1C8C" w:rsidRPr="00F5365D" w:rsidRDefault="001E1C8C" w:rsidP="001E1C8C">
      <w:pPr>
        <w:pStyle w:val="Heading2"/>
        <w:rPr>
          <w:rFonts w:asciiTheme="minorBidi" w:hAnsiTheme="minorBidi" w:cstheme="minorBidi"/>
          <w:sz w:val="24"/>
          <w:szCs w:val="24"/>
          <w:rtl/>
        </w:rPr>
      </w:pPr>
    </w:p>
    <w:p w:rsidR="001E1C8C" w:rsidRPr="00F5365D" w:rsidRDefault="001E1C8C" w:rsidP="001E1C8C">
      <w:pPr>
        <w:rPr>
          <w:rFonts w:asciiTheme="minorBidi" w:hAnsiTheme="minorBidi"/>
          <w:rtl/>
        </w:rPr>
      </w:pPr>
    </w:p>
    <w:p w:rsidR="001E1C8C" w:rsidRPr="00F5365D" w:rsidRDefault="001E1C8C" w:rsidP="001E1C8C">
      <w:pPr>
        <w:rPr>
          <w:rFonts w:asciiTheme="minorBidi" w:hAnsiTheme="minorBidi"/>
          <w:rtl/>
        </w:rPr>
      </w:pPr>
    </w:p>
    <w:p w:rsidR="001E1C8C" w:rsidRPr="00F5365D" w:rsidRDefault="001E1C8C" w:rsidP="001E1C8C">
      <w:pPr>
        <w:rPr>
          <w:rFonts w:asciiTheme="minorBidi" w:hAnsiTheme="minorBidi"/>
          <w:rtl/>
        </w:rPr>
      </w:pPr>
    </w:p>
    <w:p w:rsidR="001E1C8C" w:rsidRPr="00F5365D" w:rsidRDefault="001E1C8C" w:rsidP="001E1C8C">
      <w:pPr>
        <w:rPr>
          <w:rFonts w:asciiTheme="minorBidi" w:hAnsiTheme="minorBidi"/>
          <w:rtl/>
        </w:rPr>
      </w:pPr>
    </w:p>
    <w:p w:rsidR="001E1C8C" w:rsidRPr="00F5365D" w:rsidRDefault="001E1C8C" w:rsidP="001E1C8C">
      <w:pPr>
        <w:rPr>
          <w:rFonts w:asciiTheme="minorBidi" w:hAnsiTheme="minorBidi"/>
          <w:rtl/>
        </w:rPr>
      </w:pPr>
    </w:p>
    <w:p w:rsidR="001E1C8C" w:rsidRPr="00F5365D" w:rsidRDefault="005D217D" w:rsidP="002E6163">
      <w:pPr>
        <w:pStyle w:val="Heading2"/>
        <w:rPr>
          <w:rFonts w:asciiTheme="minorBidi" w:hAnsiTheme="minorBidi" w:cstheme="minorBidi"/>
          <w:sz w:val="24"/>
          <w:szCs w:val="24"/>
          <w:rtl/>
        </w:rPr>
      </w:pPr>
      <w:r w:rsidRPr="00F14EAF">
        <w:rPr>
          <w:rFonts w:asciiTheme="minorBidi" w:hAnsiTheme="minorBidi" w:cs="Arial"/>
          <w:sz w:val="24"/>
          <w:szCs w:val="24"/>
          <w:rtl/>
          <w:lang w:bidi="ar-SA"/>
        </w:rPr>
        <w:t>تقدير إجمالي حجم التداول</w:t>
      </w:r>
      <w:r w:rsidRPr="00F14EAF">
        <w:rPr>
          <w:rStyle w:val="FootnoteReference"/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Style w:val="FootnoteReference"/>
          <w:rFonts w:asciiTheme="minorBidi" w:hAnsiTheme="minorBidi" w:cstheme="minorBidi"/>
          <w:sz w:val="24"/>
          <w:szCs w:val="24"/>
          <w:rtl/>
        </w:rPr>
        <w:footnoteReference w:id="4"/>
      </w:r>
      <w:r w:rsidRPr="00F5365D">
        <w:rPr>
          <w:rFonts w:asciiTheme="minorBidi" w:hAnsiTheme="minorBidi" w:cstheme="minorBidi"/>
          <w:sz w:val="24"/>
          <w:szCs w:val="24"/>
          <w:rtl/>
        </w:rPr>
        <w:t xml:space="preserve"> - </w:t>
      </w:r>
      <w:r w:rsidRPr="00F14EAF">
        <w:rPr>
          <w:rFonts w:asciiTheme="minorBidi" w:hAnsiTheme="minorBidi" w:cs="Arial"/>
          <w:sz w:val="24"/>
          <w:szCs w:val="24"/>
          <w:rtl/>
          <w:lang w:bidi="ar-SA"/>
        </w:rPr>
        <w:t xml:space="preserve">النظام المصرفي المحلي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والمصادر الأجنبية</w:t>
      </w:r>
    </w:p>
    <w:p w:rsidR="001E1C8C" w:rsidRPr="00F5365D" w:rsidRDefault="001E1C8C" w:rsidP="001E1C8C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1E1C8C" w:rsidRPr="00F5365D" w:rsidRDefault="005D217D" w:rsidP="002E6163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تشير تقديرات إجمالي نشاط المعاملات مقابل الشيكل،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التي تعكسها تقارير الجهاز المصرفي المحلي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والمصادر الأجنبية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، إلى أن الحصة النسبية لغير المقيمين في حجم التداول في معاملات التحويل (باستثناء معاملات المبادلة والخيارات) بلغت نحو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86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% في الربع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الأول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، حيث شكلت التجارة بين الأجانب نحو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77.1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% من الحجم، والذي بلغ م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توسطه اليومي نحو </w:t>
      </w:r>
      <w:r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9.3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مليار دولار</w:t>
      </w:r>
      <w:r w:rsidRPr="00F5365D">
        <w:rPr>
          <w:rFonts w:asciiTheme="minorBidi" w:hAnsiTheme="minorBidi"/>
          <w:color w:val="000000" w:themeColor="text1"/>
          <w:sz w:val="24"/>
          <w:szCs w:val="24"/>
          <w:rtl/>
        </w:rPr>
        <w:t xml:space="preserve">. </w:t>
      </w:r>
    </w:p>
    <w:p w:rsidR="001E1C8C" w:rsidRPr="00F5365D" w:rsidRDefault="001E1C8C" w:rsidP="001E1C8C">
      <w:pPr>
        <w:spacing w:line="360" w:lineRule="auto"/>
        <w:jc w:val="both"/>
        <w:rPr>
          <w:rFonts w:asciiTheme="minorBidi" w:hAnsiTheme="minorBidi"/>
          <w:rtl/>
        </w:rPr>
      </w:pPr>
    </w:p>
    <w:tbl>
      <w:tblPr>
        <w:bidiVisual/>
        <w:tblW w:w="10160" w:type="dxa"/>
        <w:tblLook w:val="04A0" w:firstRow="1" w:lastRow="0" w:firstColumn="1" w:lastColumn="0" w:noHBand="0" w:noVBand="1"/>
      </w:tblPr>
      <w:tblGrid>
        <w:gridCol w:w="3406"/>
        <w:gridCol w:w="1019"/>
        <w:gridCol w:w="994"/>
        <w:gridCol w:w="996"/>
        <w:gridCol w:w="1043"/>
        <w:gridCol w:w="1410"/>
        <w:gridCol w:w="1292"/>
      </w:tblGrid>
      <w:tr w:rsidR="00274311" w:rsidTr="002E6163">
        <w:trPr>
          <w:trHeight w:val="315"/>
        </w:trPr>
        <w:tc>
          <w:tcPr>
            <w:tcW w:w="3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FFFFFF"/>
              </w:rPr>
            </w:pPr>
            <w:r w:rsidRPr="00F5365D">
              <w:rPr>
                <w:rFonts w:asciiTheme="minorBidi" w:hAnsiTheme="minorBidi"/>
                <w:b/>
                <w:bCs/>
                <w:color w:val="FFFFFF"/>
                <w:rtl/>
              </w:rPr>
              <w:t> </w:t>
            </w:r>
          </w:p>
        </w:tc>
        <w:tc>
          <w:tcPr>
            <w:tcW w:w="10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rtl/>
              </w:rPr>
            </w:pPr>
            <w:r w:rsidRPr="00F5365D">
              <w:rPr>
                <w:rFonts w:asciiTheme="minorBidi" w:hAnsiTheme="minorBidi"/>
                <w:b/>
                <w:bCs/>
                <w:color w:val="FFFFFF"/>
                <w:rtl/>
              </w:rPr>
              <w:t> </w:t>
            </w:r>
          </w:p>
        </w:tc>
        <w:tc>
          <w:tcPr>
            <w:tcW w:w="303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/>
                <w:rtl/>
                <w:lang w:bidi="ar-SA"/>
              </w:rPr>
              <w:t>الحصة النسبية من اجمالي حجم التداول</w:t>
            </w:r>
          </w:p>
        </w:tc>
        <w:tc>
          <w:tcPr>
            <w:tcW w:w="141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b/>
                <w:bCs/>
                <w:color w:val="FFFFFF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/>
                <w:rtl/>
                <w:lang w:bidi="ar-SA"/>
              </w:rPr>
              <w:t>إجمالي الحجم</w:t>
            </w:r>
            <w:r w:rsidRPr="00F14EAF">
              <w:rPr>
                <w:rFonts w:asciiTheme="minorBidi" w:hAnsiTheme="minorBidi"/>
                <w:b/>
                <w:bCs/>
                <w:color w:val="FFFFFF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FFFFFF"/>
                <w:rtl/>
                <w:lang w:bidi="ar-SA"/>
              </w:rPr>
              <w:t>ملايين</w:t>
            </w:r>
            <w:r w:rsidRPr="00F14EAF">
              <w:rPr>
                <w:rFonts w:asciiTheme="minorBidi" w:hAnsiTheme="minorBidi"/>
                <w:b/>
                <w:bCs/>
                <w:color w:val="FFFFFF"/>
                <w:rtl/>
              </w:rPr>
              <w:t xml:space="preserve"> $)</w:t>
            </w:r>
          </w:p>
        </w:tc>
        <w:tc>
          <w:tcPr>
            <w:tcW w:w="129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b/>
                <w:bCs/>
                <w:color w:val="FFFFFF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/>
                <w:rtl/>
                <w:lang w:bidi="ar-SA"/>
              </w:rPr>
              <w:t>المتوسط اليومي</w:t>
            </w:r>
            <w:r w:rsidRPr="00F14EAF">
              <w:rPr>
                <w:rFonts w:asciiTheme="minorBidi" w:hAnsiTheme="minorBidi"/>
                <w:b/>
                <w:bCs/>
                <w:color w:val="FFFFFF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FFFFFF"/>
                <w:rtl/>
                <w:lang w:bidi="ar-SA"/>
              </w:rPr>
              <w:t>ملايين</w:t>
            </w:r>
            <w:r w:rsidRPr="00F14EAF">
              <w:rPr>
                <w:rFonts w:asciiTheme="minorBidi" w:hAnsiTheme="minorBidi"/>
                <w:b/>
                <w:bCs/>
                <w:color w:val="FFFFFF"/>
                <w:rtl/>
              </w:rPr>
              <w:t xml:space="preserve"> $)</w:t>
            </w:r>
          </w:p>
        </w:tc>
      </w:tr>
      <w:tr w:rsidR="00274311" w:rsidTr="002E6163">
        <w:trPr>
          <w:trHeight w:val="1515"/>
        </w:trPr>
        <w:tc>
          <w:tcPr>
            <w:tcW w:w="340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rtl/>
              </w:rPr>
            </w:pPr>
            <w:r w:rsidRPr="00F5365D">
              <w:rPr>
                <w:rFonts w:asciiTheme="minorBidi" w:hAnsiTheme="minorBidi"/>
                <w:b/>
                <w:bCs/>
                <w:color w:val="FFFFFF"/>
                <w:rtl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rtl/>
              </w:rPr>
            </w:pPr>
            <w:r w:rsidRPr="00F5365D">
              <w:rPr>
                <w:rFonts w:asciiTheme="minorBidi" w:hAnsiTheme="minorBidi"/>
                <w:b/>
                <w:bCs/>
                <w:color w:val="FFFFFF"/>
                <w:rtl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b/>
                <w:bCs/>
                <w:color w:val="FFFFFF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color w:val="FFFFFF"/>
                <w:rtl/>
                <w:lang w:bidi="ar-SA"/>
              </w:rPr>
              <w:t>التداول بين الأجانب</w:t>
            </w:r>
          </w:p>
        </w:tc>
        <w:tc>
          <w:tcPr>
            <w:tcW w:w="996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color w:val="0000FF"/>
                <w:u w:val="single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color w:val="FFFFFF"/>
                <w:rtl/>
                <w:lang w:bidi="ar-SA"/>
              </w:rPr>
              <w:t>التداول بين الأجانب والسوق المحلي</w:t>
            </w:r>
          </w:p>
        </w:tc>
        <w:tc>
          <w:tcPr>
            <w:tcW w:w="104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b/>
                <w:bCs/>
                <w:color w:val="FFFFFF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/>
                <w:rtl/>
                <w:lang w:bidi="ar-SA"/>
              </w:rPr>
              <w:t>التداول بين النظام المصرفي المحلي والمقيمين</w:t>
            </w:r>
            <w:r w:rsidRPr="00F14EAF">
              <w:rPr>
                <w:rFonts w:asciiTheme="minorBidi" w:hAnsiTheme="minorBidi"/>
                <w:b/>
                <w:bCs/>
                <w:color w:val="FFFFFF"/>
                <w:rtl/>
              </w:rPr>
              <w:t xml:space="preserve"> </w:t>
            </w:r>
          </w:p>
        </w:tc>
        <w:tc>
          <w:tcPr>
            <w:tcW w:w="141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2E6163" w:rsidRPr="00F5365D" w:rsidRDefault="002E6163" w:rsidP="001E1C8C">
            <w:pPr>
              <w:spacing w:line="240" w:lineRule="auto"/>
              <w:rPr>
                <w:rFonts w:asciiTheme="minorBidi" w:hAnsiTheme="minorBidi"/>
                <w:b/>
                <w:bCs/>
                <w:color w:val="FFFFFF"/>
              </w:rPr>
            </w:pPr>
          </w:p>
        </w:tc>
        <w:tc>
          <w:tcPr>
            <w:tcW w:w="129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2E6163" w:rsidRPr="00F5365D" w:rsidRDefault="002E6163" w:rsidP="001E1C8C">
            <w:pPr>
              <w:spacing w:line="240" w:lineRule="auto"/>
              <w:rPr>
                <w:rFonts w:asciiTheme="minorBidi" w:hAnsiTheme="minorBidi"/>
                <w:b/>
                <w:bCs/>
                <w:color w:val="FFFFFF"/>
              </w:rPr>
            </w:pPr>
          </w:p>
        </w:tc>
      </w:tr>
      <w:tr w:rsidR="00274311" w:rsidTr="002E6163">
        <w:trPr>
          <w:trHeight w:val="1215"/>
        </w:trPr>
        <w:tc>
          <w:tcPr>
            <w:tcW w:w="3406" w:type="dxa"/>
            <w:vMerge w:val="restart"/>
            <w:tcBorders>
              <w:top w:val="nil"/>
              <w:left w:val="single" w:sz="8" w:space="0" w:color="9CC2E5"/>
              <w:bottom w:val="single" w:sz="12" w:space="0" w:color="000000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ar-SA"/>
              </w:rPr>
              <w:t>الربع الرابع</w:t>
            </w:r>
            <w:r w:rsidRPr="00F14EAF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Pr="00F5365D">
              <w:rPr>
                <w:rFonts w:asciiTheme="minorBidi" w:hAnsiTheme="minorBidi"/>
                <w:sz w:val="18"/>
                <w:szCs w:val="18"/>
                <w:rtl/>
              </w:rPr>
              <w:t xml:space="preserve">2024  </w:t>
            </w:r>
          </w:p>
        </w:tc>
        <w:tc>
          <w:tcPr>
            <w:tcW w:w="1019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rtl/>
                <w:lang w:bidi="ar-SA"/>
              </w:rPr>
            </w:pPr>
            <w:r w:rsidRPr="00F14EAF">
              <w:rPr>
                <w:rFonts w:asciiTheme="minorBidi" w:hAnsiTheme="minorBidi" w:cs="Arial"/>
                <w:rtl/>
                <w:lang w:bidi="ar-SA"/>
              </w:rPr>
              <w:t>حجم</w:t>
            </w:r>
            <w:r w:rsidRPr="00F14EAF">
              <w:rPr>
                <w:rFonts w:asciiTheme="minorBidi" w:hAnsiTheme="minorBidi" w:cs="Arial"/>
                <w:rtl/>
                <w:lang w:bidi="ar-SA"/>
              </w:rPr>
              <w:t xml:space="preserve"> التداول في معاملات التحويل</w:t>
            </w:r>
          </w:p>
        </w:tc>
        <w:tc>
          <w:tcPr>
            <w:tcW w:w="99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F5365D">
              <w:rPr>
                <w:rFonts w:asciiTheme="minorBidi" w:hAnsiTheme="minorBidi"/>
                <w:rtl/>
              </w:rPr>
              <w:t>74.1%</w:t>
            </w: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9.3%</w:t>
            </w:r>
          </w:p>
        </w:tc>
        <w:tc>
          <w:tcPr>
            <w:tcW w:w="1043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16.6%</w:t>
            </w:r>
          </w:p>
        </w:tc>
        <w:tc>
          <w:tcPr>
            <w:tcW w:w="141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 xml:space="preserve">             793,206 </w:t>
            </w:r>
          </w:p>
        </w:tc>
        <w:tc>
          <w:tcPr>
            <w:tcW w:w="129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 xml:space="preserve">             12,794 </w:t>
            </w:r>
          </w:p>
        </w:tc>
      </w:tr>
      <w:tr w:rsidR="00274311" w:rsidTr="002E6163">
        <w:trPr>
          <w:trHeight w:val="1515"/>
        </w:trPr>
        <w:tc>
          <w:tcPr>
            <w:tcW w:w="3406" w:type="dxa"/>
            <w:vMerge/>
            <w:tcBorders>
              <w:top w:val="nil"/>
              <w:left w:val="single" w:sz="8" w:space="0" w:color="9CC2E5"/>
              <w:bottom w:val="single" w:sz="12" w:space="0" w:color="000000"/>
              <w:right w:val="single" w:sz="8" w:space="0" w:color="9CC2E5"/>
            </w:tcBorders>
            <w:vAlign w:val="center"/>
            <w:hideMark/>
          </w:tcPr>
          <w:p w:rsidR="002E6163" w:rsidRPr="00F5365D" w:rsidRDefault="002E6163" w:rsidP="001E1C8C">
            <w:pPr>
              <w:spacing w:line="24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rtl/>
                <w:lang w:bidi="ar-SA"/>
              </w:rPr>
            </w:pPr>
            <w:r w:rsidRPr="00F14EAF">
              <w:rPr>
                <w:rFonts w:asciiTheme="minorBidi" w:hAnsiTheme="minorBidi" w:cs="Arial"/>
                <w:rtl/>
                <w:lang w:bidi="ar-SA"/>
              </w:rPr>
              <w:t xml:space="preserve">حجم التداول في </w:t>
            </w:r>
            <w:r>
              <w:rPr>
                <w:rFonts w:asciiTheme="minorBidi" w:hAnsiTheme="minorBidi" w:cs="Arial" w:hint="cs"/>
                <w:rtl/>
                <w:lang w:bidi="ar-SA"/>
              </w:rPr>
              <w:t>معاملات</w:t>
            </w:r>
            <w:r w:rsidRPr="00F14EAF">
              <w:rPr>
                <w:rFonts w:asciiTheme="minorBidi" w:hAnsiTheme="minorBidi" w:cs="Arial"/>
                <w:rtl/>
                <w:lang w:bidi="ar-SA"/>
              </w:rPr>
              <w:t xml:space="preserve"> المبادلة والخيارات</w:t>
            </w:r>
          </w:p>
        </w:tc>
        <w:tc>
          <w:tcPr>
            <w:tcW w:w="994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49.0%</w:t>
            </w: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24.8%</w:t>
            </w:r>
          </w:p>
        </w:tc>
        <w:tc>
          <w:tcPr>
            <w:tcW w:w="1043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26.1%</w:t>
            </w:r>
          </w:p>
        </w:tc>
        <w:tc>
          <w:tcPr>
            <w:tcW w:w="141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 xml:space="preserve">         1,211,096 </w:t>
            </w:r>
          </w:p>
        </w:tc>
        <w:tc>
          <w:tcPr>
            <w:tcW w:w="1292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 xml:space="preserve">             19,534 </w:t>
            </w:r>
          </w:p>
        </w:tc>
      </w:tr>
      <w:tr w:rsidR="00274311" w:rsidTr="002E6163">
        <w:trPr>
          <w:trHeight w:val="1230"/>
        </w:trPr>
        <w:tc>
          <w:tcPr>
            <w:tcW w:w="3406" w:type="dxa"/>
            <w:vMerge w:val="restart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ar-SA"/>
              </w:rPr>
              <w:t>الربع الأول</w:t>
            </w:r>
            <w:r w:rsidRPr="00F5365D">
              <w:rPr>
                <w:rFonts w:asciiTheme="minorBidi" w:hAnsiTheme="minorBidi"/>
                <w:sz w:val="18"/>
                <w:szCs w:val="18"/>
                <w:rtl/>
              </w:rPr>
              <w:t xml:space="preserve"> 2025</w:t>
            </w:r>
          </w:p>
        </w:tc>
        <w:tc>
          <w:tcPr>
            <w:tcW w:w="1019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rtl/>
                <w:lang w:bidi="ar-SA"/>
              </w:rPr>
            </w:pPr>
            <w:r w:rsidRPr="00F14EAF">
              <w:rPr>
                <w:rFonts w:asciiTheme="minorBidi" w:hAnsiTheme="minorBidi" w:cs="Arial"/>
                <w:rtl/>
                <w:lang w:bidi="ar-SA"/>
              </w:rPr>
              <w:t>حجم التداول في معاملات التحويل</w:t>
            </w:r>
          </w:p>
        </w:tc>
        <w:tc>
          <w:tcPr>
            <w:tcW w:w="99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77.1%</w:t>
            </w: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9.0%</w:t>
            </w:r>
          </w:p>
        </w:tc>
        <w:tc>
          <w:tcPr>
            <w:tcW w:w="1043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13.9%</w:t>
            </w:r>
          </w:p>
        </w:tc>
        <w:tc>
          <w:tcPr>
            <w:tcW w:w="141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 xml:space="preserve">             568,113 </w:t>
            </w:r>
          </w:p>
        </w:tc>
        <w:tc>
          <w:tcPr>
            <w:tcW w:w="129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 xml:space="preserve">               9,313 </w:t>
            </w:r>
          </w:p>
        </w:tc>
      </w:tr>
      <w:tr w:rsidR="00274311" w:rsidTr="002E6163">
        <w:trPr>
          <w:trHeight w:val="1500"/>
        </w:trPr>
        <w:tc>
          <w:tcPr>
            <w:tcW w:w="3406" w:type="dxa"/>
            <w:vMerge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vAlign w:val="center"/>
            <w:hideMark/>
          </w:tcPr>
          <w:p w:rsidR="002E6163" w:rsidRPr="00F5365D" w:rsidRDefault="002E6163" w:rsidP="001E1C8C">
            <w:pPr>
              <w:spacing w:line="24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2E6163" w:rsidRPr="00F14EAF" w:rsidRDefault="005D217D" w:rsidP="005D5E2B">
            <w:pPr>
              <w:keepNext/>
              <w:jc w:val="center"/>
              <w:rPr>
                <w:rFonts w:asciiTheme="minorBidi" w:hAnsiTheme="minorBidi"/>
                <w:rtl/>
                <w:lang w:bidi="ar-SA"/>
              </w:rPr>
            </w:pPr>
            <w:r w:rsidRPr="00F14EAF">
              <w:rPr>
                <w:rFonts w:asciiTheme="minorBidi" w:hAnsiTheme="minorBidi" w:cs="Arial"/>
                <w:rtl/>
                <w:lang w:bidi="ar-SA"/>
              </w:rPr>
              <w:t xml:space="preserve">حجم التداول في </w:t>
            </w:r>
            <w:r>
              <w:rPr>
                <w:rFonts w:asciiTheme="minorBidi" w:hAnsiTheme="minorBidi" w:cs="Arial" w:hint="cs"/>
                <w:rtl/>
                <w:lang w:bidi="ar-SA"/>
              </w:rPr>
              <w:t>معاملات</w:t>
            </w:r>
            <w:r w:rsidRPr="00F14EAF">
              <w:rPr>
                <w:rFonts w:asciiTheme="minorBidi" w:hAnsiTheme="minorBidi" w:cs="Arial"/>
                <w:rtl/>
                <w:lang w:bidi="ar-SA"/>
              </w:rPr>
              <w:t xml:space="preserve"> المبادلة والخيارات</w:t>
            </w:r>
          </w:p>
        </w:tc>
        <w:tc>
          <w:tcPr>
            <w:tcW w:w="994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49.4%</w:t>
            </w: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24.0%</w:t>
            </w:r>
          </w:p>
        </w:tc>
        <w:tc>
          <w:tcPr>
            <w:tcW w:w="1043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>26.6%</w:t>
            </w:r>
          </w:p>
        </w:tc>
        <w:tc>
          <w:tcPr>
            <w:tcW w:w="141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 xml:space="preserve">             902,726 </w:t>
            </w:r>
          </w:p>
        </w:tc>
        <w:tc>
          <w:tcPr>
            <w:tcW w:w="1292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2E6163" w:rsidRPr="00F5365D" w:rsidRDefault="005D217D" w:rsidP="001E1C8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F5365D">
              <w:rPr>
                <w:rFonts w:asciiTheme="minorBidi" w:hAnsiTheme="minorBidi"/>
                <w:rtl/>
              </w:rPr>
              <w:t xml:space="preserve">             14,799 </w:t>
            </w:r>
          </w:p>
        </w:tc>
      </w:tr>
      <w:bookmarkEnd w:id="0"/>
    </w:tbl>
    <w:p w:rsidR="001E1C8C" w:rsidRPr="00F5365D" w:rsidRDefault="001E1C8C" w:rsidP="009005BA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sectPr w:rsidR="001E1C8C" w:rsidRPr="00F5365D" w:rsidSect="001D340E">
      <w:footerReference w:type="first" r:id="rId16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217D">
      <w:pPr>
        <w:spacing w:after="0" w:line="240" w:lineRule="auto"/>
      </w:pPr>
      <w:r>
        <w:separator/>
      </w:r>
    </w:p>
  </w:endnote>
  <w:endnote w:type="continuationSeparator" w:id="0">
    <w:p w:rsidR="00000000" w:rsidRDefault="005D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A00008FF" w:usb1="4000204B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5D217D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5D217D" w:rsidP="004E34C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4E34C2" w:rsidRPr="004E34C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https://www.boi.org.il/bank-of-israel/boi-podcast</w:t>
                            </w:r>
                            <w:r w:rsidR="004E34C2" w:rsidRPr="004E34C2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5D217D" w:rsidP="004E34C2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="004E34C2" w:rsidRPr="004E34C2">
                        <w:rPr>
                          <w:rStyle w:val="Hyperlink"/>
                          <w:sz w:val="12"/>
                          <w:szCs w:val="12"/>
                        </w:rPr>
                        <w:t>https://www.boi.org.il/bank-of-israel/boi-podcast</w:t>
                      </w:r>
                      <w:r w:rsidR="004E34C2" w:rsidRPr="004E34C2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  <w:rtl/>
                        </w:rPr>
                        <w:t>/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5D217D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5D217D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5D217D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5D217D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5D217D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5D217D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7E758B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4F" w:rsidRDefault="005D217D" w:rsidP="008755E3">
      <w:pPr>
        <w:spacing w:after="0" w:line="240" w:lineRule="auto"/>
      </w:pPr>
      <w:r>
        <w:separator/>
      </w:r>
    </w:p>
  </w:footnote>
  <w:footnote w:type="continuationSeparator" w:id="0">
    <w:p w:rsidR="00447F4F" w:rsidRDefault="005D217D" w:rsidP="008755E3">
      <w:pPr>
        <w:spacing w:after="0" w:line="240" w:lineRule="auto"/>
      </w:pPr>
      <w:r>
        <w:continuationSeparator/>
      </w:r>
    </w:p>
  </w:footnote>
  <w:footnote w:id="1">
    <w:p w:rsidR="001E1C8C" w:rsidRPr="001E1C8C" w:rsidRDefault="005D217D" w:rsidP="002E6163">
      <w:pPr>
        <w:pStyle w:val="FootnoteText"/>
        <w:jc w:val="both"/>
        <w:rPr>
          <w:rFonts w:cstheme="minorHAnsi"/>
          <w:rtl/>
        </w:rPr>
      </w:pPr>
      <w:r w:rsidRPr="001E1C8C">
        <w:rPr>
          <w:rStyle w:val="FootnoteReference"/>
          <w:rFonts w:cstheme="minorHAnsi"/>
        </w:rPr>
        <w:footnoteRef/>
      </w:r>
      <w:r w:rsidR="002E6163">
        <w:rPr>
          <w:rFonts w:ascii="David" w:hAnsi="David" w:cs="Times New Roman" w:hint="cs"/>
          <w:rtl/>
          <w:lang w:bidi="ar-SA"/>
        </w:rPr>
        <w:t xml:space="preserve"> </w:t>
      </w:r>
      <w:r w:rsidR="002E6163" w:rsidRPr="00F14EAF">
        <w:rPr>
          <w:rFonts w:ascii="David" w:hAnsi="David" w:cs="Times New Roman"/>
          <w:rtl/>
          <w:lang w:bidi="ar-SA"/>
        </w:rPr>
        <w:t xml:space="preserve">لمزيد من المعلومات حول نشاط القطاعات في سوق </w:t>
      </w:r>
      <w:r w:rsidR="002E6163">
        <w:rPr>
          <w:rFonts w:ascii="David" w:hAnsi="David" w:cs="Times New Roman" w:hint="cs"/>
          <w:rtl/>
          <w:lang w:bidi="ar-SA"/>
        </w:rPr>
        <w:t>النقد</w:t>
      </w:r>
      <w:r w:rsidR="002E6163" w:rsidRPr="00F14EAF">
        <w:rPr>
          <w:rFonts w:ascii="David" w:hAnsi="David" w:cs="Times New Roman"/>
          <w:rtl/>
          <w:lang w:bidi="ar-SA"/>
        </w:rPr>
        <w:t xml:space="preserve"> الأجنبي، انظر</w:t>
      </w:r>
      <w:r w:rsidR="002E6163">
        <w:rPr>
          <w:rFonts w:ascii="David" w:hAnsi="David" w:cs="Times New Roman" w:hint="cs"/>
          <w:rtl/>
          <w:lang w:bidi="ar-SA"/>
        </w:rPr>
        <w:t xml:space="preserve"> تقرير</w:t>
      </w:r>
      <w:r w:rsidR="002E6163" w:rsidRPr="00F14EAF">
        <w:rPr>
          <w:rFonts w:ascii="David" w:hAnsi="David" w:cs="Times New Roman"/>
          <w:rtl/>
          <w:lang w:bidi="ar-SA"/>
        </w:rPr>
        <w:t xml:space="preserve"> "</w:t>
      </w:r>
      <w:r w:rsidR="002E6163">
        <w:rPr>
          <w:rFonts w:ascii="David" w:hAnsi="David" w:cs="Times New Roman" w:hint="cs"/>
          <w:rtl/>
          <w:lang w:bidi="ar-SA"/>
        </w:rPr>
        <w:t>نظرة</w:t>
      </w:r>
      <w:r w:rsidR="002E6163">
        <w:rPr>
          <w:rFonts w:ascii="David" w:hAnsi="David" w:cs="Times New Roman"/>
          <w:rtl/>
          <w:lang w:bidi="ar-SA"/>
        </w:rPr>
        <w:t xml:space="preserve"> </w:t>
      </w:r>
      <w:r w:rsidR="002E6163" w:rsidRPr="00F14EAF">
        <w:rPr>
          <w:rFonts w:ascii="David" w:hAnsi="David" w:cs="Times New Roman"/>
          <w:rtl/>
          <w:lang w:bidi="ar-SA"/>
        </w:rPr>
        <w:t xml:space="preserve">إحصائية لعام 2024 - الفصل </w:t>
      </w:r>
      <w:r w:rsidR="002E6163">
        <w:rPr>
          <w:rFonts w:ascii="David" w:hAnsi="David" w:cs="Times New Roman" w:hint="cs"/>
          <w:rtl/>
          <w:lang w:bidi="ar-SA"/>
        </w:rPr>
        <w:t>"د"</w:t>
      </w:r>
      <w:r w:rsidR="002E6163" w:rsidRPr="00F14EAF">
        <w:rPr>
          <w:rFonts w:ascii="David" w:hAnsi="David" w:cs="Times New Roman"/>
          <w:rtl/>
          <w:lang w:bidi="ar-SA"/>
        </w:rPr>
        <w:t>"</w:t>
      </w:r>
      <w:r w:rsidR="002E6163" w:rsidRPr="006A5495">
        <w:rPr>
          <w:rFonts w:ascii="David" w:hAnsi="David" w:cs="David"/>
          <w:rtl/>
        </w:rPr>
        <w:t xml:space="preserve">: </w:t>
      </w:r>
      <w:r w:rsidRPr="001E1C8C">
        <w:rPr>
          <w:rFonts w:cstheme="minorHAnsi"/>
          <w:rtl/>
        </w:rPr>
        <w:t xml:space="preserve"> </w:t>
      </w:r>
      <w:hyperlink r:id="rId1" w:tgtFrame="_blank" w:tooltip="https://www.boi.org.il/publications/regularpublications/statistic_bulletin/bulletin2024/" w:history="1">
        <w:r w:rsidRPr="001E1C8C">
          <w:rPr>
            <w:rStyle w:val="Hyperlink"/>
            <w:rFonts w:cstheme="minorHAnsi"/>
          </w:rPr>
          <w:t>https://www.boi.org.il/publications/regularpubl</w:t>
        </w:r>
        <w:r w:rsidRPr="001E1C8C">
          <w:rPr>
            <w:rStyle w:val="Hyperlink"/>
            <w:rFonts w:cstheme="minorHAnsi"/>
          </w:rPr>
          <w:t>ications/statistic_bulletin/bulletin2024/</w:t>
        </w:r>
      </w:hyperlink>
    </w:p>
  </w:footnote>
  <w:footnote w:id="2">
    <w:p w:rsidR="001E1C8C" w:rsidRPr="001E1C8C" w:rsidRDefault="005D217D" w:rsidP="002E6163">
      <w:pPr>
        <w:pStyle w:val="FootnoteText"/>
        <w:jc w:val="both"/>
        <w:rPr>
          <w:rFonts w:cstheme="minorHAnsi"/>
          <w:rtl/>
        </w:rPr>
      </w:pPr>
      <w:r w:rsidRPr="001E1C8C">
        <w:rPr>
          <w:rStyle w:val="FootnoteReference"/>
          <w:rFonts w:cstheme="minorHAnsi"/>
        </w:rPr>
        <w:footnoteRef/>
      </w:r>
      <w:r w:rsidR="002E6163">
        <w:rPr>
          <w:rFonts w:hint="cs"/>
          <w:rtl/>
          <w:lang w:bidi="ar-SA"/>
        </w:rPr>
        <w:t xml:space="preserve"> </w:t>
      </w:r>
      <w:r w:rsidR="002E6163" w:rsidRPr="00F14EAF">
        <w:rPr>
          <w:rFonts w:ascii="David" w:hAnsi="David" w:cs="Arial"/>
          <w:rtl/>
          <w:lang w:bidi="ar-SA"/>
        </w:rPr>
        <w:t xml:space="preserve">لا تشكل القطاعات الرئيسية الموضحة السوق بأكمله - لمزيد من المعلومات، راجع "نظام البيانات حول نشاط سوق الشيكل/العملات الأجنبية" في </w:t>
      </w:r>
      <w:r w:rsidR="002E6163">
        <w:rPr>
          <w:rFonts w:ascii="David" w:hAnsi="David" w:cs="Arial" w:hint="cs"/>
          <w:rtl/>
          <w:lang w:bidi="ar-SA"/>
        </w:rPr>
        <w:t>تقرير نظرة</w:t>
      </w:r>
      <w:r w:rsidR="002E6163">
        <w:rPr>
          <w:rFonts w:ascii="David" w:hAnsi="David" w:cs="Arial"/>
          <w:rtl/>
          <w:lang w:bidi="ar-SA"/>
        </w:rPr>
        <w:t xml:space="preserve"> </w:t>
      </w:r>
      <w:r w:rsidR="002E6163" w:rsidRPr="00F14EAF">
        <w:rPr>
          <w:rFonts w:ascii="David" w:hAnsi="David" w:cs="Arial"/>
          <w:rtl/>
          <w:lang w:bidi="ar-SA"/>
        </w:rPr>
        <w:t>إحصائية 2024.</w:t>
      </w:r>
    </w:p>
    <w:p w:rsidR="001E1C8C" w:rsidRPr="001E1C8C" w:rsidRDefault="005D217D" w:rsidP="001E1C8C">
      <w:pPr>
        <w:pStyle w:val="FootnoteText"/>
        <w:jc w:val="both"/>
        <w:rPr>
          <w:rFonts w:cstheme="minorHAnsi"/>
          <w:rtl/>
        </w:rPr>
      </w:pPr>
      <w:hyperlink r:id="rId2" w:history="1">
        <w:r w:rsidRPr="001E1C8C">
          <w:rPr>
            <w:rStyle w:val="Hyperlink"/>
            <w:rFonts w:cstheme="minorHAnsi"/>
          </w:rPr>
          <w:t>https://www.boi.org.il/publications/regularpublications/statistic_bulletin/bulletin2024</w:t>
        </w:r>
        <w:r w:rsidRPr="001E1C8C">
          <w:rPr>
            <w:rStyle w:val="Hyperlink"/>
            <w:rFonts w:cstheme="minorHAnsi"/>
            <w:rtl/>
          </w:rPr>
          <w:t>/</w:t>
        </w:r>
      </w:hyperlink>
    </w:p>
  </w:footnote>
  <w:footnote w:id="3">
    <w:p w:rsidR="001E1C8C" w:rsidRPr="001E1C8C" w:rsidRDefault="005D217D" w:rsidP="002E6163">
      <w:pPr>
        <w:pStyle w:val="FootnoteText"/>
        <w:jc w:val="both"/>
        <w:rPr>
          <w:rFonts w:cstheme="minorHAnsi"/>
          <w:rtl/>
        </w:rPr>
      </w:pPr>
      <w:r w:rsidRPr="001E1C8C">
        <w:rPr>
          <w:rStyle w:val="FootnoteReference"/>
          <w:rFonts w:cstheme="minorHAnsi"/>
        </w:rPr>
        <w:footnoteRef/>
      </w:r>
      <w:r w:rsidR="002E6163">
        <w:rPr>
          <w:rFonts w:hint="cs"/>
          <w:rtl/>
          <w:lang w:bidi="ar-SA"/>
        </w:rPr>
        <w:t xml:space="preserve"> </w:t>
      </w:r>
      <w:r w:rsidR="002E6163" w:rsidRPr="00EF1545">
        <w:rPr>
          <w:rFonts w:ascii="David" w:hAnsi="David" w:cs="Times New Roman"/>
          <w:sz w:val="18"/>
          <w:szCs w:val="18"/>
          <w:rtl/>
          <w:lang w:bidi="ar-SA"/>
        </w:rPr>
        <w:t>اعتبار</w:t>
      </w:r>
      <w:r w:rsidR="002D3A49">
        <w:rPr>
          <w:rFonts w:ascii="David" w:hAnsi="David" w:cs="Times New Roman"/>
          <w:sz w:val="18"/>
          <w:szCs w:val="18"/>
          <w:rtl/>
          <w:lang w:bidi="ar-SA"/>
        </w:rPr>
        <w:t>اً</w:t>
      </w:r>
      <w:r w:rsidR="002E6163" w:rsidRPr="00EF1545">
        <w:rPr>
          <w:rFonts w:ascii="David" w:hAnsi="David" w:cs="Times New Roman"/>
          <w:sz w:val="18"/>
          <w:szCs w:val="18"/>
          <w:rtl/>
          <w:lang w:bidi="ar-SA"/>
        </w:rPr>
        <w:t xml:space="preserve"> من عام 2020، لا تشمل البيانات فروع البنوك الأجنبية في إسرائيل</w:t>
      </w:r>
      <w:r w:rsidR="002E6163" w:rsidRPr="00EF1545">
        <w:rPr>
          <w:rFonts w:ascii="David" w:hAnsi="David" w:cs="David" w:hint="cs"/>
          <w:sz w:val="18"/>
          <w:szCs w:val="18"/>
          <w:rtl/>
        </w:rPr>
        <w:t>.</w:t>
      </w:r>
    </w:p>
  </w:footnote>
  <w:footnote w:id="4">
    <w:p w:rsidR="001E1C8C" w:rsidRPr="001E1C8C" w:rsidRDefault="005D217D" w:rsidP="002E6163">
      <w:pPr>
        <w:jc w:val="both"/>
        <w:rPr>
          <w:rFonts w:cstheme="minorHAnsi"/>
          <w:rtl/>
        </w:rPr>
      </w:pPr>
      <w:r w:rsidRPr="001E1C8C">
        <w:rPr>
          <w:rStyle w:val="FootnoteReference"/>
          <w:rFonts w:cstheme="minorHAnsi"/>
        </w:rPr>
        <w:footnoteRef/>
      </w:r>
      <w:r w:rsidR="002E6163">
        <w:rPr>
          <w:rFonts w:hint="cs"/>
          <w:rtl/>
          <w:lang w:bidi="ar-SA"/>
        </w:rPr>
        <w:t xml:space="preserve"> </w:t>
      </w:r>
      <w:r w:rsidR="002E6163" w:rsidRPr="00983155">
        <w:rPr>
          <w:rFonts w:ascii="David" w:hAnsi="David" w:cs="Times New Roman"/>
          <w:sz w:val="18"/>
          <w:szCs w:val="18"/>
          <w:rtl/>
          <w:lang w:bidi="ar-SA"/>
        </w:rPr>
        <w:t xml:space="preserve">إجمالي حجم التداول هو تقدير لإجمالي النشاط في المعاملات مقابل الشيكل، بناءً على تقارير الجهاز المصرفي المحلي </w:t>
      </w:r>
      <w:r w:rsidR="002E6163">
        <w:rPr>
          <w:rFonts w:ascii="David" w:hAnsi="David" w:cs="Times New Roman" w:hint="cs"/>
          <w:sz w:val="18"/>
          <w:szCs w:val="18"/>
          <w:rtl/>
          <w:lang w:bidi="ar-SA"/>
        </w:rPr>
        <w:t>والمصادر</w:t>
      </w:r>
      <w:r w:rsidR="002E6163" w:rsidRPr="00983155">
        <w:rPr>
          <w:rFonts w:ascii="David" w:hAnsi="David" w:cs="Times New Roman" w:hint="cs"/>
          <w:sz w:val="18"/>
          <w:szCs w:val="18"/>
          <w:rtl/>
          <w:lang w:bidi="ar-SA"/>
        </w:rPr>
        <w:t xml:space="preserve"> الأجنبية</w:t>
      </w:r>
      <w:r w:rsidR="002E6163" w:rsidRPr="00983155">
        <w:rPr>
          <w:rFonts w:ascii="David" w:hAnsi="David" w:cs="David" w:hint="cs"/>
          <w:sz w:val="18"/>
          <w:szCs w:val="18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EF9AA0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3CB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E8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A9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E5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4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4D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06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61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85BE5B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A6B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CA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2E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4F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8F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AA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C3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F47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21065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435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CE59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92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6859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7C0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AA6E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C847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7255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497A42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3DE87EB0" w:tentative="1">
      <w:start w:val="1"/>
      <w:numFmt w:val="lowerLetter"/>
      <w:lvlText w:val="%2."/>
      <w:lvlJc w:val="left"/>
      <w:pPr>
        <w:ind w:left="1080" w:hanging="360"/>
      </w:pPr>
    </w:lvl>
    <w:lvl w:ilvl="2" w:tplc="A4BC3B14" w:tentative="1">
      <w:start w:val="1"/>
      <w:numFmt w:val="lowerRoman"/>
      <w:lvlText w:val="%3."/>
      <w:lvlJc w:val="right"/>
      <w:pPr>
        <w:ind w:left="1800" w:hanging="180"/>
      </w:pPr>
    </w:lvl>
    <w:lvl w:ilvl="3" w:tplc="C576C41A" w:tentative="1">
      <w:start w:val="1"/>
      <w:numFmt w:val="decimal"/>
      <w:lvlText w:val="%4."/>
      <w:lvlJc w:val="left"/>
      <w:pPr>
        <w:ind w:left="2520" w:hanging="360"/>
      </w:pPr>
    </w:lvl>
    <w:lvl w:ilvl="4" w:tplc="9F40F172" w:tentative="1">
      <w:start w:val="1"/>
      <w:numFmt w:val="lowerLetter"/>
      <w:lvlText w:val="%5."/>
      <w:lvlJc w:val="left"/>
      <w:pPr>
        <w:ind w:left="3240" w:hanging="360"/>
      </w:pPr>
    </w:lvl>
    <w:lvl w:ilvl="5" w:tplc="2AF0B93A" w:tentative="1">
      <w:start w:val="1"/>
      <w:numFmt w:val="lowerRoman"/>
      <w:lvlText w:val="%6."/>
      <w:lvlJc w:val="right"/>
      <w:pPr>
        <w:ind w:left="3960" w:hanging="180"/>
      </w:pPr>
    </w:lvl>
    <w:lvl w:ilvl="6" w:tplc="9E86192E" w:tentative="1">
      <w:start w:val="1"/>
      <w:numFmt w:val="decimal"/>
      <w:lvlText w:val="%7."/>
      <w:lvlJc w:val="left"/>
      <w:pPr>
        <w:ind w:left="4680" w:hanging="360"/>
      </w:pPr>
    </w:lvl>
    <w:lvl w:ilvl="7" w:tplc="3BE42586" w:tentative="1">
      <w:start w:val="1"/>
      <w:numFmt w:val="lowerLetter"/>
      <w:lvlText w:val="%8."/>
      <w:lvlJc w:val="left"/>
      <w:pPr>
        <w:ind w:left="5400" w:hanging="360"/>
      </w:pPr>
    </w:lvl>
    <w:lvl w:ilvl="8" w:tplc="C91838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01CE86E6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B956A7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CA3E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CA70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5CB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9AE2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0A92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128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3097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25AE02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6B0BE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C297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5C8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B0FB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8CBD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AE1C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DEEB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288A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A0D6DA8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70D40A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5986FE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08A60C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8A7887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16F2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6B2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C078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0C3F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F4365E2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1CA89D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6CCA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0ECF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4AE2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D837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9A29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1CB3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7839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98B01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22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CF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4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8B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41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0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03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AC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9EEC5A0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A70A5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D674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36D4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1211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3E54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1A59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4C12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9C9C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CE7E3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EB1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80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28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20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87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C6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A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40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59EE7B7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2A457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4624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6A1E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EAB3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66AC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1E17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C2E9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741A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FD74DF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EEA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0F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45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4D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8B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42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0A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E9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4C0A79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06A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E197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CC8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C64B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C7C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0D26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0D94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438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10FE2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08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01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48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0C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28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61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EA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7D8C081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1D0CF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C495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72E6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F04A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CC44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A6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BCA9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485B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17E27C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80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2E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81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23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2B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41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3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6D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B6268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64D9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F675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EE6A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36A5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3CF8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423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F8B4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C213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3A44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639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1C8C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4311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3A49"/>
    <w:rsid w:val="002D7104"/>
    <w:rsid w:val="002D7650"/>
    <w:rsid w:val="002D76F6"/>
    <w:rsid w:val="002E16E9"/>
    <w:rsid w:val="002E3BD1"/>
    <w:rsid w:val="002E6163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47F4F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5E32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4C2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217D"/>
    <w:rsid w:val="005D5659"/>
    <w:rsid w:val="005D5E2B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00AF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5495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5003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6F73DA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2286"/>
    <w:rsid w:val="00753AE4"/>
    <w:rsid w:val="00754237"/>
    <w:rsid w:val="00754A40"/>
    <w:rsid w:val="00755211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155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19E8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6EA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531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1545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EAF"/>
    <w:rsid w:val="00F14F50"/>
    <w:rsid w:val="00F217A8"/>
    <w:rsid w:val="00F23422"/>
    <w:rsid w:val="00F24A43"/>
    <w:rsid w:val="00F25432"/>
    <w:rsid w:val="00F25A6E"/>
    <w:rsid w:val="00F27BB0"/>
    <w:rsid w:val="00F30AD4"/>
    <w:rsid w:val="00F3141F"/>
    <w:rsid w:val="00F3173C"/>
    <w:rsid w:val="00F33221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5365D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11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hyperlink" Target="https://www.boi.org.il/bank-of-israel/boi-podcast/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www.boi.org.il/bank-of-israel/boi-podcast/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12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publications/regularpublications/statistic_bulletin/bulletin2024/" TargetMode="External"/><Relationship Id="rId1" Type="http://schemas.openxmlformats.org/officeDocument/2006/relationships/hyperlink" Target="https://www.boi.org.il/publications/regularpublications/statistic_bulletin/bulletin2024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F16B-7F87-4E2D-9865-6C3D1484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855</Words>
  <Characters>4528</Characters>
  <Application>Microsoft Office Word</Application>
  <DocSecurity>4</DocSecurity>
  <Lines>137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2025-05-08T10:34:00Z</dcterms:created>
  <dcterms:modified xsi:type="dcterms:W3CDTF">2025-05-08T10:34:00Z</dcterms:modified>
</cp:coreProperties>
</file>