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14:paraId="233CACE3" w14:textId="77777777" w:rsidTr="002E5159">
        <w:trPr>
          <w:jc w:val="center"/>
        </w:trPr>
        <w:tc>
          <w:tcPr>
            <w:tcW w:w="2840" w:type="dxa"/>
            <w:vAlign w:val="center"/>
          </w:tcPr>
          <w:p w14:paraId="233CACDE" w14:textId="77777777" w:rsidR="00D921A2" w:rsidRDefault="00D921A2" w:rsidP="00C739C4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14:paraId="233CACDF" w14:textId="77777777" w:rsidR="00D921A2" w:rsidRDefault="00D921A2" w:rsidP="00C739C4">
            <w:pPr>
              <w:spacing w:before="240"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14:paraId="233CACE0" w14:textId="77777777" w:rsidR="00D921A2" w:rsidRDefault="00AE5FAE" w:rsidP="00C739C4">
            <w:pPr>
              <w:spacing w:before="240"/>
              <w:jc w:val="center"/>
            </w:pPr>
            <w:r>
              <w:rPr>
                <w:noProof/>
                <w:rtl/>
                <w:lang w:eastAsia="en-US"/>
              </w:rPr>
              <w:drawing>
                <wp:inline distT="0" distB="0" distL="0" distR="0" wp14:anchorId="233CAD0B" wp14:editId="233CAD0C">
                  <wp:extent cx="1050880" cy="1050880"/>
                  <wp:effectExtent l="0" t="0" r="0" b="0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74" cy="105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14:paraId="233CACE1" w14:textId="1F7B0A37" w:rsidR="00D921A2" w:rsidRPr="000B3287" w:rsidRDefault="00D921A2" w:rsidP="00C739C4">
            <w:pPr>
              <w:spacing w:before="240"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2B67EB">
              <w:rPr>
                <w:rFonts w:hint="cs"/>
                <w:rtl/>
              </w:rPr>
              <w:t>ט</w:t>
            </w:r>
            <w:r w:rsidR="00F26049">
              <w:rPr>
                <w:rFonts w:hint="cs"/>
                <w:rtl/>
              </w:rPr>
              <w:t>"</w:t>
            </w:r>
            <w:r w:rsidR="002B67EB">
              <w:rPr>
                <w:rFonts w:hint="cs"/>
                <w:rtl/>
              </w:rPr>
              <w:t>ז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524CB2" w:rsidRPr="000B3287">
              <w:rPr>
                <w:rFonts w:hint="cs"/>
                <w:rtl/>
              </w:rPr>
              <w:t>ב</w:t>
            </w:r>
            <w:r w:rsidR="002B67EB">
              <w:rPr>
                <w:rFonts w:hint="cs"/>
                <w:rtl/>
              </w:rPr>
              <w:t>טבת</w:t>
            </w:r>
            <w:r w:rsidR="00D43807" w:rsidRPr="000B3287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26049">
              <w:rPr>
                <w:rFonts w:hint="cs"/>
                <w:rtl/>
              </w:rPr>
              <w:t>ט</w:t>
            </w:r>
            <w:proofErr w:type="spellEnd"/>
          </w:p>
          <w:p w14:paraId="233CACE2" w14:textId="5B4B1551" w:rsidR="00D921A2" w:rsidRPr="000B3287" w:rsidRDefault="00F26049" w:rsidP="00C739C4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</w:t>
            </w:r>
            <w:r w:rsidR="002B67EB">
              <w:rPr>
                <w:rFonts w:hint="cs"/>
                <w:rtl/>
              </w:rPr>
              <w:t>4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767D86">
              <w:rPr>
                <w:rFonts w:hint="cs"/>
                <w:rtl/>
              </w:rPr>
              <w:t>ב</w:t>
            </w:r>
            <w:r w:rsidR="002B67EB">
              <w:rPr>
                <w:rFonts w:hint="cs"/>
                <w:rtl/>
              </w:rPr>
              <w:t>דצמ</w:t>
            </w:r>
            <w:r>
              <w:rPr>
                <w:rFonts w:hint="cs"/>
                <w:rtl/>
              </w:rPr>
              <w:t>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D84164" w:rsidRPr="000B3287">
              <w:rPr>
                <w:rFonts w:hint="cs"/>
                <w:rtl/>
              </w:rPr>
              <w:t>2018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14:paraId="233CACE4" w14:textId="77777777" w:rsidR="00D921A2" w:rsidRDefault="00D921A2" w:rsidP="00C739C4">
      <w:pPr>
        <w:spacing w:before="240" w:line="360" w:lineRule="auto"/>
        <w:ind w:right="-101"/>
        <w:rPr>
          <w:rtl/>
        </w:rPr>
      </w:pPr>
    </w:p>
    <w:p w14:paraId="233CACE5" w14:textId="77777777" w:rsidR="00D921A2" w:rsidRDefault="00D921A2" w:rsidP="00C739C4">
      <w:pPr>
        <w:spacing w:before="240"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14:paraId="233CACE6" w14:textId="3C03499C" w:rsidR="00E724A2" w:rsidRPr="002E5159" w:rsidRDefault="0078645B" w:rsidP="00BE7B9A">
      <w:pPr>
        <w:pStyle w:val="af1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767D86">
        <w:rPr>
          <w:rFonts w:hint="cs"/>
          <w:b/>
          <w:bCs/>
          <w:rtl/>
        </w:rPr>
        <w:t>ה</w:t>
      </w:r>
      <w:r w:rsidR="00BE7B9A">
        <w:rPr>
          <w:rFonts w:hint="cs"/>
          <w:b/>
          <w:bCs/>
          <w:rtl/>
        </w:rPr>
        <w:t>שליש</w:t>
      </w:r>
      <w:r w:rsidR="005B4B79">
        <w:rPr>
          <w:rFonts w:hint="cs"/>
          <w:b/>
          <w:bCs/>
          <w:rtl/>
        </w:rPr>
        <w:t>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2018</w:t>
      </w:r>
    </w:p>
    <w:p w14:paraId="233CACE7" w14:textId="69D44B81" w:rsidR="00091F3F" w:rsidRPr="009264FD" w:rsidRDefault="00F502DF" w:rsidP="00B650D5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5B4B79">
        <w:rPr>
          <w:rFonts w:hint="cs"/>
          <w:b/>
          <w:bCs/>
          <w:rtl/>
        </w:rPr>
        <w:t>ש</w:t>
      </w:r>
      <w:r w:rsidR="00B90FEA">
        <w:rPr>
          <w:rFonts w:hint="cs"/>
          <w:b/>
          <w:bCs/>
          <w:rtl/>
        </w:rPr>
        <w:t>ליש</w:t>
      </w:r>
      <w:r w:rsidR="005B4B79">
        <w:rPr>
          <w:rFonts w:hint="cs"/>
          <w:b/>
          <w:bCs/>
          <w:rtl/>
        </w:rPr>
        <w:t>י</w:t>
      </w:r>
      <w:r w:rsidRPr="009264FD">
        <w:rPr>
          <w:b/>
          <w:bCs/>
          <w:rtl/>
        </w:rPr>
        <w:t xml:space="preserve"> של שנת 201</w:t>
      </w:r>
      <w:r w:rsidR="00AF6E96" w:rsidRPr="009264FD">
        <w:rPr>
          <w:rFonts w:hint="cs"/>
          <w:b/>
          <w:bCs/>
          <w:rtl/>
        </w:rPr>
        <w:t>8</w:t>
      </w:r>
      <w:r w:rsidRPr="009264FD">
        <w:rPr>
          <w:b/>
          <w:bCs/>
          <w:rtl/>
        </w:rPr>
        <w:t xml:space="preserve"> </w:t>
      </w:r>
      <w:r w:rsidR="007C6DD1" w:rsidRPr="009264FD">
        <w:rPr>
          <w:rFonts w:hint="cs"/>
          <w:b/>
          <w:bCs/>
          <w:rtl/>
        </w:rPr>
        <w:t>עלה</w:t>
      </w:r>
      <w:r w:rsidRPr="009264FD">
        <w:rPr>
          <w:b/>
          <w:bCs/>
          <w:rtl/>
        </w:rPr>
        <w:t xml:space="preserve"> </w:t>
      </w:r>
      <w:r w:rsidR="00EC18EA" w:rsidRPr="009264FD">
        <w:rPr>
          <w:rFonts w:hint="cs"/>
          <w:b/>
          <w:bCs/>
          <w:rtl/>
        </w:rPr>
        <w:t>שוויו של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B650D5">
        <w:rPr>
          <w:rFonts w:hint="cs"/>
          <w:b/>
          <w:bCs/>
          <w:rtl/>
        </w:rPr>
        <w:t>90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B90FEA">
        <w:rPr>
          <w:rFonts w:hint="cs"/>
          <w:b/>
          <w:bCs/>
          <w:rtl/>
        </w:rPr>
        <w:t>2</w:t>
      </w:r>
      <w:r w:rsidR="006D6B90" w:rsidRPr="009264FD">
        <w:rPr>
          <w:rFonts w:hint="cs"/>
          <w:b/>
          <w:bCs/>
          <w:rtl/>
        </w:rPr>
        <w:t>.</w:t>
      </w:r>
      <w:r w:rsidR="00B650D5">
        <w:rPr>
          <w:rFonts w:hint="cs"/>
          <w:b/>
          <w:bCs/>
          <w:rtl/>
        </w:rPr>
        <w:t>5</w:t>
      </w:r>
      <w:r w:rsidR="006D6B90" w:rsidRPr="009264FD">
        <w:rPr>
          <w:rFonts w:hint="cs"/>
          <w:b/>
          <w:bCs/>
          <w:rtl/>
        </w:rPr>
        <w:t>) ועמד בסופו על כ-3.</w:t>
      </w:r>
      <w:r w:rsidR="00B90FEA">
        <w:rPr>
          <w:rFonts w:hint="cs"/>
          <w:b/>
          <w:bCs/>
          <w:rtl/>
        </w:rPr>
        <w:t>73</w:t>
      </w:r>
      <w:r w:rsidR="00EC18EA" w:rsidRPr="009264FD">
        <w:rPr>
          <w:rFonts w:hint="cs"/>
          <w:b/>
          <w:bCs/>
          <w:rtl/>
        </w:rPr>
        <w:t xml:space="preserve"> טריליוני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14:paraId="233CACE8" w14:textId="2F96DE44" w:rsidR="00B65E49" w:rsidRPr="001E5D0A" w:rsidRDefault="00F502DF" w:rsidP="00482248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E5D0A">
        <w:rPr>
          <w:rFonts w:hint="cs"/>
          <w:b/>
          <w:bCs/>
          <w:rtl/>
        </w:rPr>
        <w:t>העלייה</w:t>
      </w:r>
      <w:r w:rsidR="002F6225" w:rsidRPr="001E5D0A">
        <w:rPr>
          <w:rFonts w:hint="cs"/>
          <w:b/>
          <w:bCs/>
          <w:rtl/>
        </w:rPr>
        <w:t xml:space="preserve"> </w:t>
      </w:r>
      <w:r w:rsidR="009069AE" w:rsidRPr="001E5D0A">
        <w:rPr>
          <w:rFonts w:hint="cs"/>
          <w:b/>
          <w:bCs/>
          <w:rtl/>
        </w:rPr>
        <w:t xml:space="preserve">בשווי התיק ברביע </w:t>
      </w:r>
      <w:r w:rsidR="001E5D0A" w:rsidRPr="001E5D0A">
        <w:rPr>
          <w:rFonts w:hint="cs"/>
          <w:b/>
          <w:bCs/>
          <w:rtl/>
        </w:rPr>
        <w:t>ה</w:t>
      </w:r>
      <w:r w:rsidR="004A6D6F">
        <w:rPr>
          <w:rFonts w:hint="cs"/>
          <w:b/>
          <w:bCs/>
          <w:rtl/>
        </w:rPr>
        <w:t>שלישי</w:t>
      </w:r>
      <w:r w:rsidR="009069AE" w:rsidRPr="001E5D0A">
        <w:rPr>
          <w:rFonts w:hint="cs"/>
          <w:b/>
          <w:bCs/>
          <w:rtl/>
        </w:rPr>
        <w:t xml:space="preserve"> </w:t>
      </w:r>
      <w:r w:rsidR="002F6225" w:rsidRPr="001E5D0A">
        <w:rPr>
          <w:b/>
          <w:bCs/>
          <w:rtl/>
        </w:rPr>
        <w:t>נבע</w:t>
      </w:r>
      <w:r w:rsidR="003C6456" w:rsidRPr="001E5D0A">
        <w:rPr>
          <w:rFonts w:hint="cs"/>
          <w:b/>
          <w:bCs/>
          <w:rtl/>
        </w:rPr>
        <w:t>ה</w:t>
      </w:r>
      <w:r w:rsidR="002F6225" w:rsidRPr="001E5D0A">
        <w:rPr>
          <w:b/>
          <w:bCs/>
          <w:rtl/>
        </w:rPr>
        <w:t xml:space="preserve"> </w:t>
      </w:r>
      <w:r w:rsidR="008276EF">
        <w:rPr>
          <w:rFonts w:hint="cs"/>
          <w:b/>
          <w:bCs/>
          <w:rtl/>
        </w:rPr>
        <w:t>בעיקרה</w:t>
      </w:r>
      <w:r w:rsidR="00080C9F">
        <w:rPr>
          <w:rFonts w:hint="cs"/>
          <w:b/>
          <w:bCs/>
          <w:rtl/>
        </w:rPr>
        <w:t xml:space="preserve"> </w:t>
      </w:r>
      <w:r w:rsidR="00476E62" w:rsidRPr="001E5D0A">
        <w:rPr>
          <w:rFonts w:hint="cs"/>
          <w:b/>
          <w:bCs/>
          <w:rtl/>
        </w:rPr>
        <w:t xml:space="preserve">מעלייה </w:t>
      </w:r>
      <w:r w:rsidR="007409EF">
        <w:rPr>
          <w:rFonts w:hint="cs"/>
          <w:b/>
          <w:bCs/>
          <w:rtl/>
        </w:rPr>
        <w:t>ביתרת</w:t>
      </w:r>
      <w:r w:rsidR="008276EF">
        <w:rPr>
          <w:rFonts w:hint="cs"/>
          <w:b/>
          <w:bCs/>
          <w:rtl/>
        </w:rPr>
        <w:t xml:space="preserve"> </w:t>
      </w:r>
      <w:r w:rsidR="005C307D" w:rsidRPr="005C307D">
        <w:rPr>
          <w:rFonts w:hint="cs"/>
          <w:b/>
          <w:bCs/>
          <w:rtl/>
        </w:rPr>
        <w:t>המניות בארץ, אג"ח הממשלתיות וההשקעות</w:t>
      </w:r>
      <w:r w:rsidR="008276EF">
        <w:rPr>
          <w:rFonts w:hint="cs"/>
          <w:b/>
          <w:bCs/>
          <w:rtl/>
        </w:rPr>
        <w:t xml:space="preserve"> בחו"ל</w:t>
      </w:r>
      <w:r w:rsidR="00125279" w:rsidRPr="00112CBA">
        <w:rPr>
          <w:rFonts w:hint="cs"/>
          <w:b/>
          <w:bCs/>
          <w:rtl/>
        </w:rPr>
        <w:t>.</w:t>
      </w:r>
    </w:p>
    <w:p w14:paraId="233CACE9" w14:textId="2F117B44" w:rsidR="00767D86" w:rsidRDefault="00767D86" w:rsidP="00EE6489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EE6489">
        <w:rPr>
          <w:b/>
          <w:bCs/>
          <w:rtl/>
        </w:rPr>
        <w:t xml:space="preserve">יתרת התיק המנוהל בידי המשקיעים המוסדיים עלתה ברביע </w:t>
      </w:r>
      <w:r w:rsidR="00EE6489" w:rsidRPr="00EE6489">
        <w:rPr>
          <w:rFonts w:hint="cs"/>
          <w:b/>
          <w:bCs/>
          <w:rtl/>
        </w:rPr>
        <w:t>השלישי</w:t>
      </w:r>
      <w:r w:rsidRPr="00EE6489">
        <w:rPr>
          <w:b/>
          <w:bCs/>
          <w:rtl/>
        </w:rPr>
        <w:t xml:space="preserve"> של שנת 2018 בכ-</w:t>
      </w:r>
      <w:r w:rsidR="00EE6489" w:rsidRPr="00EE6489">
        <w:rPr>
          <w:rFonts w:hint="cs"/>
          <w:b/>
          <w:bCs/>
          <w:rtl/>
        </w:rPr>
        <w:t>2.9</w:t>
      </w:r>
      <w:r w:rsidRPr="00EE6489">
        <w:rPr>
          <w:b/>
          <w:bCs/>
          <w:rtl/>
        </w:rPr>
        <w:t>%</w:t>
      </w:r>
      <w:r w:rsidR="00125279" w:rsidRPr="00EE6489">
        <w:rPr>
          <w:rFonts w:hint="cs"/>
          <w:b/>
          <w:bCs/>
          <w:rtl/>
        </w:rPr>
        <w:t>.</w:t>
      </w:r>
      <w:r w:rsidR="00CB18EF">
        <w:rPr>
          <w:rFonts w:hint="cs"/>
          <w:b/>
          <w:bCs/>
          <w:rtl/>
        </w:rPr>
        <w:t xml:space="preserve"> </w:t>
      </w:r>
    </w:p>
    <w:p w14:paraId="7A411D64" w14:textId="4E546C90" w:rsidR="00CB18EF" w:rsidRPr="00EE6489" w:rsidRDefault="00CB18EF" w:rsidP="00CB18EF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שיעורי החשיפה של המוסדיים לנכסים זרים ולמט"ח עלו כל אחד בכ-0.6 נקודת אחוז בממוצע. </w:t>
      </w:r>
    </w:p>
    <w:p w14:paraId="138D8479" w14:textId="2EABF629" w:rsidR="002E23BA" w:rsidRDefault="002E23BA" w:rsidP="00CB18EF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על אף הפדיונות נטו ברביע השלישי של השנה, יתרת ההחזקות ב</w:t>
      </w:r>
      <w:r w:rsidRPr="00035581">
        <w:rPr>
          <w:rFonts w:hint="cs"/>
          <w:b/>
          <w:bCs/>
          <w:rtl/>
        </w:rPr>
        <w:t xml:space="preserve">קרנות הנאמנות </w:t>
      </w:r>
      <w:r>
        <w:rPr>
          <w:rFonts w:hint="cs"/>
          <w:b/>
          <w:bCs/>
          <w:rtl/>
        </w:rPr>
        <w:t>עלתה בכ-1.7 מיליארדי ש"ח.</w:t>
      </w:r>
    </w:p>
    <w:p w14:paraId="17AFD875" w14:textId="77777777" w:rsidR="00EE6489" w:rsidRPr="002E23BA" w:rsidRDefault="00EE6489" w:rsidP="00EE6489">
      <w:pPr>
        <w:pStyle w:val="ae"/>
        <w:spacing w:before="240" w:line="360" w:lineRule="auto"/>
        <w:jc w:val="both"/>
        <w:rPr>
          <w:b/>
          <w:bCs/>
          <w:rtl/>
        </w:rPr>
      </w:pPr>
    </w:p>
    <w:p w14:paraId="233CACEC" w14:textId="77777777" w:rsidR="008D130A" w:rsidRPr="00C739C4" w:rsidRDefault="002A7E7B" w:rsidP="00C739C4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14:paraId="233CACED" w14:textId="6DF8904E" w:rsidR="00594308" w:rsidRDefault="0027468F" w:rsidP="000D49A8">
      <w:pPr>
        <w:spacing w:before="240" w:line="360" w:lineRule="auto"/>
        <w:ind w:left="360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</w:t>
      </w:r>
      <w:r w:rsidR="005B4B79">
        <w:rPr>
          <w:rFonts w:hint="cs"/>
          <w:b/>
          <w:bCs/>
          <w:rtl/>
        </w:rPr>
        <w:t>ש</w:t>
      </w:r>
      <w:r w:rsidR="00BE7B9A">
        <w:rPr>
          <w:rFonts w:hint="cs"/>
          <w:b/>
          <w:bCs/>
          <w:rtl/>
        </w:rPr>
        <w:t>ליש</w:t>
      </w:r>
      <w:r w:rsidR="005B4B79">
        <w:rPr>
          <w:rFonts w:hint="cs"/>
          <w:b/>
          <w:bCs/>
          <w:rtl/>
        </w:rPr>
        <w:t>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2018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B650D5">
        <w:rPr>
          <w:rFonts w:hint="cs"/>
          <w:rtl/>
        </w:rPr>
        <w:t>90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(</w:t>
      </w:r>
      <w:r w:rsidR="00CC0824">
        <w:rPr>
          <w:rFonts w:hint="cs"/>
          <w:rtl/>
        </w:rPr>
        <w:t>2.</w:t>
      </w:r>
      <w:r w:rsidR="00B650D5">
        <w:rPr>
          <w:rFonts w:hint="cs"/>
          <w:rtl/>
        </w:rPr>
        <w:t>5</w:t>
      </w:r>
      <w:r w:rsidR="00F502DF">
        <w:rPr>
          <w:rFonts w:hint="cs"/>
          <w:rtl/>
        </w:rPr>
        <w:t>%)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 </w:t>
      </w:r>
      <w:r w:rsidR="00B5166B">
        <w:rPr>
          <w:rFonts w:hint="cs"/>
          <w:rtl/>
        </w:rPr>
        <w:t>3.</w:t>
      </w:r>
      <w:r w:rsidR="00CC0824">
        <w:rPr>
          <w:rFonts w:hint="cs"/>
          <w:rtl/>
        </w:rPr>
        <w:t>7</w:t>
      </w:r>
      <w:r w:rsidR="00D37755">
        <w:rPr>
          <w:rFonts w:hint="cs"/>
          <w:rtl/>
        </w:rPr>
        <w:t>3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  <w:r w:rsidR="00975AF9">
        <w:rPr>
          <w:rFonts w:hint="cs"/>
          <w:rtl/>
        </w:rPr>
        <w:t xml:space="preserve"> </w:t>
      </w:r>
      <w:r w:rsidR="00C90138" w:rsidRPr="00830F9A">
        <w:rPr>
          <w:rFonts w:hint="cs"/>
          <w:rtl/>
        </w:rPr>
        <w:t xml:space="preserve">משקל תיק הנכסים הפיננסיים של הציבור ביחס לתוצר </w:t>
      </w:r>
      <w:r w:rsidR="00BE7B9A">
        <w:rPr>
          <w:rFonts w:hint="cs"/>
          <w:rtl/>
        </w:rPr>
        <w:t xml:space="preserve">עלה </w:t>
      </w:r>
      <w:r w:rsidR="000D49A8">
        <w:rPr>
          <w:rFonts w:hint="cs"/>
          <w:rtl/>
        </w:rPr>
        <w:t>בכ-4 נקודות אחוז ועמד בסוף הרביע</w:t>
      </w:r>
      <w:r w:rsidR="00975AF9" w:rsidRPr="00830F9A">
        <w:rPr>
          <w:rFonts w:hint="cs"/>
          <w:rtl/>
        </w:rPr>
        <w:t xml:space="preserve"> על</w:t>
      </w:r>
      <w:r w:rsidR="00C90138" w:rsidRPr="00830F9A">
        <w:rPr>
          <w:rFonts w:hint="cs"/>
          <w:rtl/>
        </w:rPr>
        <w:t xml:space="preserve"> </w:t>
      </w:r>
      <w:r w:rsidR="00830F9A" w:rsidRPr="00830F9A">
        <w:rPr>
          <w:rFonts w:hint="cs"/>
          <w:rtl/>
        </w:rPr>
        <w:t>28</w:t>
      </w:r>
      <w:r w:rsidR="00BE7B9A">
        <w:rPr>
          <w:rFonts w:hint="cs"/>
          <w:rtl/>
        </w:rPr>
        <w:t>5</w:t>
      </w:r>
      <w:r w:rsidR="00C90138" w:rsidRPr="00830F9A">
        <w:rPr>
          <w:rFonts w:hint="cs"/>
          <w:rtl/>
        </w:rPr>
        <w:t xml:space="preserve">% (תרשים 1). זאת מכיוון שקצב העלייה של תיק הנכסים היה </w:t>
      </w:r>
      <w:r w:rsidR="00BE7B9A">
        <w:rPr>
          <w:rFonts w:hint="cs"/>
          <w:rtl/>
        </w:rPr>
        <w:t>גבוה</w:t>
      </w:r>
      <w:r w:rsidR="00830F9A" w:rsidRPr="00830F9A">
        <w:rPr>
          <w:rFonts w:hint="cs"/>
          <w:rtl/>
        </w:rPr>
        <w:t xml:space="preserve"> מ</w:t>
      </w:r>
      <w:r w:rsidR="00C90138" w:rsidRPr="00830F9A">
        <w:rPr>
          <w:rFonts w:hint="cs"/>
          <w:rtl/>
        </w:rPr>
        <w:t xml:space="preserve">קצב עליית </w:t>
      </w:r>
      <w:proofErr w:type="spellStart"/>
      <w:r w:rsidR="00C90138" w:rsidRPr="00830F9A">
        <w:rPr>
          <w:rFonts w:hint="cs"/>
          <w:rtl/>
        </w:rPr>
        <w:t>התמ"ג</w:t>
      </w:r>
      <w:proofErr w:type="spellEnd"/>
      <w:r w:rsidR="00C90138" w:rsidRPr="00830F9A">
        <w:rPr>
          <w:rFonts w:hint="cs"/>
          <w:rtl/>
        </w:rPr>
        <w:t xml:space="preserve"> (</w:t>
      </w:r>
      <w:r w:rsidR="00BE7B9A">
        <w:rPr>
          <w:rFonts w:hint="cs"/>
          <w:rtl/>
        </w:rPr>
        <w:t>1</w:t>
      </w:r>
      <w:r w:rsidR="00C90138" w:rsidRPr="00830F9A">
        <w:rPr>
          <w:rFonts w:hint="cs"/>
          <w:rtl/>
        </w:rPr>
        <w:t>.</w:t>
      </w:r>
      <w:r w:rsidR="00BE7B9A">
        <w:rPr>
          <w:rFonts w:hint="cs"/>
          <w:rtl/>
        </w:rPr>
        <w:t>1</w:t>
      </w:r>
      <w:r w:rsidR="00C90138" w:rsidRPr="00830F9A">
        <w:rPr>
          <w:rFonts w:hint="cs"/>
          <w:rtl/>
        </w:rPr>
        <w:t>% במחירים שוטפים</w:t>
      </w:r>
      <w:r w:rsidR="00830F9A" w:rsidRPr="00830F9A">
        <w:rPr>
          <w:rFonts w:hint="cs"/>
          <w:b/>
          <w:bCs/>
          <w:rtl/>
        </w:rPr>
        <w:t>).</w:t>
      </w:r>
    </w:p>
    <w:p w14:paraId="233CACEE" w14:textId="5406ADDE" w:rsidR="009F64A1" w:rsidRDefault="00B650D5" w:rsidP="00C739C4">
      <w:pPr>
        <w:spacing w:before="240" w:line="360" w:lineRule="auto"/>
        <w:jc w:val="center"/>
        <w:rPr>
          <w:b/>
          <w:bCs/>
          <w:rtl/>
        </w:rPr>
      </w:pPr>
      <w:r>
        <w:rPr>
          <w:noProof/>
          <w:lang w:eastAsia="en-US"/>
        </w:rPr>
        <w:drawing>
          <wp:inline distT="0" distB="0" distL="0" distR="0" wp14:anchorId="1F49019B" wp14:editId="4ECF569F">
            <wp:extent cx="5486400" cy="2197735"/>
            <wp:effectExtent l="0" t="0" r="0" b="0"/>
            <wp:docPr id="1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ACF0" w14:textId="77777777" w:rsidR="00CF5B27" w:rsidRDefault="00CF5B27" w:rsidP="00C739C4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</w:t>
      </w:r>
      <w:r w:rsidR="00EA3535" w:rsidRPr="00F26049">
        <w:rPr>
          <w:rStyle w:val="10"/>
          <w:rFonts w:hint="cs"/>
          <w:rtl/>
        </w:rPr>
        <w:t xml:space="preserve">כלל </w:t>
      </w:r>
      <w:r w:rsidR="00327E2A" w:rsidRPr="00F26049">
        <w:rPr>
          <w:rStyle w:val="10"/>
          <w:rFonts w:hint="cs"/>
          <w:rtl/>
        </w:rPr>
        <w:t>ה</w:t>
      </w:r>
      <w:r w:rsidRPr="00F26049">
        <w:rPr>
          <w:rStyle w:val="10"/>
          <w:rFonts w:hint="cs"/>
          <w:rtl/>
        </w:rPr>
        <w:t>תיק</w:t>
      </w:r>
    </w:p>
    <w:p w14:paraId="233CACF1" w14:textId="39A52096" w:rsidR="009F64A1" w:rsidRDefault="001D15A4" w:rsidP="002E23BA">
      <w:pPr>
        <w:pStyle w:val="ae"/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במהלך הרביע השלישי עלו </w:t>
      </w:r>
      <w:r w:rsidR="002E23BA">
        <w:rPr>
          <w:rFonts w:hint="cs"/>
          <w:rtl/>
        </w:rPr>
        <w:t xml:space="preserve">כלל </w:t>
      </w:r>
      <w:r>
        <w:rPr>
          <w:rFonts w:hint="cs"/>
          <w:rtl/>
        </w:rPr>
        <w:t xml:space="preserve">הרכיבים בתיק, למעט </w:t>
      </w:r>
      <w:r w:rsidR="006E0D76">
        <w:rPr>
          <w:rFonts w:hint="cs"/>
          <w:rtl/>
        </w:rPr>
        <w:t xml:space="preserve">יתרת </w:t>
      </w:r>
      <w:r>
        <w:rPr>
          <w:rFonts w:hint="cs"/>
          <w:rtl/>
        </w:rPr>
        <w:t>המזומן והפיקדונות שירד</w:t>
      </w:r>
      <w:r w:rsidR="006E0D76">
        <w:rPr>
          <w:rFonts w:hint="cs"/>
          <w:rtl/>
        </w:rPr>
        <w:t>ה</w:t>
      </w:r>
      <w:r w:rsidR="002E23BA">
        <w:rPr>
          <w:rFonts w:hint="cs"/>
          <w:rtl/>
        </w:rPr>
        <w:t xml:space="preserve"> במקצת. בלטו ה</w:t>
      </w:r>
      <w:r>
        <w:rPr>
          <w:rFonts w:hint="cs"/>
          <w:rtl/>
        </w:rPr>
        <w:t>עליות</w:t>
      </w:r>
      <w:r w:rsidR="002E23BA">
        <w:rPr>
          <w:rFonts w:hint="cs"/>
          <w:rtl/>
        </w:rPr>
        <w:t xml:space="preserve"> ביתרת </w:t>
      </w:r>
      <w:r>
        <w:rPr>
          <w:rFonts w:hint="cs"/>
          <w:rtl/>
        </w:rPr>
        <w:t xml:space="preserve">המניות הסחירות בארץ, </w:t>
      </w:r>
      <w:r w:rsidR="002E23BA">
        <w:rPr>
          <w:rFonts w:hint="cs"/>
          <w:rtl/>
        </w:rPr>
        <w:t xml:space="preserve">יתרת </w:t>
      </w:r>
      <w:proofErr w:type="spellStart"/>
      <w:r w:rsidR="002E23BA">
        <w:rPr>
          <w:rFonts w:hint="cs"/>
          <w:rtl/>
        </w:rPr>
        <w:t>ה</w:t>
      </w:r>
      <w:r>
        <w:rPr>
          <w:rFonts w:hint="cs"/>
          <w:rtl/>
        </w:rPr>
        <w:t>אג"ח</w:t>
      </w:r>
      <w:proofErr w:type="spellEnd"/>
      <w:r>
        <w:rPr>
          <w:rFonts w:hint="cs"/>
          <w:rtl/>
        </w:rPr>
        <w:t xml:space="preserve"> הממשלתיות וההשקעות בחו"ל.</w:t>
      </w:r>
    </w:p>
    <w:p w14:paraId="233CACF2" w14:textId="715932F3" w:rsidR="000430C8" w:rsidRPr="009F64A1" w:rsidRDefault="00F510AA" w:rsidP="00C739C4">
      <w:pPr>
        <w:spacing w:before="240" w:line="360" w:lineRule="auto"/>
        <w:jc w:val="center"/>
      </w:pPr>
      <w:r>
        <w:rPr>
          <w:noProof/>
          <w:rtl/>
          <w:lang w:eastAsia="en-US"/>
        </w:rPr>
        <w:drawing>
          <wp:inline distT="0" distB="0" distL="0" distR="0" wp14:anchorId="792E6A20" wp14:editId="359688E6">
            <wp:extent cx="5486400" cy="2196587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6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55263" w14:textId="73E9A22F" w:rsidR="006E0D76" w:rsidRPr="00B650D5" w:rsidRDefault="00F510AA" w:rsidP="00184649">
      <w:pPr>
        <w:pStyle w:val="ae"/>
        <w:numPr>
          <w:ilvl w:val="0"/>
          <w:numId w:val="24"/>
        </w:numPr>
        <w:spacing w:before="240" w:line="360" w:lineRule="auto"/>
        <w:jc w:val="both"/>
      </w:pPr>
      <w:r>
        <w:rPr>
          <w:rFonts w:hint="cs"/>
          <w:rtl/>
        </w:rPr>
        <w:t>יתרת ההחזקות</w:t>
      </w:r>
      <w:r w:rsidR="006E0D7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ב</w:t>
      </w:r>
      <w:r w:rsidR="006E0D76" w:rsidRPr="008A5A5C">
        <w:rPr>
          <w:rFonts w:hint="cs"/>
          <w:b/>
          <w:bCs/>
          <w:rtl/>
        </w:rPr>
        <w:t>מניות בארץ</w:t>
      </w:r>
      <w:r w:rsidR="006E0D76">
        <w:rPr>
          <w:rFonts w:hint="cs"/>
          <w:rtl/>
        </w:rPr>
        <w:t xml:space="preserve"> עלה בכ-4</w:t>
      </w:r>
      <w:r w:rsidR="00B650D5">
        <w:rPr>
          <w:rFonts w:hint="cs"/>
          <w:rtl/>
        </w:rPr>
        <w:t>7</w:t>
      </w:r>
      <w:r w:rsidR="006E0D76">
        <w:rPr>
          <w:rFonts w:hint="cs"/>
          <w:rtl/>
        </w:rPr>
        <w:t xml:space="preserve"> מיליארדים (</w:t>
      </w:r>
      <w:r w:rsidR="00B650D5">
        <w:rPr>
          <w:rFonts w:hint="cs"/>
          <w:rtl/>
        </w:rPr>
        <w:t>9</w:t>
      </w:r>
      <w:r w:rsidR="006E0D76">
        <w:rPr>
          <w:rFonts w:hint="cs"/>
          <w:rtl/>
        </w:rPr>
        <w:t>.</w:t>
      </w:r>
      <w:r w:rsidR="00B650D5">
        <w:rPr>
          <w:rFonts w:hint="cs"/>
          <w:rtl/>
        </w:rPr>
        <w:t>2</w:t>
      </w:r>
      <w:r w:rsidR="006E0D76">
        <w:rPr>
          <w:rFonts w:hint="cs"/>
          <w:rtl/>
        </w:rPr>
        <w:t xml:space="preserve">%) </w:t>
      </w:r>
      <w:r w:rsidR="006E0D76" w:rsidRPr="000F0912">
        <w:rPr>
          <w:rFonts w:hint="cs"/>
          <w:rtl/>
        </w:rPr>
        <w:t>כתוצאה</w:t>
      </w:r>
      <w:r w:rsidR="006E0D76" w:rsidRPr="00F7491B">
        <w:rPr>
          <w:rFonts w:hint="cs"/>
          <w:rtl/>
        </w:rPr>
        <w:t xml:space="preserve"> מעליית</w:t>
      </w:r>
      <w:r w:rsidR="006E0D76">
        <w:rPr>
          <w:rFonts w:hint="cs"/>
          <w:rtl/>
        </w:rPr>
        <w:t xml:space="preserve"> המחירים בבורסה בת"א </w:t>
      </w:r>
      <w:r w:rsidR="006E0D76" w:rsidRPr="00E871FA">
        <w:rPr>
          <w:rFonts w:hint="cs"/>
          <w:rtl/>
        </w:rPr>
        <w:t>שקוזזה בחלקה ע"י מימושים נטו של כ-</w:t>
      </w:r>
      <w:r w:rsidR="00053087" w:rsidRPr="00E871FA">
        <w:rPr>
          <w:rFonts w:hint="cs"/>
          <w:rtl/>
        </w:rPr>
        <w:t>5</w:t>
      </w:r>
      <w:r w:rsidR="006E0D76" w:rsidRPr="00E871FA">
        <w:rPr>
          <w:rFonts w:hint="cs"/>
          <w:rtl/>
        </w:rPr>
        <w:t>.</w:t>
      </w:r>
      <w:r w:rsidR="00053087" w:rsidRPr="00E871FA">
        <w:rPr>
          <w:rFonts w:hint="cs"/>
          <w:rtl/>
        </w:rPr>
        <w:t>7</w:t>
      </w:r>
      <w:r w:rsidR="006E0D76" w:rsidRPr="00E871FA">
        <w:rPr>
          <w:rFonts w:hint="cs"/>
          <w:rtl/>
        </w:rPr>
        <w:t xml:space="preserve"> מיליארדי </w:t>
      </w:r>
      <w:r w:rsidR="00053087" w:rsidRPr="00E871FA">
        <w:rPr>
          <w:rFonts w:hint="cs"/>
          <w:rtl/>
        </w:rPr>
        <w:t>ש"ח</w:t>
      </w:r>
      <w:r w:rsidR="006E0D76" w:rsidRPr="00E871FA">
        <w:rPr>
          <w:rFonts w:hint="cs"/>
          <w:rtl/>
        </w:rPr>
        <w:t xml:space="preserve"> (אומדן).</w:t>
      </w:r>
      <w:r w:rsidR="00B650D5" w:rsidRPr="00E871FA">
        <w:rPr>
          <w:rFonts w:hint="cs"/>
          <w:rtl/>
        </w:rPr>
        <w:t xml:space="preserve"> </w:t>
      </w:r>
    </w:p>
    <w:p w14:paraId="3EABE4E8" w14:textId="79AAFFB6" w:rsidR="006E0D76" w:rsidRPr="00D17F61" w:rsidRDefault="006E0D76" w:rsidP="00F510AA">
      <w:pPr>
        <w:pStyle w:val="ae"/>
        <w:numPr>
          <w:ilvl w:val="0"/>
          <w:numId w:val="24"/>
        </w:numPr>
        <w:spacing w:before="240" w:line="360" w:lineRule="auto"/>
        <w:jc w:val="both"/>
      </w:pPr>
      <w:r w:rsidRPr="00594308">
        <w:rPr>
          <w:rFonts w:hint="cs"/>
          <w:rtl/>
        </w:rPr>
        <w:t xml:space="preserve">יתרת </w:t>
      </w:r>
      <w:proofErr w:type="spellStart"/>
      <w:r w:rsidRPr="009F64A1">
        <w:rPr>
          <w:rFonts w:hint="cs"/>
          <w:b/>
          <w:bCs/>
          <w:rtl/>
        </w:rPr>
        <w:t>האג"ח</w:t>
      </w:r>
      <w:proofErr w:type="spellEnd"/>
      <w:r w:rsidRPr="009F64A1">
        <w:rPr>
          <w:rFonts w:hint="cs"/>
          <w:b/>
          <w:bCs/>
          <w:rtl/>
        </w:rPr>
        <w:t xml:space="preserve"> הממשלתיות</w:t>
      </w:r>
      <w:r w:rsidRPr="00594308">
        <w:rPr>
          <w:rFonts w:hint="cs"/>
          <w:rtl/>
        </w:rPr>
        <w:t xml:space="preserve"> (סחירות ולא-סחירות) </w:t>
      </w:r>
      <w:proofErr w:type="spellStart"/>
      <w:r w:rsidRPr="009F64A1">
        <w:rPr>
          <w:rFonts w:hint="cs"/>
          <w:b/>
          <w:bCs/>
          <w:rtl/>
        </w:rPr>
        <w:t>והמק"ם</w:t>
      </w:r>
      <w:proofErr w:type="spellEnd"/>
      <w:r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עלתה</w:t>
      </w:r>
      <w:r w:rsidRPr="00594308">
        <w:rPr>
          <w:rFonts w:hint="cs"/>
          <w:rtl/>
        </w:rPr>
        <w:t xml:space="preserve"> </w:t>
      </w:r>
      <w:r>
        <w:rPr>
          <w:rFonts w:hint="cs"/>
          <w:rtl/>
        </w:rPr>
        <w:t>ב-2</w:t>
      </w:r>
      <w:r w:rsidRPr="00594308">
        <w:rPr>
          <w:rFonts w:hint="cs"/>
          <w:rtl/>
        </w:rPr>
        <w:t>0.</w:t>
      </w:r>
      <w:r>
        <w:rPr>
          <w:rFonts w:hint="cs"/>
          <w:rtl/>
        </w:rPr>
        <w:t>6</w:t>
      </w:r>
      <w:r w:rsidRPr="00594308">
        <w:rPr>
          <w:rFonts w:hint="cs"/>
          <w:rtl/>
        </w:rPr>
        <w:t xml:space="preserve"> מיליארדי ש</w:t>
      </w:r>
      <w:r w:rsidRPr="00594308">
        <w:rPr>
          <w:rtl/>
        </w:rPr>
        <w:t>"</w:t>
      </w:r>
      <w:r w:rsidRPr="00594308">
        <w:rPr>
          <w:rFonts w:hint="cs"/>
          <w:rtl/>
        </w:rPr>
        <w:t>ח (</w:t>
      </w:r>
      <w:r>
        <w:rPr>
          <w:rFonts w:hint="cs"/>
          <w:rtl/>
        </w:rPr>
        <w:t>2.5%</w:t>
      </w:r>
      <w:r w:rsidRPr="00594308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FB6943">
        <w:rPr>
          <w:rFonts w:hint="cs"/>
          <w:rtl/>
        </w:rPr>
        <w:t xml:space="preserve">בין </w:t>
      </w:r>
      <w:r w:rsidR="00F510AA">
        <w:rPr>
          <w:rFonts w:hint="cs"/>
          <w:rtl/>
        </w:rPr>
        <w:t>היתר</w:t>
      </w:r>
      <w:r w:rsidR="00FB6943">
        <w:rPr>
          <w:rFonts w:hint="cs"/>
          <w:rtl/>
        </w:rPr>
        <w:t xml:space="preserve">, </w:t>
      </w:r>
      <w:r w:rsidR="00680170">
        <w:rPr>
          <w:rFonts w:hint="cs"/>
          <w:rtl/>
        </w:rPr>
        <w:t xml:space="preserve">על רקע </w:t>
      </w:r>
      <w:r w:rsidR="00F510AA">
        <w:rPr>
          <w:rFonts w:hint="cs"/>
          <w:rtl/>
        </w:rPr>
        <w:t xml:space="preserve">הגידול בהנפקות </w:t>
      </w:r>
      <w:proofErr w:type="spellStart"/>
      <w:r w:rsidR="00F510AA">
        <w:rPr>
          <w:rFonts w:hint="cs"/>
          <w:rtl/>
        </w:rPr>
        <w:t>המק"ם</w:t>
      </w:r>
      <w:proofErr w:type="spellEnd"/>
      <w:r w:rsidR="00F510AA">
        <w:rPr>
          <w:rFonts w:hint="cs"/>
          <w:rtl/>
        </w:rPr>
        <w:t xml:space="preserve"> ע"י בנק ישראל</w:t>
      </w:r>
      <w:r w:rsidR="00FB6943">
        <w:rPr>
          <w:rFonts w:hint="cs"/>
          <w:rtl/>
        </w:rPr>
        <w:t>.</w:t>
      </w:r>
    </w:p>
    <w:p w14:paraId="233CACF3" w14:textId="09ED84C3" w:rsidR="008A5A5C" w:rsidRPr="008110AB" w:rsidRDefault="00D17F61" w:rsidP="00F510AA">
      <w:pPr>
        <w:pStyle w:val="ae"/>
        <w:numPr>
          <w:ilvl w:val="0"/>
          <w:numId w:val="24"/>
        </w:numPr>
        <w:spacing w:before="240" w:line="360" w:lineRule="auto"/>
        <w:jc w:val="both"/>
      </w:pPr>
      <w:r>
        <w:rPr>
          <w:rFonts w:hint="cs"/>
          <w:b/>
          <w:bCs/>
          <w:rtl/>
        </w:rPr>
        <w:t xml:space="preserve">יתרת </w:t>
      </w:r>
      <w:proofErr w:type="spellStart"/>
      <w:r>
        <w:rPr>
          <w:rFonts w:hint="cs"/>
          <w:b/>
          <w:bCs/>
          <w:rtl/>
        </w:rPr>
        <w:t>האג"ח</w:t>
      </w:r>
      <w:proofErr w:type="spellEnd"/>
      <w:r>
        <w:rPr>
          <w:rFonts w:hint="cs"/>
          <w:b/>
          <w:bCs/>
          <w:rtl/>
        </w:rPr>
        <w:t xml:space="preserve"> החברות הסחירות בארץ </w:t>
      </w:r>
      <w:r w:rsidR="00F510AA">
        <w:rPr>
          <w:rFonts w:hint="cs"/>
          <w:rtl/>
        </w:rPr>
        <w:t>עלתה</w:t>
      </w:r>
      <w:r w:rsidRPr="00594308">
        <w:rPr>
          <w:rFonts w:hint="cs"/>
          <w:rtl/>
        </w:rPr>
        <w:t xml:space="preserve"> </w:t>
      </w:r>
      <w:r>
        <w:rPr>
          <w:rFonts w:hint="cs"/>
          <w:rtl/>
        </w:rPr>
        <w:t>ב-1.7 מיליארדי ש"ח (0.5%) בלבד</w:t>
      </w:r>
      <w:r w:rsidR="006E0D76">
        <w:rPr>
          <w:rFonts w:hint="cs"/>
          <w:rtl/>
        </w:rPr>
        <w:t xml:space="preserve"> </w:t>
      </w:r>
      <w:r w:rsidR="009F64A1" w:rsidRPr="00553C3E">
        <w:rPr>
          <w:rFonts w:hint="cs"/>
          <w:rtl/>
        </w:rPr>
        <w:t>ועמד</w:t>
      </w:r>
      <w:r w:rsidR="00F510AA">
        <w:rPr>
          <w:rFonts w:hint="cs"/>
          <w:rtl/>
        </w:rPr>
        <w:t>ה</w:t>
      </w:r>
      <w:r w:rsidR="009F64A1" w:rsidRPr="00553C3E">
        <w:rPr>
          <w:rFonts w:hint="cs"/>
          <w:rtl/>
        </w:rPr>
        <w:t xml:space="preserve"> בסו</w:t>
      </w:r>
      <w:r w:rsidR="006E0D76">
        <w:rPr>
          <w:rFonts w:hint="cs"/>
          <w:rtl/>
        </w:rPr>
        <w:t xml:space="preserve">ף </w:t>
      </w:r>
      <w:r w:rsidR="00F510AA">
        <w:rPr>
          <w:rFonts w:hint="cs"/>
          <w:rtl/>
        </w:rPr>
        <w:t>הרביע</w:t>
      </w:r>
      <w:r w:rsidR="009F64A1" w:rsidRPr="00553C3E">
        <w:rPr>
          <w:rFonts w:hint="cs"/>
          <w:rtl/>
        </w:rPr>
        <w:t xml:space="preserve"> על כ-</w:t>
      </w:r>
      <w:r>
        <w:rPr>
          <w:rFonts w:hint="cs"/>
          <w:rtl/>
        </w:rPr>
        <w:t>343</w:t>
      </w:r>
      <w:r w:rsidR="006E0D76">
        <w:rPr>
          <w:rFonts w:hint="cs"/>
          <w:rtl/>
        </w:rPr>
        <w:t xml:space="preserve"> </w:t>
      </w:r>
      <w:r w:rsidR="009F64A1" w:rsidRPr="00553C3E">
        <w:rPr>
          <w:rFonts w:hint="cs"/>
          <w:rtl/>
        </w:rPr>
        <w:t xml:space="preserve">מיליארדים, </w:t>
      </w:r>
      <w:r w:rsidR="00F510AA">
        <w:rPr>
          <w:rFonts w:hint="cs"/>
          <w:rtl/>
        </w:rPr>
        <w:t>זאת</w:t>
      </w:r>
      <w:r w:rsidR="009F64A1" w:rsidRPr="008110AB">
        <w:rPr>
          <w:rFonts w:hint="cs"/>
          <w:rtl/>
        </w:rPr>
        <w:t xml:space="preserve"> כתוצאה מ</w:t>
      </w:r>
      <w:r>
        <w:rPr>
          <w:rFonts w:hint="cs"/>
          <w:rtl/>
        </w:rPr>
        <w:t>עליות מחירים שקוזזו בחלקם על ידי מימושים נטו של כ-4 מיליארדי ש"ח (אומדן).</w:t>
      </w:r>
    </w:p>
    <w:p w14:paraId="233CACF6" w14:textId="16D7A4FC" w:rsidR="000430C8" w:rsidRDefault="00DA75FE" w:rsidP="00C739C4">
      <w:pPr>
        <w:spacing w:before="240" w:line="360" w:lineRule="auto"/>
        <w:ind w:left="360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0C539C00" wp14:editId="3C746AA9">
            <wp:extent cx="5486400" cy="2850047"/>
            <wp:effectExtent l="0" t="0" r="0" b="762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0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CACF7" w14:textId="58280A48" w:rsidR="00247F73" w:rsidRPr="00594308" w:rsidRDefault="009F64A1" w:rsidP="00F510AA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FD6210">
        <w:rPr>
          <w:rFonts w:hint="cs"/>
          <w:rtl/>
        </w:rPr>
        <w:t>על</w:t>
      </w:r>
      <w:r>
        <w:rPr>
          <w:rFonts w:hint="cs"/>
          <w:rtl/>
        </w:rPr>
        <w:t>ת</w:t>
      </w:r>
      <w:r w:rsidR="00FD6210">
        <w:rPr>
          <w:rFonts w:hint="cs"/>
          <w:rtl/>
        </w:rPr>
        <w:t xml:space="preserve">ה </w:t>
      </w:r>
      <w:r w:rsidR="00F510AA">
        <w:rPr>
          <w:rFonts w:hint="cs"/>
          <w:rtl/>
        </w:rPr>
        <w:t xml:space="preserve">במהלך הרביע </w:t>
      </w:r>
      <w:r w:rsidR="00247F73" w:rsidRPr="00594308">
        <w:rPr>
          <w:rFonts w:hint="cs"/>
          <w:rtl/>
        </w:rPr>
        <w:t>ב-</w:t>
      </w:r>
      <w:r w:rsidR="00422508">
        <w:rPr>
          <w:rFonts w:hint="cs"/>
          <w:rtl/>
        </w:rPr>
        <w:t>1</w:t>
      </w:r>
      <w:r w:rsidR="00BF1775">
        <w:rPr>
          <w:rFonts w:hint="cs"/>
          <w:rtl/>
        </w:rPr>
        <w:t>6</w:t>
      </w:r>
      <w:r w:rsidR="00247F73" w:rsidRPr="00594308">
        <w:rPr>
          <w:rFonts w:hint="cs"/>
          <w:rtl/>
        </w:rPr>
        <w:t>.</w:t>
      </w:r>
      <w:r w:rsidR="00BF1775">
        <w:rPr>
          <w:rFonts w:hint="cs"/>
          <w:rtl/>
        </w:rPr>
        <w:t>9</w:t>
      </w:r>
      <w:r w:rsidR="00247F73" w:rsidRPr="00594308">
        <w:rPr>
          <w:rFonts w:hint="cs"/>
          <w:rtl/>
        </w:rPr>
        <w:t xml:space="preserve"> מיליארדי ש</w:t>
      </w:r>
      <w:r w:rsidR="00247F73" w:rsidRPr="00594308">
        <w:rPr>
          <w:rtl/>
        </w:rPr>
        <w:t>"</w:t>
      </w:r>
      <w:r w:rsidR="00247F73" w:rsidRPr="00594308">
        <w:rPr>
          <w:rFonts w:hint="cs"/>
          <w:rtl/>
        </w:rPr>
        <w:t>ח (</w:t>
      </w:r>
      <w:r w:rsidR="00422508">
        <w:rPr>
          <w:rFonts w:hint="cs"/>
          <w:rtl/>
        </w:rPr>
        <w:t>3</w:t>
      </w:r>
      <w:r w:rsidR="00247F73" w:rsidRPr="00594308">
        <w:rPr>
          <w:rFonts w:hint="cs"/>
          <w:rtl/>
        </w:rPr>
        <w:t>%) 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כ-5</w:t>
      </w:r>
      <w:r w:rsidR="00BF1775">
        <w:rPr>
          <w:rFonts w:hint="cs"/>
          <w:rtl/>
        </w:rPr>
        <w:t>58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966E8A">
        <w:rPr>
          <w:rFonts w:hint="cs"/>
          <w:rtl/>
        </w:rPr>
        <w:t>5</w:t>
      </w:r>
      <w:r w:rsidR="00247F73" w:rsidRPr="00594308">
        <w:rPr>
          <w:rFonts w:hint="cs"/>
          <w:rtl/>
        </w:rPr>
        <w:t>% מסך תיק הנכסים:</w:t>
      </w:r>
    </w:p>
    <w:p w14:paraId="233CACF8" w14:textId="3198F6EE" w:rsidR="00247F73" w:rsidRPr="00BB14CC" w:rsidRDefault="00247F73" w:rsidP="00A36DFB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94308">
        <w:rPr>
          <w:rFonts w:hint="cs"/>
          <w:rtl/>
        </w:rPr>
        <w:lastRenderedPageBreak/>
        <w:t xml:space="preserve">יתרת </w:t>
      </w:r>
      <w:r w:rsidRPr="00594308">
        <w:rPr>
          <w:rFonts w:hint="cs"/>
          <w:b/>
          <w:bCs/>
          <w:rtl/>
        </w:rPr>
        <w:t>המניות בחו"ל</w:t>
      </w:r>
      <w:r w:rsidRPr="00594308">
        <w:rPr>
          <w:rFonts w:hint="cs"/>
          <w:rtl/>
        </w:rPr>
        <w:t xml:space="preserve"> עלתה בכ-</w:t>
      </w:r>
      <w:r w:rsidR="00A36DFB">
        <w:rPr>
          <w:rFonts w:hint="cs"/>
          <w:rtl/>
        </w:rPr>
        <w:t>17</w:t>
      </w:r>
      <w:r w:rsidR="006D202A">
        <w:rPr>
          <w:rFonts w:hint="cs"/>
          <w:rtl/>
        </w:rPr>
        <w:t>.</w:t>
      </w:r>
      <w:r w:rsidR="00A36DFB">
        <w:rPr>
          <w:rFonts w:hint="cs"/>
          <w:rtl/>
        </w:rPr>
        <w:t>6</w:t>
      </w:r>
      <w:r w:rsidRPr="00594308">
        <w:rPr>
          <w:rFonts w:hint="cs"/>
          <w:rtl/>
        </w:rPr>
        <w:t xml:space="preserve"> מיליארדי ש"ח (</w:t>
      </w:r>
      <w:r w:rsidR="00A36DFB">
        <w:rPr>
          <w:rFonts w:hint="cs"/>
          <w:rtl/>
        </w:rPr>
        <w:t>5</w:t>
      </w:r>
      <w:r w:rsidR="006D202A">
        <w:rPr>
          <w:rFonts w:hint="cs"/>
          <w:rtl/>
        </w:rPr>
        <w:t>.</w:t>
      </w:r>
      <w:r w:rsidR="00A36DFB">
        <w:rPr>
          <w:rFonts w:hint="cs"/>
          <w:rtl/>
        </w:rPr>
        <w:t>2</w:t>
      </w:r>
      <w:r w:rsidRPr="00594308">
        <w:rPr>
          <w:rFonts w:hint="cs"/>
          <w:rtl/>
        </w:rPr>
        <w:t>%) ועמדה בסוף הרביע על כ-</w:t>
      </w:r>
      <w:r w:rsidR="00A36DFB">
        <w:rPr>
          <w:rFonts w:hint="cs"/>
          <w:rtl/>
        </w:rPr>
        <w:t>359</w:t>
      </w:r>
      <w:r w:rsidRPr="00594308">
        <w:rPr>
          <w:rFonts w:hint="cs"/>
          <w:rtl/>
        </w:rPr>
        <w:t xml:space="preserve"> מיליארדי ש"ח. </w:t>
      </w:r>
      <w:r w:rsidRPr="00BB14CC">
        <w:rPr>
          <w:rFonts w:hint="cs"/>
          <w:rtl/>
        </w:rPr>
        <w:t>העלייה ביתרת המניות בחו"ל נבעה משילוב של השקעות נטו</w:t>
      </w:r>
      <w:r w:rsidR="006D3812" w:rsidRPr="00BB14CC">
        <w:rPr>
          <w:rFonts w:hint="cs"/>
          <w:rtl/>
        </w:rPr>
        <w:t xml:space="preserve"> (אומדן של כ-</w:t>
      </w:r>
      <w:r w:rsidR="00BB14CC">
        <w:rPr>
          <w:rFonts w:hint="cs"/>
          <w:rtl/>
        </w:rPr>
        <w:t>8</w:t>
      </w:r>
      <w:r w:rsidR="006D3812" w:rsidRPr="00BB14CC">
        <w:rPr>
          <w:rFonts w:hint="cs"/>
          <w:rtl/>
        </w:rPr>
        <w:t xml:space="preserve"> מיליארדי ש"ח)</w:t>
      </w:r>
      <w:r w:rsidR="00FA4BBE">
        <w:rPr>
          <w:rFonts w:hint="cs"/>
          <w:rtl/>
        </w:rPr>
        <w:t xml:space="preserve"> ו</w:t>
      </w:r>
      <w:r w:rsidR="00C935F5" w:rsidRPr="00BB14CC">
        <w:rPr>
          <w:rFonts w:hint="cs"/>
          <w:rtl/>
        </w:rPr>
        <w:t>עליות מחירים בבורסות בחו"ל</w:t>
      </w:r>
      <w:r>
        <w:rPr>
          <w:rFonts w:hint="cs"/>
          <w:rtl/>
        </w:rPr>
        <w:t xml:space="preserve"> </w:t>
      </w:r>
      <w:r w:rsidR="00FA4BBE">
        <w:rPr>
          <w:rFonts w:hint="cs"/>
          <w:rtl/>
        </w:rPr>
        <w:t>שקוזזו במקצת בשל ייסוף</w:t>
      </w:r>
      <w:r w:rsidR="00337F74">
        <w:rPr>
          <w:rFonts w:hint="cs"/>
          <w:rtl/>
        </w:rPr>
        <w:t xml:space="preserve"> השקל</w:t>
      </w:r>
      <w:r w:rsidR="00F510AA">
        <w:rPr>
          <w:rFonts w:hint="cs"/>
          <w:rtl/>
        </w:rPr>
        <w:t xml:space="preserve"> מול הדולר</w:t>
      </w:r>
      <w:r w:rsidR="00B11D5B" w:rsidRPr="00BB14CC">
        <w:rPr>
          <w:rFonts w:hint="cs"/>
          <w:rtl/>
        </w:rPr>
        <w:t xml:space="preserve"> (</w:t>
      </w:r>
      <w:r w:rsidR="00FA4BBE">
        <w:rPr>
          <w:rFonts w:hint="cs"/>
          <w:rtl/>
        </w:rPr>
        <w:t>0</w:t>
      </w:r>
      <w:r w:rsidR="00B11D5B" w:rsidRPr="00BB14CC">
        <w:rPr>
          <w:rFonts w:hint="cs"/>
          <w:rtl/>
        </w:rPr>
        <w:t>.</w:t>
      </w:r>
      <w:r w:rsidR="00FA4BBE">
        <w:rPr>
          <w:rFonts w:hint="cs"/>
          <w:rtl/>
        </w:rPr>
        <w:t>6</w:t>
      </w:r>
      <w:r w:rsidR="00B11D5B" w:rsidRPr="00BB14CC">
        <w:rPr>
          <w:rFonts w:hint="cs"/>
          <w:rtl/>
        </w:rPr>
        <w:t>%)</w:t>
      </w:r>
      <w:r w:rsidRPr="00BB14CC">
        <w:rPr>
          <w:rFonts w:hint="cs"/>
          <w:rtl/>
        </w:rPr>
        <w:t xml:space="preserve"> ש</w:t>
      </w:r>
      <w:r w:rsidR="00FA4BBE">
        <w:rPr>
          <w:rFonts w:hint="cs"/>
          <w:rtl/>
        </w:rPr>
        <w:t>הוריד</w:t>
      </w:r>
      <w:r w:rsidRPr="00BB14CC">
        <w:rPr>
          <w:rFonts w:hint="cs"/>
          <w:rtl/>
        </w:rPr>
        <w:t xml:space="preserve"> את השווי השקלי של התיק. </w:t>
      </w:r>
    </w:p>
    <w:p w14:paraId="233CACF9" w14:textId="1233CBC6" w:rsidR="00247F73" w:rsidRPr="000F4780" w:rsidRDefault="00247F73" w:rsidP="00A36DFB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94308">
        <w:rPr>
          <w:rFonts w:hint="cs"/>
          <w:rtl/>
        </w:rPr>
        <w:t xml:space="preserve">יתרת </w:t>
      </w:r>
      <w:proofErr w:type="spellStart"/>
      <w:r w:rsidRPr="00594308">
        <w:rPr>
          <w:rFonts w:hint="cs"/>
          <w:b/>
          <w:bCs/>
          <w:rtl/>
        </w:rPr>
        <w:t>האג"ח</w:t>
      </w:r>
      <w:proofErr w:type="spellEnd"/>
      <w:r w:rsidRPr="00594308">
        <w:rPr>
          <w:rFonts w:hint="cs"/>
          <w:b/>
          <w:bCs/>
          <w:rtl/>
        </w:rPr>
        <w:t xml:space="preserve"> </w:t>
      </w:r>
      <w:r w:rsidRPr="006B440B">
        <w:rPr>
          <w:rFonts w:hint="cs"/>
          <w:b/>
          <w:bCs/>
          <w:rtl/>
        </w:rPr>
        <w:t>הסחירות (חברות וממשלתיות)</w:t>
      </w:r>
      <w:r w:rsidRPr="006B440B">
        <w:rPr>
          <w:rFonts w:hint="cs"/>
          <w:rtl/>
        </w:rPr>
        <w:t xml:space="preserve"> </w:t>
      </w:r>
      <w:r w:rsidRPr="006B440B">
        <w:rPr>
          <w:rFonts w:hint="cs"/>
          <w:b/>
          <w:bCs/>
          <w:rtl/>
        </w:rPr>
        <w:t>בחו"ל</w:t>
      </w:r>
      <w:r w:rsidRPr="006B440B">
        <w:rPr>
          <w:rFonts w:hint="cs"/>
          <w:rtl/>
        </w:rPr>
        <w:t xml:space="preserve"> </w:t>
      </w:r>
      <w:r w:rsidR="00A36DFB">
        <w:rPr>
          <w:rFonts w:hint="cs"/>
          <w:rtl/>
        </w:rPr>
        <w:t>עלתה</w:t>
      </w:r>
      <w:r w:rsidRPr="006B440B">
        <w:rPr>
          <w:rFonts w:hint="cs"/>
          <w:rtl/>
        </w:rPr>
        <w:t xml:space="preserve"> בכ-</w:t>
      </w:r>
      <w:r w:rsidR="00A36DFB">
        <w:rPr>
          <w:rFonts w:hint="cs"/>
          <w:rtl/>
        </w:rPr>
        <w:t>1</w:t>
      </w:r>
      <w:r w:rsidR="00B11D5B" w:rsidRPr="006B440B">
        <w:rPr>
          <w:rFonts w:hint="cs"/>
          <w:rtl/>
        </w:rPr>
        <w:t>.</w:t>
      </w:r>
      <w:r w:rsidR="00A36DFB">
        <w:rPr>
          <w:rFonts w:hint="cs"/>
          <w:rtl/>
        </w:rPr>
        <w:t>2</w:t>
      </w:r>
      <w:r w:rsidRPr="006B440B">
        <w:rPr>
          <w:rFonts w:hint="cs"/>
          <w:rtl/>
        </w:rPr>
        <w:t xml:space="preserve"> מיליארדים </w:t>
      </w:r>
      <w:r w:rsidR="0024440A" w:rsidRPr="006B440B">
        <w:rPr>
          <w:rFonts w:hint="cs"/>
          <w:rtl/>
        </w:rPr>
        <w:t>(0.</w:t>
      </w:r>
      <w:r w:rsidR="00A36DFB">
        <w:rPr>
          <w:rFonts w:hint="cs"/>
          <w:rtl/>
        </w:rPr>
        <w:t>6</w:t>
      </w:r>
      <w:r w:rsidR="0024440A" w:rsidRPr="006B440B">
        <w:rPr>
          <w:rFonts w:hint="cs"/>
          <w:rtl/>
        </w:rPr>
        <w:t xml:space="preserve">%) </w:t>
      </w:r>
      <w:r w:rsidRPr="006B440B">
        <w:rPr>
          <w:rFonts w:hint="cs"/>
          <w:rtl/>
        </w:rPr>
        <w:t>ועמדה בסוף הרביע על כ-</w:t>
      </w:r>
      <w:r w:rsidR="009954BF" w:rsidRPr="006B440B">
        <w:rPr>
          <w:rFonts w:hint="cs"/>
          <w:rtl/>
        </w:rPr>
        <w:t>1</w:t>
      </w:r>
      <w:r w:rsidR="0024440A" w:rsidRPr="006B440B">
        <w:rPr>
          <w:rFonts w:hint="cs"/>
          <w:rtl/>
        </w:rPr>
        <w:t>8</w:t>
      </w:r>
      <w:r w:rsidR="00A36DFB">
        <w:rPr>
          <w:rFonts w:hint="cs"/>
          <w:rtl/>
        </w:rPr>
        <w:t xml:space="preserve">8 </w:t>
      </w:r>
      <w:r w:rsidRPr="006B440B">
        <w:rPr>
          <w:rFonts w:hint="cs"/>
          <w:rtl/>
        </w:rPr>
        <w:t xml:space="preserve">מיליארדי ש"ח. </w:t>
      </w:r>
      <w:r w:rsidR="000F4780">
        <w:rPr>
          <w:rFonts w:hint="cs"/>
          <w:rtl/>
        </w:rPr>
        <w:t>העלייה</w:t>
      </w:r>
      <w:r w:rsidRPr="000F4780">
        <w:rPr>
          <w:rFonts w:hint="cs"/>
          <w:rtl/>
        </w:rPr>
        <w:t xml:space="preserve"> ביתרת </w:t>
      </w:r>
      <w:proofErr w:type="spellStart"/>
      <w:r w:rsidRPr="000F4780">
        <w:rPr>
          <w:rFonts w:hint="cs"/>
          <w:rtl/>
        </w:rPr>
        <w:t>האג"ח</w:t>
      </w:r>
      <w:proofErr w:type="spellEnd"/>
      <w:r w:rsidRPr="000F4780">
        <w:rPr>
          <w:rFonts w:hint="cs"/>
          <w:rtl/>
        </w:rPr>
        <w:t xml:space="preserve"> נבעה בעיקר </w:t>
      </w:r>
      <w:r w:rsidR="00945CDE">
        <w:rPr>
          <w:rFonts w:hint="cs"/>
          <w:rtl/>
        </w:rPr>
        <w:t>מ</w:t>
      </w:r>
      <w:r w:rsidR="000F4780">
        <w:rPr>
          <w:rFonts w:hint="cs"/>
          <w:rtl/>
        </w:rPr>
        <w:t>השקעות</w:t>
      </w:r>
      <w:r w:rsidR="0024440A" w:rsidRPr="000F4780">
        <w:rPr>
          <w:rFonts w:hint="cs"/>
          <w:rtl/>
        </w:rPr>
        <w:t xml:space="preserve"> נטו </w:t>
      </w:r>
      <w:r w:rsidR="006D3812" w:rsidRPr="000F4780">
        <w:rPr>
          <w:rFonts w:hint="cs"/>
          <w:rtl/>
        </w:rPr>
        <w:t>(אומדן של כ-</w:t>
      </w:r>
      <w:r w:rsidR="000F4780">
        <w:rPr>
          <w:rFonts w:hint="cs"/>
          <w:rtl/>
        </w:rPr>
        <w:t>1.5</w:t>
      </w:r>
      <w:r w:rsidR="006D3812" w:rsidRPr="000F4780">
        <w:rPr>
          <w:rFonts w:hint="cs"/>
          <w:rtl/>
        </w:rPr>
        <w:t xml:space="preserve"> מיליארדי ש"ח) </w:t>
      </w:r>
      <w:r w:rsidR="0024440A" w:rsidRPr="000F4780">
        <w:rPr>
          <w:rFonts w:hint="cs"/>
          <w:rtl/>
        </w:rPr>
        <w:t>שקוזזו בחלק</w:t>
      </w:r>
      <w:r w:rsidR="00945CDE">
        <w:rPr>
          <w:rFonts w:hint="cs"/>
          <w:rtl/>
        </w:rPr>
        <w:t>ן</w:t>
      </w:r>
      <w:r w:rsidR="0024440A" w:rsidRPr="000F4780">
        <w:rPr>
          <w:rFonts w:hint="cs"/>
          <w:rtl/>
        </w:rPr>
        <w:t xml:space="preserve"> </w:t>
      </w:r>
      <w:r w:rsidR="000F4780">
        <w:rPr>
          <w:rFonts w:hint="cs"/>
          <w:rtl/>
        </w:rPr>
        <w:t>על רקע ירידות מחירים וייסוף</w:t>
      </w:r>
      <w:r>
        <w:rPr>
          <w:rFonts w:hint="cs"/>
          <w:rtl/>
        </w:rPr>
        <w:t xml:space="preserve"> </w:t>
      </w:r>
      <w:r w:rsidRPr="000F4780">
        <w:rPr>
          <w:rFonts w:hint="cs"/>
          <w:rtl/>
        </w:rPr>
        <w:t xml:space="preserve">השקל מול הדולר. </w:t>
      </w:r>
    </w:p>
    <w:p w14:paraId="233CACFA" w14:textId="289C162A" w:rsidR="0045455B" w:rsidRPr="00274984" w:rsidRDefault="00247F73" w:rsidP="00A36DFB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6B440B">
        <w:rPr>
          <w:rFonts w:hint="cs"/>
          <w:rtl/>
        </w:rPr>
        <w:t xml:space="preserve">יתרת </w:t>
      </w:r>
      <w:r w:rsidRPr="006B440B">
        <w:rPr>
          <w:rFonts w:hint="cs"/>
          <w:b/>
          <w:bCs/>
          <w:rtl/>
        </w:rPr>
        <w:t>הפיקדונות בבנקים בחו"ל</w:t>
      </w:r>
      <w:r w:rsidRPr="006B440B">
        <w:rPr>
          <w:rFonts w:hint="cs"/>
          <w:rtl/>
        </w:rPr>
        <w:t xml:space="preserve"> </w:t>
      </w:r>
      <w:r w:rsidR="0024440A" w:rsidRPr="006B440B">
        <w:rPr>
          <w:rFonts w:hint="cs"/>
          <w:rtl/>
        </w:rPr>
        <w:t>ירד</w:t>
      </w:r>
      <w:r w:rsidR="00513B71" w:rsidRPr="006B440B">
        <w:rPr>
          <w:rFonts w:hint="cs"/>
          <w:rtl/>
        </w:rPr>
        <w:t>ה</w:t>
      </w:r>
      <w:r w:rsidRPr="006B440B">
        <w:rPr>
          <w:rFonts w:hint="cs"/>
          <w:rtl/>
        </w:rPr>
        <w:t xml:space="preserve"> במהלך הרביע בכ-</w:t>
      </w:r>
      <w:r w:rsidR="00A36DFB">
        <w:rPr>
          <w:rFonts w:hint="cs"/>
          <w:rtl/>
        </w:rPr>
        <w:t>2</w:t>
      </w:r>
      <w:r w:rsidRPr="006B440B">
        <w:rPr>
          <w:rFonts w:hint="cs"/>
          <w:rtl/>
        </w:rPr>
        <w:t xml:space="preserve"> מיליארדים ועמדה בסופו על כ-</w:t>
      </w:r>
      <w:r w:rsidR="00A36DFB">
        <w:rPr>
          <w:rFonts w:hint="cs"/>
          <w:rtl/>
        </w:rPr>
        <w:t>11</w:t>
      </w:r>
      <w:r w:rsidR="00DC1BD5" w:rsidRPr="006B440B">
        <w:rPr>
          <w:rFonts w:hint="cs"/>
          <w:rtl/>
        </w:rPr>
        <w:t>.</w:t>
      </w:r>
      <w:r w:rsidR="00A36DFB">
        <w:rPr>
          <w:rFonts w:hint="cs"/>
          <w:rtl/>
        </w:rPr>
        <w:t>2</w:t>
      </w:r>
      <w:r w:rsidRPr="006B440B">
        <w:rPr>
          <w:rFonts w:hint="cs"/>
          <w:rtl/>
        </w:rPr>
        <w:t xml:space="preserve"> מיליארדי ש"ח, </w:t>
      </w:r>
      <w:r w:rsidRPr="00274984">
        <w:rPr>
          <w:rFonts w:hint="cs"/>
          <w:rtl/>
        </w:rPr>
        <w:t xml:space="preserve">בעיקר כתוצאה </w:t>
      </w:r>
      <w:r w:rsidR="00A24556" w:rsidRPr="00274984">
        <w:rPr>
          <w:rFonts w:hint="cs"/>
          <w:rtl/>
        </w:rPr>
        <w:t>ממשיכות</w:t>
      </w:r>
      <w:r w:rsidRPr="00274984">
        <w:rPr>
          <w:rFonts w:hint="cs"/>
          <w:rtl/>
        </w:rPr>
        <w:t xml:space="preserve"> נטו.</w:t>
      </w:r>
    </w:p>
    <w:p w14:paraId="233CACFB" w14:textId="7D18492E" w:rsidR="007C2B07" w:rsidRDefault="00F510AA" w:rsidP="00F510AA">
      <w:pPr>
        <w:spacing w:before="240" w:after="240" w:line="360" w:lineRule="auto"/>
        <w:ind w:left="360"/>
        <w:jc w:val="both"/>
        <w:rPr>
          <w:rtl/>
        </w:rPr>
      </w:pPr>
      <w:r>
        <w:rPr>
          <w:rFonts w:hint="cs"/>
          <w:rtl/>
        </w:rPr>
        <w:t>כתוצאה מההתפתחויות במהלך הרביע,</w:t>
      </w:r>
      <w:r w:rsidR="00C46ABC" w:rsidRPr="00BF401E">
        <w:rPr>
          <w:rFonts w:hint="cs"/>
          <w:rtl/>
        </w:rPr>
        <w:t xml:space="preserve"> חלה עלייה </w:t>
      </w:r>
      <w:r w:rsidR="006B440B" w:rsidRPr="00BF401E">
        <w:rPr>
          <w:rFonts w:hint="cs"/>
          <w:rtl/>
        </w:rPr>
        <w:t>של כ</w:t>
      </w:r>
      <w:r w:rsidR="001006AD">
        <w:rPr>
          <w:rFonts w:hint="cs"/>
          <w:rtl/>
        </w:rPr>
        <w:t>נקודת</w:t>
      </w:r>
      <w:r w:rsidR="006B440B" w:rsidRPr="00BF401E">
        <w:rPr>
          <w:rFonts w:hint="cs"/>
          <w:rtl/>
        </w:rPr>
        <w:t xml:space="preserve"> אחוז</w:t>
      </w:r>
      <w:r w:rsidR="006B440B">
        <w:rPr>
          <w:rFonts w:hint="cs"/>
          <w:rtl/>
        </w:rPr>
        <w:t xml:space="preserve"> הן </w:t>
      </w:r>
      <w:r w:rsidR="00C46ABC" w:rsidRPr="00BF401E">
        <w:rPr>
          <w:rFonts w:hint="cs"/>
          <w:rtl/>
        </w:rPr>
        <w:t xml:space="preserve">בשיעור הנכסים </w:t>
      </w:r>
      <w:r w:rsidR="001006AD">
        <w:rPr>
          <w:rFonts w:hint="cs"/>
          <w:rtl/>
        </w:rPr>
        <w:t>הסחירים</w:t>
      </w:r>
      <w:r w:rsidR="00C46ABC" w:rsidRPr="00BF401E">
        <w:rPr>
          <w:rFonts w:hint="cs"/>
          <w:rtl/>
        </w:rPr>
        <w:t xml:space="preserve"> ו</w:t>
      </w:r>
      <w:r w:rsidR="006B440B">
        <w:rPr>
          <w:rFonts w:hint="cs"/>
          <w:rtl/>
        </w:rPr>
        <w:t xml:space="preserve">הן </w:t>
      </w:r>
      <w:r w:rsidR="00C46ABC" w:rsidRPr="00BF401E">
        <w:rPr>
          <w:rFonts w:hint="cs"/>
          <w:rtl/>
        </w:rPr>
        <w:t xml:space="preserve">בשיעור הנכסים </w:t>
      </w:r>
      <w:r w:rsidR="001006AD">
        <w:rPr>
          <w:rFonts w:hint="cs"/>
          <w:rtl/>
        </w:rPr>
        <w:t>בסיכון</w:t>
      </w:r>
      <w:r>
        <w:rPr>
          <w:rFonts w:hint="cs"/>
          <w:rtl/>
        </w:rPr>
        <w:t xml:space="preserve"> ועמדו בסופו על כ-</w:t>
      </w:r>
      <w:r w:rsidR="006D3F47">
        <w:rPr>
          <w:rFonts w:hint="cs"/>
          <w:rtl/>
        </w:rPr>
        <w:t>49.7 ו-43.6, בהתאמה</w:t>
      </w:r>
      <w:r w:rsidR="00C46ABC" w:rsidRPr="00BF401E">
        <w:rPr>
          <w:rFonts w:hint="cs"/>
          <w:rtl/>
        </w:rPr>
        <w:t>. זאת</w:t>
      </w:r>
      <w:r w:rsidR="008A5A5C">
        <w:rPr>
          <w:rFonts w:hint="cs"/>
          <w:rtl/>
        </w:rPr>
        <w:t>, בעיקר</w:t>
      </w:r>
      <w:r w:rsidR="00C46ABC" w:rsidRPr="00BF401E">
        <w:rPr>
          <w:rFonts w:hint="cs"/>
          <w:rtl/>
        </w:rPr>
        <w:t xml:space="preserve"> כתוצאה </w:t>
      </w:r>
      <w:r w:rsidR="001006AD">
        <w:rPr>
          <w:rFonts w:hint="cs"/>
          <w:rtl/>
        </w:rPr>
        <w:t>מהעלייה בשווי יתרת המניות בתיק הנכסים.</w:t>
      </w:r>
    </w:p>
    <w:p w14:paraId="233CACFC" w14:textId="77777777" w:rsidR="00283B13" w:rsidRPr="00C739C4" w:rsidRDefault="00283B13" w:rsidP="00C739C4">
      <w:pPr>
        <w:pStyle w:val="1"/>
        <w:numPr>
          <w:ilvl w:val="0"/>
          <w:numId w:val="18"/>
        </w:numPr>
        <w:spacing w:before="240"/>
        <w:rPr>
          <w:rtl/>
        </w:rPr>
      </w:pPr>
      <w:r w:rsidRPr="00DD0FA1">
        <w:rPr>
          <w:rFonts w:hint="cs"/>
          <w:rtl/>
        </w:rPr>
        <w:t xml:space="preserve">התיק המנוהל </w:t>
      </w:r>
      <w:r w:rsidR="00C46ABC">
        <w:rPr>
          <w:rFonts w:hint="cs"/>
          <w:rtl/>
        </w:rPr>
        <w:t>בידי</w:t>
      </w:r>
      <w:r w:rsidRPr="00DD0FA1">
        <w:rPr>
          <w:rFonts w:hint="cs"/>
          <w:rtl/>
        </w:rPr>
        <w:t xml:space="preserve"> המשקיעים המוסדיים</w:t>
      </w:r>
      <w:r w:rsidR="0053162E">
        <w:rPr>
          <w:rStyle w:val="a4"/>
          <w:rtl/>
        </w:rPr>
        <w:footnoteReference w:id="2"/>
      </w:r>
    </w:p>
    <w:p w14:paraId="233CACFD" w14:textId="361628A4" w:rsidR="007C2B07" w:rsidRDefault="007C2B07" w:rsidP="00377914">
      <w:pPr>
        <w:spacing w:before="240" w:line="360" w:lineRule="auto"/>
        <w:ind w:left="360"/>
        <w:jc w:val="both"/>
      </w:pPr>
      <w:r w:rsidRPr="00342FC2">
        <w:rPr>
          <w:b/>
          <w:bCs/>
          <w:rtl/>
        </w:rPr>
        <w:t xml:space="preserve">יתרת התיק המנוהל בידי המשקיעים המוסדיים </w:t>
      </w:r>
      <w:r w:rsidRPr="00342FC2">
        <w:rPr>
          <w:rtl/>
        </w:rPr>
        <w:t xml:space="preserve">עלתה ברביע </w:t>
      </w:r>
      <w:r w:rsidR="00BD6A32" w:rsidRPr="00342FC2">
        <w:rPr>
          <w:rFonts w:hint="cs"/>
          <w:rtl/>
        </w:rPr>
        <w:t>השלישי</w:t>
      </w:r>
      <w:r w:rsidRPr="00342FC2">
        <w:rPr>
          <w:rtl/>
        </w:rPr>
        <w:t xml:space="preserve"> של שנת 2018 בכ-</w:t>
      </w:r>
      <w:r w:rsidR="006403E8" w:rsidRPr="00342FC2">
        <w:rPr>
          <w:rFonts w:hint="cs"/>
          <w:rtl/>
        </w:rPr>
        <w:t>46.9</w:t>
      </w:r>
      <w:r w:rsidRPr="00342FC2">
        <w:rPr>
          <w:rtl/>
        </w:rPr>
        <w:t xml:space="preserve"> מיליארדי ש"ח </w:t>
      </w:r>
      <w:r w:rsidR="00377914" w:rsidRPr="00342FC2">
        <w:rPr>
          <w:rFonts w:hint="cs"/>
          <w:rtl/>
        </w:rPr>
        <w:t xml:space="preserve">(2.9%) </w:t>
      </w:r>
      <w:r w:rsidRPr="00342FC2">
        <w:rPr>
          <w:rtl/>
        </w:rPr>
        <w:t>לרמה של כ-1.6</w:t>
      </w:r>
      <w:r w:rsidR="009D4A0F" w:rsidRPr="00342FC2">
        <w:rPr>
          <w:rFonts w:hint="cs"/>
          <w:rtl/>
        </w:rPr>
        <w:t>8</w:t>
      </w:r>
      <w:r w:rsidRPr="00342FC2">
        <w:rPr>
          <w:rtl/>
        </w:rPr>
        <w:t xml:space="preserve"> טריליונים</w:t>
      </w:r>
      <w:r w:rsidRPr="00342FC2">
        <w:rPr>
          <w:rFonts w:hint="cs"/>
          <w:rtl/>
        </w:rPr>
        <w:t xml:space="preserve"> (</w:t>
      </w:r>
      <w:r w:rsidR="009D4A0F" w:rsidRPr="00342FC2">
        <w:rPr>
          <w:rFonts w:hint="cs"/>
          <w:rtl/>
        </w:rPr>
        <w:t>45.1</w:t>
      </w:r>
      <w:r w:rsidRPr="00342FC2">
        <w:rPr>
          <w:rFonts w:hint="cs"/>
          <w:rtl/>
        </w:rPr>
        <w:t>% מסך תיק הנכסים הפיננסים של הציבור)</w:t>
      </w:r>
      <w:r w:rsidR="00377914" w:rsidRPr="00342FC2">
        <w:rPr>
          <w:rFonts w:hint="cs"/>
          <w:rtl/>
        </w:rPr>
        <w:t xml:space="preserve">. </w:t>
      </w:r>
      <w:r w:rsidRPr="00342FC2">
        <w:rPr>
          <w:rtl/>
        </w:rPr>
        <w:t xml:space="preserve">העלייה ביתרת התיק נבעה </w:t>
      </w:r>
      <w:r w:rsidR="00900B16" w:rsidRPr="00342FC2">
        <w:rPr>
          <w:rFonts w:hint="cs"/>
          <w:rtl/>
        </w:rPr>
        <w:t xml:space="preserve">בעיקר </w:t>
      </w:r>
      <w:r w:rsidRPr="00342FC2">
        <w:rPr>
          <w:rtl/>
        </w:rPr>
        <w:t xml:space="preserve">מעלייה </w:t>
      </w:r>
      <w:r w:rsidR="00900B16" w:rsidRPr="00342FC2">
        <w:rPr>
          <w:rFonts w:hint="cs"/>
          <w:rtl/>
        </w:rPr>
        <w:t xml:space="preserve">ביתרת המניות </w:t>
      </w:r>
      <w:r w:rsidR="00FA4303" w:rsidRPr="00342FC2">
        <w:rPr>
          <w:rFonts w:hint="cs"/>
          <w:rtl/>
        </w:rPr>
        <w:t xml:space="preserve">בחו"ל (13.3 מיליארדים, 5.6%), המניות בארץ </w:t>
      </w:r>
      <w:r w:rsidR="00900B16" w:rsidRPr="00342FC2">
        <w:rPr>
          <w:rFonts w:hint="cs"/>
          <w:rtl/>
        </w:rPr>
        <w:t>(</w:t>
      </w:r>
      <w:r w:rsidR="00FA4303" w:rsidRPr="00342FC2">
        <w:rPr>
          <w:rFonts w:hint="cs"/>
          <w:rtl/>
        </w:rPr>
        <w:t>11.9 מיליארדים, 7.3%) וביתרת ההחזקה באג"ח הממשלתיות והמק"מ (10.7 מיליארדים, 1.6%)</w:t>
      </w:r>
      <w:r w:rsidR="009D4A0F" w:rsidRPr="00342FC2">
        <w:rPr>
          <w:rFonts w:hint="cs"/>
          <w:rtl/>
        </w:rPr>
        <w:t>.</w:t>
      </w:r>
      <w:r w:rsidR="00FA4303" w:rsidRPr="00342FC2">
        <w:rPr>
          <w:rFonts w:hint="cs"/>
          <w:rtl/>
        </w:rPr>
        <w:t xml:space="preserve"> </w:t>
      </w:r>
      <w:r w:rsidR="00377914" w:rsidRPr="00342FC2">
        <w:rPr>
          <w:rFonts w:hint="cs"/>
          <w:rtl/>
        </w:rPr>
        <w:t>עליות אלו קוזזו</w:t>
      </w:r>
      <w:r w:rsidRPr="00342FC2">
        <w:rPr>
          <w:rtl/>
        </w:rPr>
        <w:t xml:space="preserve"> במקצת כתוצאה מירידה ביתרת </w:t>
      </w:r>
      <w:r w:rsidR="00FA4303" w:rsidRPr="00342FC2">
        <w:rPr>
          <w:rFonts w:hint="cs"/>
          <w:rtl/>
        </w:rPr>
        <w:t>המזומן והפיקדונות</w:t>
      </w:r>
      <w:r w:rsidRPr="00342FC2">
        <w:rPr>
          <w:rFonts w:hint="cs"/>
          <w:rtl/>
        </w:rPr>
        <w:t xml:space="preserve"> </w:t>
      </w:r>
      <w:r w:rsidRPr="00342FC2">
        <w:rPr>
          <w:rtl/>
        </w:rPr>
        <w:t>(</w:t>
      </w:r>
      <w:r w:rsidR="00FA4303" w:rsidRPr="00342FC2">
        <w:rPr>
          <w:rFonts w:hint="cs"/>
          <w:rtl/>
        </w:rPr>
        <w:t>1.2</w:t>
      </w:r>
      <w:r w:rsidRPr="00342FC2">
        <w:rPr>
          <w:rtl/>
        </w:rPr>
        <w:t xml:space="preserve"> מיליארדי ש"ח, 1.</w:t>
      </w:r>
      <w:r w:rsidR="00FA4303" w:rsidRPr="00342FC2">
        <w:rPr>
          <w:rFonts w:hint="cs"/>
          <w:rtl/>
        </w:rPr>
        <w:t>1</w:t>
      </w:r>
      <w:r w:rsidRPr="00342FC2">
        <w:rPr>
          <w:rtl/>
        </w:rPr>
        <w:t>%</w:t>
      </w:r>
      <w:r w:rsidR="00FA4303" w:rsidRPr="00342FC2">
        <w:rPr>
          <w:rFonts w:hint="cs"/>
          <w:rtl/>
        </w:rPr>
        <w:t>-</w:t>
      </w:r>
      <w:r w:rsidRPr="00342FC2">
        <w:rPr>
          <w:rtl/>
        </w:rPr>
        <w:t>).</w:t>
      </w:r>
      <w:r w:rsidRPr="007C2B07">
        <w:rPr>
          <w:rFonts w:hint="cs"/>
          <w:rtl/>
        </w:rPr>
        <w:t xml:space="preserve"> </w:t>
      </w:r>
    </w:p>
    <w:p w14:paraId="233CACFE" w14:textId="0A66C559" w:rsidR="00C739C4" w:rsidRDefault="009D4A0F" w:rsidP="0053162E">
      <w:pPr>
        <w:spacing w:before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44391897" wp14:editId="1DC19BCA">
            <wp:extent cx="5486400" cy="2200265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0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CACFF" w14:textId="2D61431E" w:rsidR="007C2B07" w:rsidRPr="007C2B07" w:rsidRDefault="007C2B07" w:rsidP="009D4A0F">
      <w:pPr>
        <w:spacing w:before="240" w:line="360" w:lineRule="auto"/>
        <w:ind w:left="390"/>
        <w:jc w:val="both"/>
        <w:rPr>
          <w:rtl/>
        </w:rPr>
      </w:pPr>
      <w:r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4"/>
          <w:b/>
          <w:bCs/>
          <w:rtl/>
        </w:rPr>
        <w:footnoteReference w:id="3"/>
      </w:r>
      <w:r>
        <w:rPr>
          <w:rFonts w:hint="cs"/>
          <w:b/>
          <w:bCs/>
          <w:rtl/>
        </w:rPr>
        <w:t xml:space="preserve"> לנכסים זרים ולייסוף השקל מול מט"ח </w:t>
      </w:r>
      <w:r w:rsidR="00620D7A">
        <w:rPr>
          <w:rFonts w:hint="cs"/>
          <w:b/>
          <w:bCs/>
          <w:rtl/>
        </w:rPr>
        <w:t xml:space="preserve">- </w:t>
      </w:r>
      <w:r w:rsidR="00620D7A">
        <w:rPr>
          <w:rFonts w:hint="cs"/>
          <w:b/>
          <w:bCs/>
          <w:rtl/>
        </w:rPr>
        <w:tab/>
        <w:t xml:space="preserve">            </w:t>
      </w:r>
      <w:r>
        <w:rPr>
          <w:rtl/>
        </w:rPr>
        <w:t xml:space="preserve">ברביע </w:t>
      </w:r>
      <w:r w:rsidR="001B7370">
        <w:rPr>
          <w:rFonts w:hint="cs"/>
          <w:rtl/>
        </w:rPr>
        <w:t>השלישי</w:t>
      </w:r>
      <w:r>
        <w:rPr>
          <w:rtl/>
        </w:rPr>
        <w:t xml:space="preserve"> </w:t>
      </w:r>
      <w:r w:rsidRPr="007C2B07">
        <w:rPr>
          <w:rtl/>
        </w:rPr>
        <w:t xml:space="preserve">של שנת </w:t>
      </w:r>
      <w:r w:rsidRPr="007C2B07">
        <w:rPr>
          <w:rFonts w:hint="cs"/>
          <w:rtl/>
        </w:rPr>
        <w:t>2018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>שיעור החשיפה של המשקיעים המוסדיים לנכסים זרים</w:t>
      </w:r>
      <w:r w:rsidRPr="007C2B07">
        <w:rPr>
          <w:rtl/>
        </w:rPr>
        <w:t xml:space="preserve"> עלה בכ-</w:t>
      </w:r>
      <w:r w:rsidR="001B7370">
        <w:rPr>
          <w:rFonts w:hint="cs"/>
          <w:rtl/>
        </w:rPr>
        <w:t>0.6</w:t>
      </w:r>
      <w:r w:rsidRPr="007C2B07">
        <w:rPr>
          <w:rtl/>
        </w:rPr>
        <w:t xml:space="preserve"> נקודות אחוז לרמה של כ-</w:t>
      </w:r>
      <w:r w:rsidR="001B7370">
        <w:rPr>
          <w:rFonts w:hint="cs"/>
          <w:rtl/>
        </w:rPr>
        <w:t>28</w:t>
      </w:r>
      <w:r w:rsidRPr="007C2B07">
        <w:rPr>
          <w:rtl/>
        </w:rPr>
        <w:t>.</w:t>
      </w:r>
      <w:r w:rsidR="001B7370">
        <w:rPr>
          <w:rFonts w:hint="cs"/>
          <w:rtl/>
        </w:rPr>
        <w:t>1</w:t>
      </w:r>
      <w:r w:rsidRPr="007C2B07">
        <w:rPr>
          <w:rtl/>
        </w:rPr>
        <w:t>% מהתיק.</w:t>
      </w:r>
      <w:r w:rsidRPr="007C2B07">
        <w:rPr>
          <w:rFonts w:hint="cs"/>
          <w:rtl/>
        </w:rPr>
        <w:t xml:space="preserve"> </w:t>
      </w:r>
      <w:r w:rsidR="00EE7382">
        <w:rPr>
          <w:rFonts w:hint="cs"/>
          <w:rtl/>
        </w:rPr>
        <w:t>כ-70% מ</w:t>
      </w:r>
      <w:r w:rsidRPr="007C2B07">
        <w:rPr>
          <w:rtl/>
        </w:rPr>
        <w:t xml:space="preserve">העלייה בשיעור החשיפה לנכסים </w:t>
      </w:r>
      <w:r w:rsidRPr="00EE7382">
        <w:rPr>
          <w:rtl/>
        </w:rPr>
        <w:t xml:space="preserve">זרים </w:t>
      </w:r>
      <w:r w:rsidR="00EE7382" w:rsidRPr="00EE7382">
        <w:rPr>
          <w:rFonts w:hint="cs"/>
          <w:rtl/>
        </w:rPr>
        <w:t xml:space="preserve">הייתה כתוצאה מהגדלת </w:t>
      </w:r>
      <w:r w:rsidR="00EE7382" w:rsidRPr="00EE7382">
        <w:rPr>
          <w:rFonts w:hint="cs"/>
          <w:rtl/>
        </w:rPr>
        <w:lastRenderedPageBreak/>
        <w:t>החשיפה למניות הזרות</w:t>
      </w:r>
      <w:r w:rsidRPr="00EE7382">
        <w:rPr>
          <w:rtl/>
        </w:rPr>
        <w:t xml:space="preserve">. העלייה המשמעותית ביותר </w:t>
      </w:r>
      <w:r w:rsidR="00377914" w:rsidRPr="007C2B07">
        <w:rPr>
          <w:rtl/>
        </w:rPr>
        <w:t xml:space="preserve">בשיעור החשיפה לנכסים </w:t>
      </w:r>
      <w:r w:rsidR="00377914" w:rsidRPr="00EE7382">
        <w:rPr>
          <w:rtl/>
        </w:rPr>
        <w:t xml:space="preserve">זרים </w:t>
      </w:r>
      <w:r w:rsidRPr="00EE7382">
        <w:rPr>
          <w:rtl/>
        </w:rPr>
        <w:t xml:space="preserve">התרכזה אצל </w:t>
      </w:r>
      <w:r w:rsidR="00EE7382" w:rsidRPr="00EE7382">
        <w:rPr>
          <w:rFonts w:hint="cs"/>
          <w:rtl/>
        </w:rPr>
        <w:t>קופות</w:t>
      </w:r>
      <w:r w:rsidR="00EE7382">
        <w:rPr>
          <w:rFonts w:hint="cs"/>
          <w:rtl/>
        </w:rPr>
        <w:t xml:space="preserve"> הגמל וקרנות ההשתלמות</w:t>
      </w:r>
      <w:r w:rsidRPr="007C2B07">
        <w:rPr>
          <w:rtl/>
        </w:rPr>
        <w:t xml:space="preserve"> שהגדילו את היקף חשיפתן לנכסים זרים בכ-1.</w:t>
      </w:r>
      <w:r w:rsidR="00EE7382">
        <w:rPr>
          <w:rFonts w:hint="cs"/>
          <w:rtl/>
        </w:rPr>
        <w:t>2</w:t>
      </w:r>
      <w:r w:rsidRPr="007C2B07">
        <w:rPr>
          <w:rtl/>
        </w:rPr>
        <w:t xml:space="preserve"> נקודות אחוז עד לרמה של כ-</w:t>
      </w:r>
      <w:r w:rsidR="00EE7382">
        <w:rPr>
          <w:rFonts w:hint="cs"/>
          <w:rtl/>
        </w:rPr>
        <w:t>29.4</w:t>
      </w:r>
      <w:r w:rsidRPr="007C2B07">
        <w:rPr>
          <w:rtl/>
        </w:rPr>
        <w:t xml:space="preserve">%. </w:t>
      </w:r>
    </w:p>
    <w:p w14:paraId="233CAD00" w14:textId="0D3F0DEE" w:rsidR="000430C8" w:rsidRPr="00C739C4" w:rsidRDefault="007C2B07" w:rsidP="00377914">
      <w:pPr>
        <w:spacing w:before="240" w:line="360" w:lineRule="auto"/>
        <w:ind w:left="390"/>
        <w:jc w:val="both"/>
        <w:outlineLvl w:val="0"/>
        <w:rPr>
          <w:rtl/>
        </w:rPr>
      </w:pPr>
      <w:r w:rsidRPr="007C2B07">
        <w:rPr>
          <w:rtl/>
        </w:rPr>
        <w:t xml:space="preserve">ברביע </w:t>
      </w:r>
      <w:r w:rsidR="00EE7382">
        <w:rPr>
          <w:rFonts w:hint="cs"/>
          <w:rtl/>
        </w:rPr>
        <w:t>השלישי</w:t>
      </w:r>
      <w:r w:rsidRPr="007C2B07">
        <w:rPr>
          <w:rtl/>
        </w:rPr>
        <w:t xml:space="preserve"> של השנה עלה </w:t>
      </w:r>
      <w:r w:rsidRPr="007C2B07">
        <w:rPr>
          <w:b/>
          <w:bCs/>
          <w:rtl/>
        </w:rPr>
        <w:t xml:space="preserve">שיעור החשיפה למט"ח (כולל </w:t>
      </w:r>
      <w:proofErr w:type="spellStart"/>
      <w:r w:rsidRPr="007C2B07">
        <w:rPr>
          <w:b/>
          <w:bCs/>
          <w:rtl/>
        </w:rPr>
        <w:t>נגזרי</w:t>
      </w:r>
      <w:proofErr w:type="spellEnd"/>
      <w:r w:rsidRPr="007C2B07">
        <w:rPr>
          <w:b/>
          <w:bCs/>
          <w:rtl/>
        </w:rPr>
        <w:t xml:space="preserve"> ש"ח/מט"ח)</w:t>
      </w:r>
      <w:r w:rsidRPr="007C2B07">
        <w:rPr>
          <w:rtl/>
        </w:rPr>
        <w:t xml:space="preserve"> ב</w:t>
      </w:r>
      <w:r w:rsidR="00EE7382">
        <w:rPr>
          <w:rFonts w:hint="cs"/>
          <w:rtl/>
        </w:rPr>
        <w:t xml:space="preserve">כ-0.7 </w:t>
      </w:r>
      <w:r w:rsidRPr="007C2B07">
        <w:rPr>
          <w:rtl/>
        </w:rPr>
        <w:t>נקודת אחוז לרמה של כ-</w:t>
      </w:r>
      <w:r w:rsidR="00EE7382">
        <w:rPr>
          <w:rFonts w:hint="cs"/>
          <w:rtl/>
        </w:rPr>
        <w:t>17.6</w:t>
      </w:r>
      <w:r w:rsidRPr="007C2B07">
        <w:rPr>
          <w:rtl/>
        </w:rPr>
        <w:t>%; העלייה ביתרת החשיפה נבעה מהשקעות</w:t>
      </w:r>
      <w:r w:rsidRPr="007C2B07">
        <w:t xml:space="preserve"> </w:t>
      </w:r>
      <w:r w:rsidRPr="007C2B07">
        <w:rPr>
          <w:rFonts w:hint="cs"/>
          <w:rtl/>
        </w:rPr>
        <w:t>נטו של כ-2.</w:t>
      </w:r>
      <w:r w:rsidR="00E014CE">
        <w:rPr>
          <w:rFonts w:hint="cs"/>
          <w:rtl/>
        </w:rPr>
        <w:t>2</w:t>
      </w:r>
      <w:r w:rsidRPr="007C2B07">
        <w:rPr>
          <w:rFonts w:hint="cs"/>
          <w:rtl/>
        </w:rPr>
        <w:t xml:space="preserve"> מיליארדי דולר</w:t>
      </w:r>
      <w:r w:rsidRPr="007C2B07">
        <w:rPr>
          <w:rtl/>
        </w:rPr>
        <w:t xml:space="preserve"> בנכסים נקובים וצמודים למט"ח</w:t>
      </w:r>
      <w:r w:rsidRPr="007C2B07">
        <w:rPr>
          <w:rFonts w:hint="cs"/>
          <w:rtl/>
        </w:rPr>
        <w:t xml:space="preserve"> (בעיקר</w:t>
      </w:r>
      <w:r w:rsidR="00E014CE">
        <w:rPr>
          <w:rFonts w:hint="cs"/>
          <w:rtl/>
        </w:rPr>
        <w:t xml:space="preserve"> </w:t>
      </w:r>
      <w:r w:rsidRPr="007C2B07">
        <w:rPr>
          <w:rFonts w:hint="cs"/>
          <w:rtl/>
        </w:rPr>
        <w:t xml:space="preserve">מניות </w:t>
      </w:r>
      <w:r w:rsidR="00E014CE">
        <w:rPr>
          <w:rFonts w:hint="cs"/>
          <w:rtl/>
        </w:rPr>
        <w:t>ו</w:t>
      </w:r>
      <w:r w:rsidR="00E014CE" w:rsidRPr="007C2B07">
        <w:rPr>
          <w:rFonts w:hint="cs"/>
          <w:rtl/>
        </w:rPr>
        <w:t>קרנות השקעה בחו"ל</w:t>
      </w:r>
      <w:r w:rsidRPr="007C2B07">
        <w:rPr>
          <w:rFonts w:hint="cs"/>
          <w:rtl/>
        </w:rPr>
        <w:t xml:space="preserve">) </w:t>
      </w:r>
      <w:r w:rsidR="00377914">
        <w:rPr>
          <w:rFonts w:hint="cs"/>
          <w:rtl/>
        </w:rPr>
        <w:t>ו</w:t>
      </w:r>
      <w:r w:rsidRPr="007C2B07">
        <w:rPr>
          <w:rtl/>
        </w:rPr>
        <w:t xml:space="preserve">מעלייה במחירי </w:t>
      </w:r>
      <w:r w:rsidR="00377914">
        <w:rPr>
          <w:rFonts w:hint="cs"/>
          <w:rtl/>
        </w:rPr>
        <w:t>המניות</w:t>
      </w:r>
      <w:r w:rsidRPr="007C2B07">
        <w:rPr>
          <w:rtl/>
        </w:rPr>
        <w:t xml:space="preserve"> בשוקי חו"ל</w:t>
      </w:r>
      <w:r w:rsidR="00845EAF">
        <w:rPr>
          <w:rFonts w:hint="cs"/>
          <w:rtl/>
        </w:rPr>
        <w:t>.</w:t>
      </w:r>
      <w:r w:rsidRPr="007C2B07">
        <w:rPr>
          <w:rtl/>
        </w:rPr>
        <w:t xml:space="preserve"> </w:t>
      </w:r>
      <w:r w:rsidR="00E014CE">
        <w:rPr>
          <w:rFonts w:hint="cs"/>
          <w:rtl/>
        </w:rPr>
        <w:t>מנגד,</w:t>
      </w:r>
      <w:r w:rsidRPr="007C2B07">
        <w:rPr>
          <w:rtl/>
        </w:rPr>
        <w:t xml:space="preserve"> </w:t>
      </w:r>
      <w:r w:rsidR="00E014CE">
        <w:rPr>
          <w:rFonts w:hint="cs"/>
          <w:rtl/>
        </w:rPr>
        <w:t>ייסוף</w:t>
      </w:r>
      <w:r w:rsidRPr="007C2B07">
        <w:rPr>
          <w:rtl/>
        </w:rPr>
        <w:t xml:space="preserve"> השקל מול הדולר (</w:t>
      </w:r>
      <w:r w:rsidR="00E014CE">
        <w:rPr>
          <w:rFonts w:hint="cs"/>
          <w:rtl/>
        </w:rPr>
        <w:t>0.6</w:t>
      </w:r>
      <w:r w:rsidRPr="007C2B07">
        <w:rPr>
          <w:rtl/>
        </w:rPr>
        <w:t xml:space="preserve">%) </w:t>
      </w:r>
      <w:r w:rsidR="00E014CE">
        <w:rPr>
          <w:rFonts w:hint="cs"/>
          <w:rtl/>
        </w:rPr>
        <w:t>הקטין</w:t>
      </w:r>
      <w:r w:rsidRPr="007C2B07">
        <w:rPr>
          <w:rtl/>
        </w:rPr>
        <w:t xml:space="preserve"> את השווי השקלי של התיק</w:t>
      </w:r>
      <w:r w:rsidRPr="007C2B07">
        <w:rPr>
          <w:rFonts w:hint="cs"/>
          <w:rtl/>
        </w:rPr>
        <w:t xml:space="preserve">. </w:t>
      </w:r>
      <w:r w:rsidR="00E014CE">
        <w:rPr>
          <w:rFonts w:hint="cs"/>
          <w:rtl/>
        </w:rPr>
        <w:t xml:space="preserve">יתרת </w:t>
      </w:r>
      <w:r w:rsidRPr="007C2B07">
        <w:rPr>
          <w:rFonts w:hint="cs"/>
          <w:rtl/>
        </w:rPr>
        <w:t>העסקאות העתידיות למכירת מט"ח נטו באמצעות מכשי</w:t>
      </w:r>
      <w:r>
        <w:rPr>
          <w:rFonts w:hint="cs"/>
          <w:rtl/>
        </w:rPr>
        <w:t xml:space="preserve">רים פיננסים נגזרים </w:t>
      </w:r>
      <w:r w:rsidR="00E014CE">
        <w:rPr>
          <w:rFonts w:hint="cs"/>
          <w:rtl/>
        </w:rPr>
        <w:t>נותרה כמעט ללא שינוי.</w:t>
      </w:r>
    </w:p>
    <w:p w14:paraId="233CAD01" w14:textId="5BC263A6" w:rsidR="005B39A3" w:rsidRPr="00C739C4" w:rsidRDefault="00AA33BE" w:rsidP="00A27E46">
      <w:pPr>
        <w:spacing w:before="240" w:line="360" w:lineRule="auto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2F1460">
        <w:rPr>
          <w:noProof/>
          <w:lang w:eastAsia="en-US"/>
        </w:rPr>
        <w:drawing>
          <wp:inline distT="0" distB="0" distL="0" distR="0" wp14:anchorId="68ED0D0B" wp14:editId="02E0631E">
            <wp:extent cx="2900150" cy="2316556"/>
            <wp:effectExtent l="0" t="0" r="0" b="762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0936" cy="231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</w:rPr>
        <w:t xml:space="preserve"> </w:t>
      </w:r>
      <w:r w:rsidR="00E014CE">
        <w:rPr>
          <w:b/>
          <w:bCs/>
          <w:noProof/>
          <w:rtl/>
          <w:lang w:eastAsia="en-US"/>
        </w:rPr>
        <w:drawing>
          <wp:inline distT="0" distB="0" distL="0" distR="0" wp14:anchorId="504D7AB0" wp14:editId="6896F9D9">
            <wp:extent cx="2880000" cy="2318285"/>
            <wp:effectExtent l="0" t="0" r="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CAD02" w14:textId="77777777" w:rsidR="002E1C15" w:rsidRPr="002E1C15" w:rsidRDefault="009B2E23" w:rsidP="00C739C4">
      <w:pPr>
        <w:pStyle w:val="1"/>
        <w:numPr>
          <w:ilvl w:val="0"/>
          <w:numId w:val="18"/>
        </w:numPr>
        <w:spacing w:before="240"/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</w:p>
    <w:p w14:paraId="6F086F58" w14:textId="77777777" w:rsidR="00377914" w:rsidRDefault="0012692B" w:rsidP="00377914">
      <w:pPr>
        <w:spacing w:before="240" w:line="360" w:lineRule="auto"/>
        <w:ind w:left="360"/>
        <w:jc w:val="both"/>
        <w:rPr>
          <w:rtl/>
        </w:rPr>
      </w:pPr>
      <w:r w:rsidRPr="0012692B">
        <w:rPr>
          <w:rtl/>
        </w:rPr>
        <w:t xml:space="preserve">היקף התיק המנוהל באמצעות קרנות נאמנות </w:t>
      </w:r>
      <w:r w:rsidR="007C2B07">
        <w:rPr>
          <w:rFonts w:hint="cs"/>
          <w:rtl/>
        </w:rPr>
        <w:t>בארץ</w:t>
      </w:r>
      <w:r w:rsidR="00543423">
        <w:rPr>
          <w:rFonts w:hint="cs"/>
          <w:rtl/>
        </w:rPr>
        <w:t xml:space="preserve"> </w:t>
      </w:r>
      <w:r w:rsidR="004279F8">
        <w:rPr>
          <w:rFonts w:hint="cs"/>
          <w:rtl/>
        </w:rPr>
        <w:t>עלה</w:t>
      </w:r>
      <w:r w:rsidR="00543423">
        <w:rPr>
          <w:rFonts w:hint="cs"/>
          <w:rtl/>
        </w:rPr>
        <w:t xml:space="preserve"> ברביע הש</w:t>
      </w:r>
      <w:r w:rsidR="004279F8">
        <w:rPr>
          <w:rFonts w:hint="cs"/>
          <w:rtl/>
        </w:rPr>
        <w:t>ליש</w:t>
      </w:r>
      <w:r w:rsidR="00543423">
        <w:rPr>
          <w:rFonts w:hint="cs"/>
          <w:rtl/>
        </w:rPr>
        <w:t xml:space="preserve">י </w:t>
      </w:r>
      <w:r w:rsidR="00377914">
        <w:rPr>
          <w:rFonts w:hint="cs"/>
          <w:rtl/>
        </w:rPr>
        <w:t xml:space="preserve">של השנה </w:t>
      </w:r>
      <w:r w:rsidR="00543423">
        <w:rPr>
          <w:rFonts w:hint="cs"/>
          <w:rtl/>
        </w:rPr>
        <w:t>בכ-</w:t>
      </w:r>
      <w:r w:rsidR="006E3BA6">
        <w:rPr>
          <w:rFonts w:hint="cs"/>
          <w:rtl/>
        </w:rPr>
        <w:t>1.</w:t>
      </w:r>
      <w:r w:rsidR="004279F8">
        <w:rPr>
          <w:rFonts w:hint="cs"/>
          <w:rtl/>
        </w:rPr>
        <w:t>7</w:t>
      </w:r>
      <w:r w:rsidR="006E3BA6">
        <w:rPr>
          <w:rFonts w:hint="cs"/>
          <w:rtl/>
        </w:rPr>
        <w:t xml:space="preserve"> מיליארדי ש"ח (0.</w:t>
      </w:r>
      <w:r w:rsidR="004279F8">
        <w:rPr>
          <w:rFonts w:hint="cs"/>
          <w:rtl/>
        </w:rPr>
        <w:t>7</w:t>
      </w:r>
      <w:r w:rsidR="006E3BA6">
        <w:rPr>
          <w:rFonts w:hint="cs"/>
          <w:rtl/>
        </w:rPr>
        <w:t xml:space="preserve">%) </w:t>
      </w:r>
      <w:r w:rsidR="00E77E06">
        <w:rPr>
          <w:rFonts w:hint="cs"/>
          <w:rtl/>
        </w:rPr>
        <w:t>ו</w:t>
      </w:r>
      <w:r w:rsidRPr="0012692B">
        <w:rPr>
          <w:rtl/>
        </w:rPr>
        <w:t xml:space="preserve">עמד </w:t>
      </w:r>
      <w:r w:rsidR="006D3437">
        <w:rPr>
          <w:rFonts w:hint="cs"/>
          <w:rtl/>
        </w:rPr>
        <w:t>בסופו</w:t>
      </w:r>
      <w:r w:rsidRPr="0012692B">
        <w:rPr>
          <w:rtl/>
        </w:rPr>
        <w:t xml:space="preserve"> על כ-</w:t>
      </w:r>
      <w:r w:rsidR="00377914">
        <w:rPr>
          <w:rFonts w:hint="cs"/>
          <w:rtl/>
        </w:rPr>
        <w:t>243</w:t>
      </w:r>
      <w:r w:rsidRPr="0012692B">
        <w:rPr>
          <w:rtl/>
        </w:rPr>
        <w:t xml:space="preserve"> מיליארדי ש"ח, כ-</w:t>
      </w:r>
      <w:r w:rsidRPr="00D50557">
        <w:rPr>
          <w:rtl/>
        </w:rPr>
        <w:t>6.</w:t>
      </w:r>
      <w:r w:rsidR="004279F8">
        <w:rPr>
          <w:rFonts w:hint="cs"/>
          <w:rtl/>
        </w:rPr>
        <w:t>5</w:t>
      </w:r>
      <w:r w:rsidRPr="00D50557">
        <w:rPr>
          <w:rtl/>
        </w:rPr>
        <w:t>%</w:t>
      </w:r>
      <w:r w:rsidRPr="0012692B">
        <w:rPr>
          <w:rtl/>
        </w:rPr>
        <w:t xml:space="preserve"> מסך תיק הנכסים של הציבור.</w:t>
      </w:r>
      <w:r w:rsidR="006E3BA6">
        <w:rPr>
          <w:rFonts w:hint="cs"/>
          <w:rtl/>
        </w:rPr>
        <w:t xml:space="preserve"> </w:t>
      </w:r>
    </w:p>
    <w:p w14:paraId="233CAD04" w14:textId="6A037C0D" w:rsidR="00620D7A" w:rsidRDefault="00377914" w:rsidP="003838F7">
      <w:pPr>
        <w:spacing w:before="240" w:line="360" w:lineRule="auto"/>
        <w:ind w:left="360"/>
        <w:jc w:val="both"/>
        <w:rPr>
          <w:rtl/>
        </w:rPr>
      </w:pPr>
      <w:r w:rsidRPr="00377914">
        <w:rPr>
          <w:rFonts w:hint="cs"/>
          <w:rtl/>
        </w:rPr>
        <w:t xml:space="preserve">על אף הפדיונות נטו </w:t>
      </w:r>
      <w:r w:rsidRPr="0012692B">
        <w:rPr>
          <w:rtl/>
        </w:rPr>
        <w:t xml:space="preserve">(עודף </w:t>
      </w:r>
      <w:r>
        <w:rPr>
          <w:rFonts w:hint="cs"/>
          <w:rtl/>
        </w:rPr>
        <w:t>פדיונות</w:t>
      </w:r>
      <w:r w:rsidRPr="0012692B">
        <w:rPr>
          <w:rtl/>
        </w:rPr>
        <w:t xml:space="preserve"> על </w:t>
      </w:r>
      <w:r>
        <w:rPr>
          <w:rFonts w:hint="cs"/>
          <w:rtl/>
        </w:rPr>
        <w:t>הפקדות</w:t>
      </w:r>
      <w:r w:rsidRPr="0012692B">
        <w:rPr>
          <w:rtl/>
        </w:rPr>
        <w:t>, בניכוי דיבידנד)</w:t>
      </w:r>
      <w:r>
        <w:rPr>
          <w:rFonts w:hint="cs"/>
          <w:rtl/>
        </w:rPr>
        <w:t xml:space="preserve"> </w:t>
      </w:r>
      <w:r w:rsidRPr="00377914">
        <w:rPr>
          <w:rFonts w:hint="cs"/>
          <w:rtl/>
        </w:rPr>
        <w:t>ברביע השלישי של השנה, יתרת ההחזקות בקרנות הנאמנות עלתה בכ-1.7 מיליארדי ש"ח.</w:t>
      </w:r>
      <w:r>
        <w:rPr>
          <w:rFonts w:hint="cs"/>
          <w:rtl/>
        </w:rPr>
        <w:t xml:space="preserve"> </w:t>
      </w:r>
      <w:r w:rsidR="004279F8">
        <w:rPr>
          <w:rFonts w:hint="cs"/>
          <w:rtl/>
        </w:rPr>
        <w:t xml:space="preserve">זאת, בהמשך </w:t>
      </w:r>
      <w:r>
        <w:rPr>
          <w:rFonts w:hint="cs"/>
          <w:rtl/>
        </w:rPr>
        <w:t>לפדיונות ברביע השני</w:t>
      </w:r>
      <w:r w:rsidR="004279F8">
        <w:rPr>
          <w:rFonts w:hint="cs"/>
          <w:rtl/>
        </w:rPr>
        <w:t xml:space="preserve"> ובניגוד למגמת ההפקדות נטו </w:t>
      </w:r>
      <w:r>
        <w:rPr>
          <w:rFonts w:hint="cs"/>
          <w:rtl/>
        </w:rPr>
        <w:t>ב-5 הרביעים שקדמו לה</w:t>
      </w:r>
      <w:r w:rsidR="004279F8">
        <w:rPr>
          <w:rFonts w:hint="cs"/>
          <w:rtl/>
        </w:rPr>
        <w:t xml:space="preserve"> (</w:t>
      </w:r>
      <w:r>
        <w:rPr>
          <w:rFonts w:hint="cs"/>
          <w:rtl/>
        </w:rPr>
        <w:t>תרשים 7</w:t>
      </w:r>
      <w:r w:rsidR="004279F8">
        <w:rPr>
          <w:rFonts w:hint="cs"/>
          <w:rtl/>
        </w:rPr>
        <w:t>).</w:t>
      </w:r>
      <w:r w:rsidR="00620D7A">
        <w:rPr>
          <w:rFonts w:hint="cs"/>
          <w:rtl/>
        </w:rPr>
        <w:t xml:space="preserve"> </w:t>
      </w:r>
    </w:p>
    <w:p w14:paraId="6FB24E02" w14:textId="28B8F22C" w:rsidR="003F276B" w:rsidRDefault="003F276B" w:rsidP="00377914">
      <w:pPr>
        <w:spacing w:before="240" w:line="360" w:lineRule="auto"/>
        <w:ind w:left="360"/>
        <w:jc w:val="both"/>
        <w:rPr>
          <w:rtl/>
        </w:rPr>
      </w:pPr>
      <w:r w:rsidRPr="003F276B">
        <w:rPr>
          <w:rtl/>
        </w:rPr>
        <w:t xml:space="preserve">מהתפלגות הקרנות לפי התמחויות עולה כי ברביע השלישי התרכזו הפדיונות נטו בקרנות המתמחות באג"ח כללי בארץ (4.1 מיליארדים, </w:t>
      </w:r>
      <w:r w:rsidR="00C20F2D">
        <w:rPr>
          <w:rFonts w:hint="cs"/>
          <w:rtl/>
        </w:rPr>
        <w:t>המהווים כ-</w:t>
      </w:r>
      <w:r w:rsidR="00377914">
        <w:rPr>
          <w:rFonts w:hint="cs"/>
          <w:rtl/>
        </w:rPr>
        <w:t>4.5</w:t>
      </w:r>
      <w:r w:rsidR="00C20F2D">
        <w:rPr>
          <w:rtl/>
        </w:rPr>
        <w:t>%</w:t>
      </w:r>
      <w:r w:rsidR="00C20F2D">
        <w:rPr>
          <w:rFonts w:hint="cs"/>
          <w:rtl/>
        </w:rPr>
        <w:t xml:space="preserve"> מקבוצת ההתמחות</w:t>
      </w:r>
      <w:r w:rsidRPr="003F276B">
        <w:rPr>
          <w:rtl/>
        </w:rPr>
        <w:t xml:space="preserve">), בקרנות המתמחות באג"ח שקליות בארץ ובמניות בארץ. לעומת זאת, בקבוצות </w:t>
      </w:r>
      <w:r w:rsidRPr="00D46D7B">
        <w:rPr>
          <w:rtl/>
        </w:rPr>
        <w:t>ההתמחות במניות</w:t>
      </w:r>
      <w:bookmarkStart w:id="0" w:name="_GoBack"/>
      <w:bookmarkEnd w:id="0"/>
      <w:r w:rsidRPr="00D46D7B">
        <w:rPr>
          <w:rtl/>
        </w:rPr>
        <w:t xml:space="preserve"> ובאג"ח בחו"ל </w:t>
      </w:r>
      <w:r w:rsidR="00272A69" w:rsidRPr="00D46D7B">
        <w:rPr>
          <w:rFonts w:hint="cs"/>
          <w:rtl/>
        </w:rPr>
        <w:t xml:space="preserve">ובכספיות מט"ח </w:t>
      </w:r>
      <w:r w:rsidRPr="00D46D7B">
        <w:rPr>
          <w:rtl/>
        </w:rPr>
        <w:t xml:space="preserve">נרשמו </w:t>
      </w:r>
      <w:r w:rsidR="004D64DB" w:rsidRPr="00D46D7B">
        <w:rPr>
          <w:rFonts w:hint="cs"/>
          <w:rtl/>
        </w:rPr>
        <w:t>הפקדות</w:t>
      </w:r>
      <w:r w:rsidRPr="003F276B">
        <w:rPr>
          <w:rtl/>
        </w:rPr>
        <w:t xml:space="preserve"> </w:t>
      </w:r>
      <w:r w:rsidR="00C20F2D">
        <w:rPr>
          <w:rFonts w:hint="cs"/>
          <w:rtl/>
        </w:rPr>
        <w:t>של כ-</w:t>
      </w:r>
      <w:r w:rsidRPr="003F276B">
        <w:rPr>
          <w:rtl/>
        </w:rPr>
        <w:t xml:space="preserve">3.2 </w:t>
      </w:r>
      <w:r w:rsidR="00C20F2D">
        <w:rPr>
          <w:rFonts w:hint="cs"/>
          <w:rtl/>
        </w:rPr>
        <w:t>מיליארדי ש"ח (המהווים כ-</w:t>
      </w:r>
      <w:r w:rsidRPr="003F276B">
        <w:rPr>
          <w:rtl/>
        </w:rPr>
        <w:t>9.8%</w:t>
      </w:r>
      <w:r w:rsidR="00C20F2D">
        <w:rPr>
          <w:rFonts w:hint="cs"/>
          <w:rtl/>
        </w:rPr>
        <w:t xml:space="preserve"> מקבוצ</w:t>
      </w:r>
      <w:r w:rsidR="000471D2">
        <w:rPr>
          <w:rFonts w:hint="cs"/>
          <w:rtl/>
        </w:rPr>
        <w:t xml:space="preserve">ות </w:t>
      </w:r>
      <w:r w:rsidR="00C20F2D">
        <w:rPr>
          <w:rFonts w:hint="cs"/>
          <w:rtl/>
        </w:rPr>
        <w:t>התמחות</w:t>
      </w:r>
      <w:r w:rsidR="000471D2">
        <w:rPr>
          <w:rFonts w:hint="cs"/>
          <w:rtl/>
        </w:rPr>
        <w:t xml:space="preserve"> אלו</w:t>
      </w:r>
      <w:r w:rsidRPr="003F276B">
        <w:rPr>
          <w:rtl/>
        </w:rPr>
        <w:t>).</w:t>
      </w:r>
    </w:p>
    <w:p w14:paraId="233CAD06" w14:textId="52622C38" w:rsidR="004056F3" w:rsidRPr="00C739C4" w:rsidRDefault="007D5C9A" w:rsidP="00C739C4">
      <w:pPr>
        <w:spacing w:before="240" w:line="360" w:lineRule="auto"/>
        <w:jc w:val="center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5C20A480" wp14:editId="6B53B896">
            <wp:extent cx="5486400" cy="2199640"/>
            <wp:effectExtent l="0" t="0" r="0" b="0"/>
            <wp:docPr id="5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AD07" w14:textId="77777777" w:rsidR="00CA3E19" w:rsidRPr="009444D3" w:rsidRDefault="009444D3" w:rsidP="00C739C4">
      <w:pPr>
        <w:autoSpaceDE w:val="0"/>
        <w:autoSpaceDN w:val="0"/>
        <w:adjustRightInd w:val="0"/>
        <w:spacing w:before="240" w:line="360" w:lineRule="auto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14:paraId="233CAD08" w14:textId="77777777" w:rsidR="00436816" w:rsidRPr="00436816" w:rsidRDefault="00436816" w:rsidP="00C739C4">
      <w:pPr>
        <w:autoSpaceDE w:val="0"/>
        <w:autoSpaceDN w:val="0"/>
        <w:adjustRightInd w:val="0"/>
        <w:spacing w:before="240" w:line="360" w:lineRule="auto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14:paraId="233CAD09" w14:textId="071EAA6A" w:rsidR="00436816" w:rsidRPr="00436816" w:rsidRDefault="00436816" w:rsidP="00C739C4">
      <w:pPr>
        <w:spacing w:before="240" w:line="360" w:lineRule="auto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21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14:paraId="233CAD0A" w14:textId="77777777" w:rsidR="00BF0A57" w:rsidRDefault="00436816" w:rsidP="00C739C4">
      <w:pPr>
        <w:autoSpaceDE w:val="0"/>
        <w:autoSpaceDN w:val="0"/>
        <w:adjustRightInd w:val="0"/>
        <w:spacing w:before="240" w:line="360" w:lineRule="auto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2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6C65C4">
      <w:headerReference w:type="default" r:id="rId23"/>
      <w:footerReference w:type="even" r:id="rId24"/>
      <w:footerReference w:type="default" r:id="rId25"/>
      <w:endnotePr>
        <w:numFmt w:val="lowerLetter"/>
      </w:endnotePr>
      <w:pgSz w:w="11906" w:h="16838"/>
      <w:pgMar w:top="1440" w:right="1080" w:bottom="1440" w:left="108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A0B0" w14:textId="77777777" w:rsidR="002E23BA" w:rsidRDefault="002E23BA">
      <w:r>
        <w:separator/>
      </w:r>
    </w:p>
  </w:endnote>
  <w:endnote w:type="continuationSeparator" w:id="0">
    <w:p w14:paraId="01A56E50" w14:textId="77777777" w:rsidR="002E23BA" w:rsidRDefault="002E23BA">
      <w:r>
        <w:continuationSeparator/>
      </w:r>
    </w:p>
  </w:endnote>
  <w:endnote w:type="continuationNotice" w:id="1">
    <w:p w14:paraId="1B24FB63" w14:textId="77777777" w:rsidR="002E23BA" w:rsidRDefault="002E2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AD20" w14:textId="77777777" w:rsidR="002E23BA" w:rsidRDefault="002E23BA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233CAD21" w14:textId="77777777" w:rsidR="002E23BA" w:rsidRDefault="002E23BA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AD22" w14:textId="05FC99C7" w:rsidR="002E23BA" w:rsidRPr="002E2C04" w:rsidRDefault="002E23BA" w:rsidP="00506D22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>
      <w:rPr>
        <w:rFonts w:hint="cs"/>
        <w:rtl/>
      </w:rPr>
      <w:t>שלישי</w:t>
    </w:r>
    <w:r w:rsidRPr="002E2C04">
      <w:rPr>
        <w:rFonts w:hint="cs"/>
        <w:rtl/>
      </w:rPr>
      <w:t xml:space="preserve"> </w:t>
    </w:r>
    <w:r>
      <w:rPr>
        <w:rFonts w:hint="cs"/>
        <w:rtl/>
      </w:rPr>
      <w:t>2018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D46D7B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D46D7B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14:paraId="233CAD23" w14:textId="77777777" w:rsidR="002E23BA" w:rsidRDefault="002E23BA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2B242" w14:textId="77777777" w:rsidR="002E23BA" w:rsidRDefault="002E23BA">
      <w:r>
        <w:separator/>
      </w:r>
    </w:p>
  </w:footnote>
  <w:footnote w:type="continuationSeparator" w:id="0">
    <w:p w14:paraId="6AD2E38C" w14:textId="77777777" w:rsidR="002E23BA" w:rsidRDefault="002E23BA">
      <w:r>
        <w:continuationSeparator/>
      </w:r>
    </w:p>
  </w:footnote>
  <w:footnote w:type="continuationNotice" w:id="1">
    <w:p w14:paraId="6C53C9E8" w14:textId="77777777" w:rsidR="002E23BA" w:rsidRDefault="002E23BA"/>
  </w:footnote>
  <w:footnote w:id="2">
    <w:p w14:paraId="233CAD24" w14:textId="77777777" w:rsidR="002E23BA" w:rsidRDefault="002E23B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14:paraId="233CAD25" w14:textId="72B83290" w:rsidR="002E23BA" w:rsidRDefault="002E23BA" w:rsidP="00377914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AD1F" w14:textId="77777777" w:rsidR="002E23BA" w:rsidRDefault="002E23BA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7FDE"/>
    <w:multiLevelType w:val="hybridMultilevel"/>
    <w:tmpl w:val="6880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A72"/>
    <w:rsid w:val="00053087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329"/>
    <w:rsid w:val="00061509"/>
    <w:rsid w:val="00061B54"/>
    <w:rsid w:val="00062277"/>
    <w:rsid w:val="0006250C"/>
    <w:rsid w:val="00062933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0C9F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0631E"/>
    <w:rsid w:val="0011075A"/>
    <w:rsid w:val="00110DFF"/>
    <w:rsid w:val="00110E4D"/>
    <w:rsid w:val="00111053"/>
    <w:rsid w:val="00111078"/>
    <w:rsid w:val="0011121D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8E4"/>
    <w:rsid w:val="0015662F"/>
    <w:rsid w:val="00156C5F"/>
    <w:rsid w:val="00156D03"/>
    <w:rsid w:val="001574CD"/>
    <w:rsid w:val="00157C66"/>
    <w:rsid w:val="00157E94"/>
    <w:rsid w:val="00160292"/>
    <w:rsid w:val="001602C1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5CA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F043C"/>
    <w:rsid w:val="001F0470"/>
    <w:rsid w:val="001F0485"/>
    <w:rsid w:val="001F0DF7"/>
    <w:rsid w:val="001F1C05"/>
    <w:rsid w:val="001F2087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440A"/>
    <w:rsid w:val="00245554"/>
    <w:rsid w:val="00245655"/>
    <w:rsid w:val="00245A1A"/>
    <w:rsid w:val="0024602D"/>
    <w:rsid w:val="002467E1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432C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3BDD"/>
    <w:rsid w:val="002B4998"/>
    <w:rsid w:val="002B49E1"/>
    <w:rsid w:val="002B51DF"/>
    <w:rsid w:val="002B566E"/>
    <w:rsid w:val="002B594E"/>
    <w:rsid w:val="002B67EB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418"/>
    <w:rsid w:val="00343F19"/>
    <w:rsid w:val="00344A50"/>
    <w:rsid w:val="0034590D"/>
    <w:rsid w:val="00346595"/>
    <w:rsid w:val="0034700B"/>
    <w:rsid w:val="00347299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E4A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EEC"/>
    <w:rsid w:val="00386C83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1E8"/>
    <w:rsid w:val="00403972"/>
    <w:rsid w:val="00403BFB"/>
    <w:rsid w:val="0040405E"/>
    <w:rsid w:val="0040499D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5589"/>
    <w:rsid w:val="00425D74"/>
    <w:rsid w:val="00425E0E"/>
    <w:rsid w:val="004261B5"/>
    <w:rsid w:val="004267EF"/>
    <w:rsid w:val="0042718A"/>
    <w:rsid w:val="0042727F"/>
    <w:rsid w:val="004279A7"/>
    <w:rsid w:val="004279F8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16F5"/>
    <w:rsid w:val="00482248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6D6F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A42"/>
    <w:rsid w:val="004C33BB"/>
    <w:rsid w:val="004C4E9A"/>
    <w:rsid w:val="004C4ECE"/>
    <w:rsid w:val="004C513E"/>
    <w:rsid w:val="004C5B0F"/>
    <w:rsid w:val="004C6117"/>
    <w:rsid w:val="004C630F"/>
    <w:rsid w:val="004C7F8A"/>
    <w:rsid w:val="004D1BB9"/>
    <w:rsid w:val="004D211C"/>
    <w:rsid w:val="004D2132"/>
    <w:rsid w:val="004D2343"/>
    <w:rsid w:val="004D313E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AAA"/>
    <w:rsid w:val="004E0C2D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D42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A39"/>
    <w:rsid w:val="00507C60"/>
    <w:rsid w:val="005105FC"/>
    <w:rsid w:val="005109DF"/>
    <w:rsid w:val="005122CD"/>
    <w:rsid w:val="00512723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3C3E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310B"/>
    <w:rsid w:val="00594308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C07"/>
    <w:rsid w:val="005D0E7B"/>
    <w:rsid w:val="005D119C"/>
    <w:rsid w:val="005D14DE"/>
    <w:rsid w:val="005D2081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FE6"/>
    <w:rsid w:val="0061760A"/>
    <w:rsid w:val="00617941"/>
    <w:rsid w:val="0061797B"/>
    <w:rsid w:val="00617AC2"/>
    <w:rsid w:val="0062039E"/>
    <w:rsid w:val="00620D7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170"/>
    <w:rsid w:val="006808A6"/>
    <w:rsid w:val="00680EC7"/>
    <w:rsid w:val="00681356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BBE"/>
    <w:rsid w:val="006D0CCA"/>
    <w:rsid w:val="006D1860"/>
    <w:rsid w:val="006D1DDA"/>
    <w:rsid w:val="006D202A"/>
    <w:rsid w:val="006D22AC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2E3A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4CE8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0AB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AD4"/>
    <w:rsid w:val="00851C59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A5C"/>
    <w:rsid w:val="008A5BE6"/>
    <w:rsid w:val="008A5F84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90F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DD0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786"/>
    <w:rsid w:val="00913AAF"/>
    <w:rsid w:val="00914662"/>
    <w:rsid w:val="00914A9F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7DB"/>
    <w:rsid w:val="00923B12"/>
    <w:rsid w:val="0092433A"/>
    <w:rsid w:val="0092527C"/>
    <w:rsid w:val="009264FD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13B7"/>
    <w:rsid w:val="00971778"/>
    <w:rsid w:val="00971C6B"/>
    <w:rsid w:val="00971E06"/>
    <w:rsid w:val="00971FF4"/>
    <w:rsid w:val="0097234F"/>
    <w:rsid w:val="009725B8"/>
    <w:rsid w:val="0097316B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5C25"/>
    <w:rsid w:val="00A36DFB"/>
    <w:rsid w:val="00A40CE0"/>
    <w:rsid w:val="00A41E06"/>
    <w:rsid w:val="00A41FE4"/>
    <w:rsid w:val="00A42A14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772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5323"/>
    <w:rsid w:val="00B06933"/>
    <w:rsid w:val="00B06E8A"/>
    <w:rsid w:val="00B07016"/>
    <w:rsid w:val="00B0728F"/>
    <w:rsid w:val="00B07CDB"/>
    <w:rsid w:val="00B07D0D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582C"/>
    <w:rsid w:val="00BE74E0"/>
    <w:rsid w:val="00BE774D"/>
    <w:rsid w:val="00BE7B9A"/>
    <w:rsid w:val="00BF0A57"/>
    <w:rsid w:val="00BF127F"/>
    <w:rsid w:val="00BF1775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27D1A"/>
    <w:rsid w:val="00C302B6"/>
    <w:rsid w:val="00C306C0"/>
    <w:rsid w:val="00C31341"/>
    <w:rsid w:val="00C313E3"/>
    <w:rsid w:val="00C31D33"/>
    <w:rsid w:val="00C32786"/>
    <w:rsid w:val="00C32C00"/>
    <w:rsid w:val="00C34E9B"/>
    <w:rsid w:val="00C3514E"/>
    <w:rsid w:val="00C35A6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E"/>
    <w:rsid w:val="00CB6802"/>
    <w:rsid w:val="00CB6A1B"/>
    <w:rsid w:val="00CB776F"/>
    <w:rsid w:val="00CC0269"/>
    <w:rsid w:val="00CC041C"/>
    <w:rsid w:val="00CC0824"/>
    <w:rsid w:val="00CC0C1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D06"/>
    <w:rsid w:val="00D50FAB"/>
    <w:rsid w:val="00D51B6C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58A0"/>
    <w:rsid w:val="00D86B23"/>
    <w:rsid w:val="00D86EA4"/>
    <w:rsid w:val="00D90F9D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F7"/>
    <w:rsid w:val="00DF7BC0"/>
    <w:rsid w:val="00E002CE"/>
    <w:rsid w:val="00E014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A23"/>
    <w:rsid w:val="00E25A92"/>
    <w:rsid w:val="00E25E27"/>
    <w:rsid w:val="00E26756"/>
    <w:rsid w:val="00E26C78"/>
    <w:rsid w:val="00E26CF2"/>
    <w:rsid w:val="00E26F55"/>
    <w:rsid w:val="00E27742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FDA"/>
    <w:rsid w:val="00E846DD"/>
    <w:rsid w:val="00E8554D"/>
    <w:rsid w:val="00E85B18"/>
    <w:rsid w:val="00E871FA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D1E4A"/>
    <w:rsid w:val="00ED2035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91B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221A"/>
    <w:rsid w:val="00FA2B69"/>
    <w:rsid w:val="00FA2DCB"/>
    <w:rsid w:val="00FA3EEF"/>
    <w:rsid w:val="00FA4303"/>
    <w:rsid w:val="00FA4801"/>
    <w:rsid w:val="00FA4BBE"/>
    <w:rsid w:val="00FA5838"/>
    <w:rsid w:val="00FA5E2C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3B5E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33CA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he/DataAndStatistics/Pages/MainPage.aspx?Level=3&amp;Sid=49&amp;SubjectType=2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boi.org.il/he/DataAndStatistics/Pages/MainPage.aspx?Level=3&amp;Sid=47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boi.org.il/he/DataAndStatistics/Pages/MainPage.aspx?Level=3&amp;Sid=53&amp;SubjectType=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E8FDE-4890-4F09-8E1A-399BE0B8775B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927A90BD-59DD-44A3-A004-B6E4752C4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5408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2018-12-17T13:20:00Z</dcterms:created>
  <dcterms:modified xsi:type="dcterms:W3CDTF">2018-12-23T06:32:00Z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