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116BC" w14:textId="77777777" w:rsidR="006E7B71" w:rsidRPr="00503E1D" w:rsidRDefault="006E7B71" w:rsidP="00D21499">
      <w:pPr>
        <w:bidi w:val="0"/>
        <w:jc w:val="center"/>
        <w:rPr>
          <w:rFonts w:ascii="Calibri" w:hAnsi="Calibri" w:cs="Calibri"/>
          <w:rtl/>
        </w:rPr>
      </w:pPr>
    </w:p>
    <w:p w14:paraId="4082120E" w14:textId="77777777" w:rsidR="00CB5D78" w:rsidRPr="00503E1D" w:rsidRDefault="00CB5D78" w:rsidP="0012349D">
      <w:pPr>
        <w:bidi w:val="0"/>
        <w:jc w:val="right"/>
        <w:rPr>
          <w:rFonts w:ascii="Calibri" w:hAnsi="Calibri" w:cs="Calibri"/>
          <w:b/>
          <w:bCs/>
          <w:sz w:val="26"/>
          <w:szCs w:val="26"/>
        </w:rPr>
      </w:pPr>
    </w:p>
    <w:p w14:paraId="79167E2E" w14:textId="77777777" w:rsidR="00503E1D" w:rsidRPr="00503E1D" w:rsidRDefault="00503E1D" w:rsidP="00503E1D">
      <w:pPr>
        <w:pStyle w:val="regpar"/>
        <w:spacing w:line="300" w:lineRule="atLeast"/>
        <w:ind w:firstLine="0"/>
        <w:jc w:val="center"/>
        <w:rPr>
          <w:rFonts w:ascii="Calibri" w:hAnsi="Calibri" w:cs="Calibri"/>
          <w:bCs/>
        </w:rPr>
      </w:pPr>
      <w:r w:rsidRPr="00503E1D">
        <w:rPr>
          <w:rFonts w:ascii="Calibri" w:hAnsi="Calibri" w:cs="Calibri"/>
          <w:noProof/>
        </w:rPr>
        <w:drawing>
          <wp:anchor distT="0" distB="0" distL="114300" distR="114300" simplePos="0" relativeHeight="251691008" behindDoc="0" locked="0" layoutInCell="1" allowOverlap="1" wp14:anchorId="62945D5A" wp14:editId="70CE3F9A">
            <wp:simplePos x="0" y="0"/>
            <wp:positionH relativeFrom="column">
              <wp:posOffset>2015559</wp:posOffset>
            </wp:positionH>
            <wp:positionV relativeFrom="paragraph">
              <wp:posOffset>-330149</wp:posOffset>
            </wp:positionV>
            <wp:extent cx="1845276" cy="564004"/>
            <wp:effectExtent l="0" t="0" r="3175" b="7620"/>
            <wp:wrapNone/>
            <wp:docPr id="1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5276" cy="5640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3ADFC" w14:textId="77777777" w:rsidR="00503E1D" w:rsidRPr="00503E1D" w:rsidRDefault="00503E1D" w:rsidP="00503E1D">
      <w:pPr>
        <w:pStyle w:val="regpar"/>
        <w:spacing w:line="300" w:lineRule="atLeast"/>
        <w:ind w:firstLine="0"/>
        <w:jc w:val="center"/>
        <w:rPr>
          <w:rFonts w:ascii="Calibri" w:hAnsi="Calibri" w:cs="Calibri"/>
          <w:bCs/>
        </w:rPr>
      </w:pPr>
    </w:p>
    <w:p w14:paraId="15667F61" w14:textId="77777777" w:rsidR="00503E1D" w:rsidRPr="00503E1D" w:rsidRDefault="00503E1D" w:rsidP="00503E1D">
      <w:pPr>
        <w:pStyle w:val="regpar"/>
        <w:spacing w:line="300" w:lineRule="atLeast"/>
        <w:ind w:firstLine="0"/>
        <w:jc w:val="center"/>
        <w:rPr>
          <w:rFonts w:ascii="Calibri" w:hAnsi="Calibri" w:cs="Calibri"/>
          <w:bCs/>
          <w:sz w:val="22"/>
          <w:szCs w:val="22"/>
        </w:rPr>
      </w:pPr>
      <w:r w:rsidRPr="00503E1D">
        <w:rPr>
          <w:rFonts w:ascii="Calibri" w:hAnsi="Calibri" w:cs="Calibri"/>
          <w:bCs/>
          <w:sz w:val="22"/>
          <w:szCs w:val="22"/>
        </w:rPr>
        <w:t>BANK OF ISRAEL</w:t>
      </w:r>
    </w:p>
    <w:p w14:paraId="18317632" w14:textId="77777777" w:rsidR="00503E1D" w:rsidRPr="00503E1D" w:rsidRDefault="00503E1D" w:rsidP="00503E1D">
      <w:pPr>
        <w:pStyle w:val="regpar"/>
        <w:spacing w:line="300" w:lineRule="atLeast"/>
        <w:ind w:firstLine="0"/>
        <w:jc w:val="center"/>
        <w:rPr>
          <w:rFonts w:ascii="Calibri" w:hAnsi="Calibri" w:cs="Calibri"/>
          <w:sz w:val="22"/>
          <w:szCs w:val="22"/>
        </w:rPr>
      </w:pPr>
      <w:r w:rsidRPr="00503E1D">
        <w:rPr>
          <w:rFonts w:ascii="Calibri" w:hAnsi="Calibri" w:cs="Calibri"/>
          <w:sz w:val="22"/>
          <w:szCs w:val="22"/>
        </w:rPr>
        <w:t>Office of the Spokesperson and Economic Information</w:t>
      </w:r>
    </w:p>
    <w:p w14:paraId="3C901A5B" w14:textId="77777777" w:rsidR="00503E1D" w:rsidRPr="00503E1D" w:rsidRDefault="00503E1D" w:rsidP="00503E1D">
      <w:pPr>
        <w:pStyle w:val="regpar"/>
        <w:spacing w:line="300" w:lineRule="atLeast"/>
        <w:ind w:firstLine="0"/>
        <w:jc w:val="center"/>
        <w:rPr>
          <w:rFonts w:ascii="Calibri" w:hAnsi="Calibri" w:cs="Calibri"/>
          <w:sz w:val="22"/>
          <w:szCs w:val="22"/>
        </w:rPr>
      </w:pPr>
    </w:p>
    <w:p w14:paraId="372E0F01" w14:textId="77777777" w:rsidR="00503E1D" w:rsidRPr="00503E1D" w:rsidRDefault="00503E1D" w:rsidP="00503E1D">
      <w:pPr>
        <w:pStyle w:val="regpar"/>
        <w:spacing w:line="300" w:lineRule="atLeast"/>
        <w:ind w:firstLine="0"/>
        <w:jc w:val="center"/>
        <w:rPr>
          <w:rFonts w:ascii="Calibri" w:hAnsi="Calibri" w:cs="Calibri"/>
          <w:b/>
          <w:sz w:val="22"/>
          <w:szCs w:val="22"/>
        </w:rPr>
      </w:pPr>
    </w:p>
    <w:p w14:paraId="7D0276CC" w14:textId="4CFD9CF0" w:rsidR="00503E1D" w:rsidRPr="00503E1D" w:rsidRDefault="00503E1D" w:rsidP="00503E1D">
      <w:pPr>
        <w:pStyle w:val="regpar"/>
        <w:jc w:val="right"/>
        <w:rPr>
          <w:rFonts w:ascii="Calibri" w:hAnsi="Calibri" w:cs="Calibri"/>
          <w:sz w:val="22"/>
          <w:szCs w:val="22"/>
        </w:rPr>
      </w:pPr>
      <w:r w:rsidRPr="00503E1D">
        <w:rPr>
          <w:rFonts w:ascii="Calibri" w:hAnsi="Calibri" w:cs="Calibri"/>
          <w:sz w:val="22"/>
          <w:szCs w:val="22"/>
        </w:rPr>
        <w:t xml:space="preserve">March </w:t>
      </w:r>
      <w:r w:rsidRPr="00503E1D">
        <w:rPr>
          <w:rFonts w:ascii="Calibri" w:hAnsi="Calibri" w:cs="Calibri"/>
          <w:sz w:val="22"/>
          <w:szCs w:val="22"/>
        </w:rPr>
        <w:t>25</w:t>
      </w:r>
      <w:r w:rsidRPr="00503E1D">
        <w:rPr>
          <w:rFonts w:ascii="Calibri" w:hAnsi="Calibri" w:cs="Calibri"/>
          <w:sz w:val="22"/>
          <w:szCs w:val="22"/>
        </w:rPr>
        <w:t>, 2025</w:t>
      </w:r>
    </w:p>
    <w:p w14:paraId="41ACB083" w14:textId="77777777" w:rsidR="00883627" w:rsidRPr="00503E1D" w:rsidRDefault="00883627" w:rsidP="0094738B">
      <w:pPr>
        <w:pStyle w:val="PressReleaseTitle"/>
        <w:rPr>
          <w:rFonts w:ascii="Calibri" w:hAnsi="Calibri" w:cs="Calibri"/>
        </w:rPr>
      </w:pPr>
    </w:p>
    <w:p w14:paraId="18FC746C" w14:textId="77777777" w:rsidR="00CB5D78" w:rsidRPr="00503E1D" w:rsidRDefault="00CB5D78" w:rsidP="00503E1D">
      <w:pPr>
        <w:pStyle w:val="PressReleaseTitle"/>
        <w:jc w:val="left"/>
        <w:rPr>
          <w:rFonts w:ascii="Calibri" w:hAnsi="Calibri" w:cs="Calibri"/>
          <w:sz w:val="24"/>
          <w:szCs w:val="24"/>
        </w:rPr>
      </w:pPr>
      <w:r w:rsidRPr="00503E1D">
        <w:rPr>
          <w:rFonts w:ascii="Calibri" w:hAnsi="Calibri" w:cs="Calibri"/>
          <w:sz w:val="24"/>
          <w:szCs w:val="24"/>
        </w:rPr>
        <w:t>Press Release</w:t>
      </w:r>
      <w:r w:rsidR="00986490" w:rsidRPr="00503E1D">
        <w:rPr>
          <w:rFonts w:ascii="Calibri" w:hAnsi="Calibri" w:cs="Calibri"/>
          <w:sz w:val="24"/>
          <w:szCs w:val="24"/>
        </w:rPr>
        <w:t>:</w:t>
      </w:r>
    </w:p>
    <w:p w14:paraId="280B1D1E" w14:textId="77777777" w:rsidR="0094738B" w:rsidRPr="00503E1D" w:rsidRDefault="0094738B" w:rsidP="0094738B">
      <w:pPr>
        <w:pStyle w:val="PressReleaseTitle"/>
        <w:rPr>
          <w:rFonts w:ascii="Calibri" w:hAnsi="Calibri" w:cs="Calibri"/>
          <w:sz w:val="24"/>
          <w:szCs w:val="24"/>
        </w:rPr>
      </w:pPr>
    </w:p>
    <w:p w14:paraId="4678DD15" w14:textId="57443CB9" w:rsidR="0094738B" w:rsidRPr="00503E1D" w:rsidRDefault="00DD15DC" w:rsidP="00503E1D">
      <w:pPr>
        <w:pStyle w:val="PressReleaseTitle"/>
        <w:rPr>
          <w:rFonts w:ascii="Calibri" w:hAnsi="Calibri" w:cs="Calibri"/>
          <w:sz w:val="28"/>
          <w:szCs w:val="28"/>
        </w:rPr>
      </w:pPr>
      <w:bookmarkStart w:id="0" w:name="_GoBack"/>
      <w:r w:rsidRPr="00503E1D">
        <w:rPr>
          <w:rFonts w:ascii="Calibri" w:hAnsi="Calibri" w:cs="Calibri"/>
          <w:sz w:val="28"/>
          <w:szCs w:val="28"/>
        </w:rPr>
        <w:t xml:space="preserve">Israel’s International Investment Position (IIP), </w:t>
      </w:r>
      <w:r w:rsidR="00AD4944" w:rsidRPr="00503E1D">
        <w:rPr>
          <w:rFonts w:ascii="Calibri" w:hAnsi="Calibri" w:cs="Calibri"/>
          <w:sz w:val="28"/>
          <w:szCs w:val="28"/>
        </w:rPr>
        <w:t>fourth</w:t>
      </w:r>
      <w:r w:rsidR="007A6A15" w:rsidRPr="00503E1D">
        <w:rPr>
          <w:rFonts w:ascii="Calibri" w:hAnsi="Calibri" w:cs="Calibri"/>
          <w:sz w:val="28"/>
          <w:szCs w:val="28"/>
        </w:rPr>
        <w:t xml:space="preserve"> quarter</w:t>
      </w:r>
      <w:r w:rsidR="00FB646A" w:rsidRPr="00503E1D">
        <w:rPr>
          <w:rFonts w:ascii="Calibri" w:hAnsi="Calibri" w:cs="Calibri"/>
          <w:sz w:val="28"/>
          <w:szCs w:val="28"/>
        </w:rPr>
        <w:t xml:space="preserve"> </w:t>
      </w:r>
      <w:r w:rsidR="000C6D17" w:rsidRPr="00503E1D">
        <w:rPr>
          <w:rFonts w:ascii="Calibri" w:hAnsi="Calibri" w:cs="Calibri"/>
          <w:sz w:val="28"/>
          <w:szCs w:val="28"/>
        </w:rPr>
        <w:t xml:space="preserve">of </w:t>
      </w:r>
      <w:r w:rsidR="00510B33" w:rsidRPr="00503E1D">
        <w:rPr>
          <w:rFonts w:ascii="Calibri" w:hAnsi="Calibri" w:cs="Calibri"/>
          <w:sz w:val="28"/>
          <w:szCs w:val="28"/>
        </w:rPr>
        <w:t>202</w:t>
      </w:r>
      <w:r w:rsidR="006965D0" w:rsidRPr="00503E1D">
        <w:rPr>
          <w:rFonts w:ascii="Calibri" w:hAnsi="Calibri" w:cs="Calibri"/>
          <w:sz w:val="28"/>
          <w:szCs w:val="28"/>
        </w:rPr>
        <w:t>4</w:t>
      </w:r>
    </w:p>
    <w:bookmarkEnd w:id="0"/>
    <w:p w14:paraId="25C639C9" w14:textId="77777777" w:rsidR="00DD15DC" w:rsidRPr="00503E1D" w:rsidRDefault="00DD15DC" w:rsidP="00DD15DC">
      <w:pPr>
        <w:pStyle w:val="regpar"/>
        <w:jc w:val="center"/>
        <w:outlineLvl w:val="0"/>
        <w:rPr>
          <w:rFonts w:ascii="Calibri" w:hAnsi="Calibri" w:cs="Calibri"/>
          <w:sz w:val="22"/>
        </w:rPr>
      </w:pPr>
    </w:p>
    <w:p w14:paraId="5E752E3E" w14:textId="13CD4CF6" w:rsidR="00AD4944" w:rsidRPr="00503E1D" w:rsidRDefault="00926D84" w:rsidP="00AD4944">
      <w:pPr>
        <w:pStyle w:val="regpar"/>
        <w:numPr>
          <w:ilvl w:val="0"/>
          <w:numId w:val="2"/>
        </w:numPr>
        <w:tabs>
          <w:tab w:val="clear" w:pos="720"/>
          <w:tab w:val="num" w:pos="360"/>
        </w:tabs>
        <w:ind w:left="360"/>
        <w:rPr>
          <w:rFonts w:ascii="Calibri" w:hAnsi="Calibri" w:cs="Calibri"/>
          <w:b/>
          <w:bCs/>
        </w:rPr>
      </w:pPr>
      <w:r w:rsidRPr="00503E1D">
        <w:rPr>
          <w:rFonts w:ascii="Calibri" w:hAnsi="Calibri" w:cs="Calibri"/>
          <w:b/>
          <w:bCs/>
        </w:rPr>
        <w:t>Outstanding liabilities to abroad</w:t>
      </w:r>
      <w:r w:rsidR="002C518C" w:rsidRPr="00503E1D">
        <w:rPr>
          <w:rFonts w:ascii="Calibri" w:hAnsi="Calibri" w:cs="Calibri"/>
          <w:b/>
          <w:bCs/>
        </w:rPr>
        <w:t xml:space="preserve"> </w:t>
      </w:r>
      <w:proofErr w:type="gramStart"/>
      <w:r w:rsidR="007A6A15" w:rsidRPr="00503E1D">
        <w:rPr>
          <w:rFonts w:ascii="Calibri" w:hAnsi="Calibri" w:cs="Calibri"/>
          <w:b/>
          <w:bCs/>
        </w:rPr>
        <w:t>increased</w:t>
      </w:r>
      <w:proofErr w:type="gramEnd"/>
      <w:r w:rsidR="00C71834" w:rsidRPr="00503E1D">
        <w:rPr>
          <w:rFonts w:ascii="Calibri" w:hAnsi="Calibri" w:cs="Calibri"/>
          <w:b/>
          <w:bCs/>
        </w:rPr>
        <w:t xml:space="preserve"> </w:t>
      </w:r>
      <w:r w:rsidRPr="00503E1D">
        <w:rPr>
          <w:rFonts w:ascii="Calibri" w:hAnsi="Calibri" w:cs="Calibri"/>
          <w:b/>
          <w:bCs/>
        </w:rPr>
        <w:t xml:space="preserve">by </w:t>
      </w:r>
      <w:r w:rsidR="009A3450" w:rsidRPr="00503E1D">
        <w:rPr>
          <w:rFonts w:ascii="Calibri" w:hAnsi="Calibri" w:cs="Calibri"/>
          <w:b/>
          <w:bCs/>
        </w:rPr>
        <w:t>approximately $</w:t>
      </w:r>
      <w:r w:rsidR="007A6A15" w:rsidRPr="00503E1D">
        <w:rPr>
          <w:rFonts w:ascii="Calibri" w:hAnsi="Calibri" w:cs="Calibri"/>
          <w:b/>
          <w:bCs/>
        </w:rPr>
        <w:t>2</w:t>
      </w:r>
      <w:r w:rsidR="00AD4944" w:rsidRPr="00503E1D">
        <w:rPr>
          <w:rFonts w:ascii="Calibri" w:hAnsi="Calibri" w:cs="Calibri"/>
          <w:b/>
          <w:bCs/>
        </w:rPr>
        <w:t>7</w:t>
      </w:r>
      <w:r w:rsidR="007A6A15" w:rsidRPr="00503E1D">
        <w:rPr>
          <w:rFonts w:ascii="Calibri" w:hAnsi="Calibri" w:cs="Calibri"/>
          <w:b/>
          <w:bCs/>
        </w:rPr>
        <w:t>.</w:t>
      </w:r>
      <w:r w:rsidR="00AD4944" w:rsidRPr="00503E1D">
        <w:rPr>
          <w:rFonts w:ascii="Calibri" w:hAnsi="Calibri" w:cs="Calibri"/>
          <w:b/>
          <w:bCs/>
        </w:rPr>
        <w:t>5</w:t>
      </w:r>
      <w:r w:rsidR="006D4D61" w:rsidRPr="00503E1D">
        <w:rPr>
          <w:rFonts w:ascii="Calibri" w:hAnsi="Calibri" w:cs="Calibri"/>
          <w:b/>
          <w:bCs/>
        </w:rPr>
        <w:t xml:space="preserve"> </w:t>
      </w:r>
      <w:r w:rsidR="009A3450" w:rsidRPr="00503E1D">
        <w:rPr>
          <w:rFonts w:ascii="Calibri" w:hAnsi="Calibri" w:cs="Calibri"/>
          <w:b/>
          <w:bCs/>
        </w:rPr>
        <w:t>billion (</w:t>
      </w:r>
      <w:r w:rsidR="00D16998" w:rsidRPr="00503E1D">
        <w:rPr>
          <w:rFonts w:ascii="Calibri" w:hAnsi="Calibri" w:cs="Calibri"/>
          <w:b/>
          <w:bCs/>
        </w:rPr>
        <w:t xml:space="preserve">about </w:t>
      </w:r>
      <w:r w:rsidR="007A6A15" w:rsidRPr="00503E1D">
        <w:rPr>
          <w:rFonts w:ascii="Calibri" w:hAnsi="Calibri" w:cs="Calibri"/>
          <w:b/>
          <w:bCs/>
        </w:rPr>
        <w:t>5</w:t>
      </w:r>
      <w:r w:rsidR="00AD4944" w:rsidRPr="00503E1D">
        <w:rPr>
          <w:rFonts w:ascii="Calibri" w:hAnsi="Calibri" w:cs="Calibri"/>
          <w:b/>
          <w:bCs/>
        </w:rPr>
        <w:t>.2</w:t>
      </w:r>
      <w:r w:rsidR="006D4D61" w:rsidRPr="00503E1D">
        <w:rPr>
          <w:rFonts w:ascii="Calibri" w:hAnsi="Calibri" w:cs="Calibri"/>
          <w:b/>
          <w:bCs/>
        </w:rPr>
        <w:t xml:space="preserve"> </w:t>
      </w:r>
      <w:r w:rsidR="009A3450" w:rsidRPr="00503E1D">
        <w:rPr>
          <w:rFonts w:ascii="Calibri" w:hAnsi="Calibri" w:cs="Calibri"/>
          <w:b/>
          <w:bCs/>
        </w:rPr>
        <w:t>percent)</w:t>
      </w:r>
      <w:r w:rsidR="000027EA" w:rsidRPr="00503E1D">
        <w:rPr>
          <w:rFonts w:ascii="Calibri" w:hAnsi="Calibri" w:cs="Calibri"/>
          <w:b/>
          <w:bCs/>
        </w:rPr>
        <w:t xml:space="preserve"> in the </w:t>
      </w:r>
      <w:r w:rsidR="00AD4944" w:rsidRPr="00503E1D">
        <w:rPr>
          <w:rFonts w:ascii="Calibri" w:hAnsi="Calibri" w:cs="Calibri"/>
          <w:b/>
          <w:bCs/>
        </w:rPr>
        <w:t>fourth</w:t>
      </w:r>
      <w:r w:rsidR="007A6A15" w:rsidRPr="00503E1D">
        <w:rPr>
          <w:rFonts w:ascii="Calibri" w:hAnsi="Calibri" w:cs="Calibri"/>
          <w:b/>
          <w:bCs/>
        </w:rPr>
        <w:t xml:space="preserve"> quarter</w:t>
      </w:r>
      <w:r w:rsidR="00E074A9" w:rsidRPr="00503E1D">
        <w:rPr>
          <w:rFonts w:ascii="Calibri" w:hAnsi="Calibri" w:cs="Calibri"/>
          <w:b/>
          <w:bCs/>
        </w:rPr>
        <w:t>, to about $</w:t>
      </w:r>
      <w:r w:rsidR="00AD4944" w:rsidRPr="00503E1D">
        <w:rPr>
          <w:rFonts w:ascii="Calibri" w:hAnsi="Calibri" w:cs="Calibri"/>
          <w:b/>
          <w:bCs/>
        </w:rPr>
        <w:t xml:space="preserve">554 </w:t>
      </w:r>
      <w:r w:rsidR="00E074A9" w:rsidRPr="00503E1D">
        <w:rPr>
          <w:rFonts w:ascii="Calibri" w:hAnsi="Calibri" w:cs="Calibri"/>
          <w:b/>
          <w:bCs/>
        </w:rPr>
        <w:t xml:space="preserve">billion at the end of </w:t>
      </w:r>
      <w:r w:rsidR="006B0FD9" w:rsidRPr="00503E1D">
        <w:rPr>
          <w:rFonts w:ascii="Calibri" w:hAnsi="Calibri" w:cs="Calibri"/>
          <w:b/>
          <w:bCs/>
        </w:rPr>
        <w:t>the quarter</w:t>
      </w:r>
      <w:r w:rsidR="0043764C" w:rsidRPr="00503E1D">
        <w:rPr>
          <w:rFonts w:ascii="Calibri" w:hAnsi="Calibri" w:cs="Calibri"/>
          <w:b/>
          <w:bCs/>
        </w:rPr>
        <w:t>.</w:t>
      </w:r>
      <w:r w:rsidR="006B0FD9" w:rsidRPr="00503E1D">
        <w:rPr>
          <w:rFonts w:ascii="Calibri" w:hAnsi="Calibri" w:cs="Calibri"/>
          <w:b/>
          <w:bCs/>
        </w:rPr>
        <w:t xml:space="preserve"> </w:t>
      </w:r>
      <w:r w:rsidR="00404DAF" w:rsidRPr="00503E1D">
        <w:rPr>
          <w:rFonts w:ascii="Calibri" w:hAnsi="Calibri" w:cs="Calibri"/>
          <w:b/>
          <w:bCs/>
        </w:rPr>
        <w:t>T</w:t>
      </w:r>
      <w:r w:rsidR="001743E0" w:rsidRPr="00503E1D">
        <w:rPr>
          <w:rFonts w:ascii="Calibri" w:hAnsi="Calibri" w:cs="Calibri"/>
          <w:b/>
          <w:bCs/>
        </w:rPr>
        <w:t xml:space="preserve">he </w:t>
      </w:r>
      <w:r w:rsidR="007A6A15" w:rsidRPr="00503E1D">
        <w:rPr>
          <w:rFonts w:ascii="Calibri" w:hAnsi="Calibri" w:cs="Calibri"/>
          <w:b/>
          <w:bCs/>
        </w:rPr>
        <w:t>increase</w:t>
      </w:r>
      <w:r w:rsidR="00D2632C" w:rsidRPr="00503E1D">
        <w:rPr>
          <w:rFonts w:ascii="Calibri" w:hAnsi="Calibri" w:cs="Calibri"/>
          <w:b/>
          <w:bCs/>
        </w:rPr>
        <w:t xml:space="preserve"> was </w:t>
      </w:r>
      <w:r w:rsidR="00404DAF" w:rsidRPr="00503E1D">
        <w:rPr>
          <w:rFonts w:ascii="Calibri" w:hAnsi="Calibri" w:cs="Calibri"/>
          <w:b/>
          <w:bCs/>
        </w:rPr>
        <w:t xml:space="preserve">primarily </w:t>
      </w:r>
      <w:r w:rsidR="00D2632C" w:rsidRPr="00503E1D">
        <w:rPr>
          <w:rFonts w:ascii="Calibri" w:hAnsi="Calibri" w:cs="Calibri"/>
          <w:b/>
          <w:bCs/>
        </w:rPr>
        <w:t xml:space="preserve">due to </w:t>
      </w:r>
      <w:r w:rsidR="007A6A15" w:rsidRPr="00503E1D">
        <w:rPr>
          <w:rFonts w:ascii="Calibri" w:hAnsi="Calibri" w:cs="Calibri"/>
          <w:b/>
          <w:bCs/>
        </w:rPr>
        <w:t xml:space="preserve">a combination of </w:t>
      </w:r>
      <w:r w:rsidR="00E729C4" w:rsidRPr="00503E1D">
        <w:rPr>
          <w:rFonts w:ascii="Calibri" w:hAnsi="Calibri" w:cs="Calibri"/>
          <w:b/>
          <w:bCs/>
        </w:rPr>
        <w:t>a</w:t>
      </w:r>
      <w:r w:rsidR="007A6A15" w:rsidRPr="00503E1D">
        <w:rPr>
          <w:rFonts w:ascii="Calibri" w:hAnsi="Calibri" w:cs="Calibri"/>
          <w:b/>
          <w:bCs/>
        </w:rPr>
        <w:t>n</w:t>
      </w:r>
      <w:r w:rsidR="00E729C4" w:rsidRPr="00503E1D">
        <w:rPr>
          <w:rFonts w:ascii="Calibri" w:hAnsi="Calibri" w:cs="Calibri"/>
          <w:b/>
          <w:bCs/>
        </w:rPr>
        <w:t xml:space="preserve"> </w:t>
      </w:r>
      <w:r w:rsidR="007A6A15" w:rsidRPr="00503E1D">
        <w:rPr>
          <w:rFonts w:ascii="Calibri" w:hAnsi="Calibri" w:cs="Calibri"/>
          <w:b/>
          <w:bCs/>
        </w:rPr>
        <w:t>increase</w:t>
      </w:r>
      <w:r w:rsidR="006D4D61" w:rsidRPr="00503E1D">
        <w:rPr>
          <w:rFonts w:ascii="Calibri" w:hAnsi="Calibri" w:cs="Calibri"/>
          <w:b/>
          <w:bCs/>
        </w:rPr>
        <w:t xml:space="preserve"> in the prices of Israeli securities held by nonresidents</w:t>
      </w:r>
      <w:r w:rsidR="007A6A15" w:rsidRPr="00503E1D">
        <w:rPr>
          <w:rFonts w:ascii="Calibri" w:hAnsi="Calibri" w:cs="Calibri"/>
          <w:b/>
          <w:bCs/>
        </w:rPr>
        <w:t xml:space="preserve"> and the </w:t>
      </w:r>
      <w:r w:rsidR="00AD4944" w:rsidRPr="00503E1D">
        <w:rPr>
          <w:rFonts w:ascii="Calibri" w:hAnsi="Calibri" w:cs="Calibri"/>
          <w:b/>
          <w:bCs/>
        </w:rPr>
        <w:t xml:space="preserve">continued </w:t>
      </w:r>
      <w:r w:rsidR="007A6A15" w:rsidRPr="00503E1D">
        <w:rPr>
          <w:rFonts w:ascii="Calibri" w:hAnsi="Calibri" w:cs="Calibri"/>
          <w:b/>
          <w:bCs/>
        </w:rPr>
        <w:t>flow of net investments in Israel by nonresidents</w:t>
      </w:r>
      <w:r w:rsidR="00C60E39" w:rsidRPr="00503E1D">
        <w:rPr>
          <w:rFonts w:ascii="Calibri" w:hAnsi="Calibri" w:cs="Calibri"/>
          <w:b/>
          <w:bCs/>
        </w:rPr>
        <w:t>.</w:t>
      </w:r>
      <w:r w:rsidR="00FE372D" w:rsidRPr="00503E1D">
        <w:rPr>
          <w:rFonts w:ascii="Calibri" w:hAnsi="Calibri" w:cs="Calibri"/>
          <w:b/>
          <w:bCs/>
        </w:rPr>
        <w:t xml:space="preserve"> </w:t>
      </w:r>
    </w:p>
    <w:p w14:paraId="4F9344EA" w14:textId="474BBA9A" w:rsidR="00AD4944" w:rsidRPr="00503E1D" w:rsidRDefault="00AD4944" w:rsidP="00FE372D">
      <w:pPr>
        <w:pStyle w:val="regpar"/>
        <w:numPr>
          <w:ilvl w:val="0"/>
          <w:numId w:val="2"/>
        </w:numPr>
        <w:tabs>
          <w:tab w:val="clear" w:pos="720"/>
          <w:tab w:val="num" w:pos="360"/>
        </w:tabs>
        <w:ind w:left="360"/>
        <w:rPr>
          <w:rFonts w:ascii="Calibri" w:hAnsi="Calibri" w:cs="Calibri"/>
          <w:b/>
          <w:bCs/>
        </w:rPr>
      </w:pPr>
      <w:r w:rsidRPr="00503E1D">
        <w:rPr>
          <w:rFonts w:ascii="Calibri" w:hAnsi="Calibri" w:cs="Calibri"/>
          <w:b/>
          <w:bCs/>
        </w:rPr>
        <w:t>In the fourth quarter of 2024, the balance of assets held abroad by Israeli residents increased by approximately</w:t>
      </w:r>
      <w:r w:rsidR="00FE372D" w:rsidRPr="00503E1D">
        <w:rPr>
          <w:rFonts w:ascii="Calibri" w:hAnsi="Calibri" w:cs="Calibri"/>
          <w:b/>
          <w:bCs/>
        </w:rPr>
        <w:t xml:space="preserve"> only </w:t>
      </w:r>
      <w:r w:rsidRPr="00503E1D">
        <w:rPr>
          <w:rFonts w:ascii="Calibri" w:hAnsi="Calibri" w:cs="Calibri"/>
          <w:b/>
          <w:bCs/>
        </w:rPr>
        <w:t>$2.8 billion (about 0.4 percent), to about $774 billion at the end of December. The increase was mainly due to net investments abroad by Israeli residents and an increase in the prices of foreign securities held by Israeli residents.</w:t>
      </w:r>
    </w:p>
    <w:p w14:paraId="3638DC58" w14:textId="3F4351BF" w:rsidR="00DD15DC" w:rsidRPr="00503E1D" w:rsidRDefault="00173F17" w:rsidP="00163004">
      <w:pPr>
        <w:pStyle w:val="regpar"/>
        <w:numPr>
          <w:ilvl w:val="0"/>
          <w:numId w:val="2"/>
        </w:numPr>
        <w:tabs>
          <w:tab w:val="clear" w:pos="720"/>
          <w:tab w:val="num" w:pos="360"/>
        </w:tabs>
        <w:ind w:left="360"/>
        <w:rPr>
          <w:rFonts w:ascii="Calibri" w:hAnsi="Calibri" w:cs="Calibri"/>
          <w:b/>
          <w:bCs/>
        </w:rPr>
      </w:pPr>
      <w:r w:rsidRPr="00503E1D">
        <w:rPr>
          <w:rFonts w:ascii="Calibri" w:hAnsi="Calibri" w:cs="Calibri"/>
          <w:b/>
          <w:bCs/>
        </w:rPr>
        <w:t>Israel</w:t>
      </w:r>
      <w:r w:rsidR="001D53BC" w:rsidRPr="00503E1D">
        <w:rPr>
          <w:rFonts w:ascii="Calibri" w:hAnsi="Calibri" w:cs="Calibri"/>
          <w:b/>
          <w:bCs/>
        </w:rPr>
        <w:t>’s s</w:t>
      </w:r>
      <w:r w:rsidRPr="00503E1D">
        <w:rPr>
          <w:rFonts w:ascii="Calibri" w:hAnsi="Calibri" w:cs="Calibri"/>
          <w:b/>
          <w:bCs/>
        </w:rPr>
        <w:t xml:space="preserve">urplus of assets over liabilities vis-à-vis abroad </w:t>
      </w:r>
      <w:r w:rsidR="00163004" w:rsidRPr="00503E1D">
        <w:rPr>
          <w:rFonts w:ascii="Calibri" w:hAnsi="Calibri" w:cs="Calibri"/>
          <w:b/>
          <w:bCs/>
        </w:rPr>
        <w:t>de</w:t>
      </w:r>
      <w:r w:rsidR="006642F9" w:rsidRPr="00503E1D">
        <w:rPr>
          <w:rFonts w:ascii="Calibri" w:hAnsi="Calibri" w:cs="Calibri"/>
          <w:b/>
          <w:bCs/>
        </w:rPr>
        <w:t xml:space="preserve">creased </w:t>
      </w:r>
      <w:r w:rsidR="00526B66" w:rsidRPr="00503E1D">
        <w:rPr>
          <w:rFonts w:ascii="Calibri" w:hAnsi="Calibri" w:cs="Calibri"/>
          <w:b/>
          <w:bCs/>
        </w:rPr>
        <w:t>by approximately $</w:t>
      </w:r>
      <w:r w:rsidR="00163004" w:rsidRPr="00503E1D">
        <w:rPr>
          <w:rFonts w:ascii="Calibri" w:hAnsi="Calibri" w:cs="Calibri"/>
          <w:b/>
          <w:bCs/>
        </w:rPr>
        <w:t xml:space="preserve">25 </w:t>
      </w:r>
      <w:r w:rsidR="00526B66" w:rsidRPr="00503E1D">
        <w:rPr>
          <w:rFonts w:ascii="Calibri" w:hAnsi="Calibri" w:cs="Calibri"/>
          <w:b/>
          <w:bCs/>
        </w:rPr>
        <w:t>billion (</w:t>
      </w:r>
      <w:r w:rsidR="00163004" w:rsidRPr="00503E1D">
        <w:rPr>
          <w:rFonts w:ascii="Calibri" w:hAnsi="Calibri" w:cs="Calibri"/>
          <w:b/>
          <w:bCs/>
        </w:rPr>
        <w:t xml:space="preserve">10 </w:t>
      </w:r>
      <w:r w:rsidR="00526B66" w:rsidRPr="00503E1D">
        <w:rPr>
          <w:rFonts w:ascii="Calibri" w:hAnsi="Calibri" w:cs="Calibri"/>
          <w:b/>
          <w:bCs/>
        </w:rPr>
        <w:t>percent)</w:t>
      </w:r>
      <w:r w:rsidR="000027EA" w:rsidRPr="00503E1D">
        <w:rPr>
          <w:rFonts w:ascii="Calibri" w:hAnsi="Calibri" w:cs="Calibri"/>
          <w:b/>
          <w:bCs/>
        </w:rPr>
        <w:t xml:space="preserve"> in the </w:t>
      </w:r>
      <w:r w:rsidR="00AD4944" w:rsidRPr="00503E1D">
        <w:rPr>
          <w:rFonts w:ascii="Calibri" w:hAnsi="Calibri" w:cs="Calibri"/>
          <w:b/>
          <w:bCs/>
        </w:rPr>
        <w:t>fourth</w:t>
      </w:r>
      <w:r w:rsidR="007A6A15" w:rsidRPr="00503E1D">
        <w:rPr>
          <w:rFonts w:ascii="Calibri" w:hAnsi="Calibri" w:cs="Calibri"/>
          <w:b/>
          <w:bCs/>
        </w:rPr>
        <w:t xml:space="preserve"> quarter</w:t>
      </w:r>
      <w:r w:rsidRPr="00503E1D">
        <w:rPr>
          <w:rFonts w:ascii="Calibri" w:hAnsi="Calibri" w:cs="Calibri"/>
          <w:b/>
          <w:bCs/>
        </w:rPr>
        <w:t>, to about $</w:t>
      </w:r>
      <w:r w:rsidR="00163004" w:rsidRPr="00503E1D">
        <w:rPr>
          <w:rFonts w:ascii="Calibri" w:hAnsi="Calibri" w:cs="Calibri"/>
          <w:b/>
          <w:bCs/>
        </w:rPr>
        <w:t xml:space="preserve">220 </w:t>
      </w:r>
      <w:r w:rsidRPr="00503E1D">
        <w:rPr>
          <w:rFonts w:ascii="Calibri" w:hAnsi="Calibri" w:cs="Calibri"/>
          <w:b/>
          <w:bCs/>
        </w:rPr>
        <w:t xml:space="preserve">billion at the end of </w:t>
      </w:r>
      <w:r w:rsidR="006A15B1" w:rsidRPr="00503E1D">
        <w:rPr>
          <w:rFonts w:ascii="Calibri" w:hAnsi="Calibri" w:cs="Calibri"/>
          <w:b/>
          <w:bCs/>
        </w:rPr>
        <w:t>the quarter</w:t>
      </w:r>
      <w:r w:rsidR="00404DAF" w:rsidRPr="00503E1D">
        <w:rPr>
          <w:rFonts w:ascii="Calibri" w:hAnsi="Calibri" w:cs="Calibri"/>
          <w:b/>
          <w:bCs/>
        </w:rPr>
        <w:t>.</w:t>
      </w:r>
      <w:r w:rsidR="001D407E" w:rsidRPr="00503E1D">
        <w:rPr>
          <w:rFonts w:ascii="Calibri" w:hAnsi="Calibri" w:cs="Calibri"/>
          <w:b/>
          <w:bCs/>
        </w:rPr>
        <w:t xml:space="preserve"> </w:t>
      </w:r>
    </w:p>
    <w:p w14:paraId="3E69F270" w14:textId="5D32D711" w:rsidR="00200E59" w:rsidRPr="00503E1D" w:rsidRDefault="00200E59" w:rsidP="00163004">
      <w:pPr>
        <w:pStyle w:val="regpar"/>
        <w:numPr>
          <w:ilvl w:val="0"/>
          <w:numId w:val="2"/>
        </w:numPr>
        <w:tabs>
          <w:tab w:val="clear" w:pos="720"/>
          <w:tab w:val="num" w:pos="360"/>
        </w:tabs>
        <w:ind w:left="360"/>
        <w:rPr>
          <w:rFonts w:ascii="Calibri" w:hAnsi="Calibri" w:cs="Calibri"/>
          <w:b/>
          <w:bCs/>
        </w:rPr>
      </w:pPr>
      <w:r w:rsidRPr="00503E1D">
        <w:rPr>
          <w:rFonts w:ascii="Calibri" w:hAnsi="Calibri" w:cs="Calibri"/>
          <w:b/>
          <w:bCs/>
        </w:rPr>
        <w:t xml:space="preserve">The surplus of assets over liabilities vis-à-vis abroad in debt instruments alone (negative net external debt) </w:t>
      </w:r>
      <w:r w:rsidR="00163004" w:rsidRPr="00503E1D">
        <w:rPr>
          <w:rFonts w:ascii="Calibri" w:hAnsi="Calibri" w:cs="Calibri"/>
          <w:b/>
          <w:bCs/>
        </w:rPr>
        <w:t>de</w:t>
      </w:r>
      <w:r w:rsidR="008E329E" w:rsidRPr="00503E1D">
        <w:rPr>
          <w:rFonts w:ascii="Calibri" w:hAnsi="Calibri" w:cs="Calibri"/>
          <w:b/>
          <w:bCs/>
        </w:rPr>
        <w:t xml:space="preserve">creased </w:t>
      </w:r>
      <w:r w:rsidR="00387365" w:rsidRPr="00503E1D">
        <w:rPr>
          <w:rFonts w:ascii="Calibri" w:hAnsi="Calibri" w:cs="Calibri"/>
          <w:b/>
          <w:bCs/>
        </w:rPr>
        <w:t>by about $</w:t>
      </w:r>
      <w:r w:rsidR="007A6A15" w:rsidRPr="00503E1D">
        <w:rPr>
          <w:rFonts w:ascii="Calibri" w:hAnsi="Calibri" w:cs="Calibri"/>
          <w:b/>
          <w:bCs/>
        </w:rPr>
        <w:t>6</w:t>
      </w:r>
      <w:r w:rsidR="008E329E" w:rsidRPr="00503E1D">
        <w:rPr>
          <w:rFonts w:ascii="Calibri" w:hAnsi="Calibri" w:cs="Calibri"/>
          <w:b/>
          <w:bCs/>
        </w:rPr>
        <w:t xml:space="preserve"> </w:t>
      </w:r>
      <w:r w:rsidR="00387365" w:rsidRPr="00503E1D">
        <w:rPr>
          <w:rFonts w:ascii="Calibri" w:hAnsi="Calibri" w:cs="Calibri"/>
          <w:b/>
          <w:bCs/>
        </w:rPr>
        <w:t>billion (</w:t>
      </w:r>
      <w:r w:rsidR="00163004" w:rsidRPr="00503E1D">
        <w:rPr>
          <w:rFonts w:ascii="Calibri" w:hAnsi="Calibri" w:cs="Calibri"/>
          <w:b/>
          <w:bCs/>
        </w:rPr>
        <w:t xml:space="preserve">2.2 </w:t>
      </w:r>
      <w:r w:rsidR="00387365" w:rsidRPr="00503E1D">
        <w:rPr>
          <w:rFonts w:ascii="Calibri" w:hAnsi="Calibri" w:cs="Calibri"/>
          <w:b/>
          <w:bCs/>
        </w:rPr>
        <w:t>percent)</w:t>
      </w:r>
      <w:r w:rsidR="000027EA" w:rsidRPr="00503E1D">
        <w:rPr>
          <w:rFonts w:ascii="Calibri" w:hAnsi="Calibri" w:cs="Calibri"/>
          <w:b/>
          <w:bCs/>
        </w:rPr>
        <w:t xml:space="preserve"> during the </w:t>
      </w:r>
      <w:r w:rsidR="00AD4944" w:rsidRPr="00503E1D">
        <w:rPr>
          <w:rFonts w:ascii="Calibri" w:hAnsi="Calibri" w:cs="Calibri"/>
          <w:b/>
          <w:bCs/>
        </w:rPr>
        <w:t>fourth</w:t>
      </w:r>
      <w:r w:rsidR="007A6A15" w:rsidRPr="00503E1D">
        <w:rPr>
          <w:rFonts w:ascii="Calibri" w:hAnsi="Calibri" w:cs="Calibri"/>
          <w:b/>
          <w:bCs/>
        </w:rPr>
        <w:t xml:space="preserve"> quarter</w:t>
      </w:r>
      <w:r w:rsidR="001743E0" w:rsidRPr="00503E1D">
        <w:rPr>
          <w:rFonts w:ascii="Calibri" w:hAnsi="Calibri" w:cs="Calibri"/>
          <w:b/>
          <w:bCs/>
        </w:rPr>
        <w:t xml:space="preserve">, </w:t>
      </w:r>
      <w:r w:rsidR="00526B66" w:rsidRPr="00503E1D">
        <w:rPr>
          <w:rFonts w:ascii="Calibri" w:hAnsi="Calibri" w:cs="Calibri"/>
          <w:b/>
          <w:bCs/>
        </w:rPr>
        <w:t xml:space="preserve">to </w:t>
      </w:r>
      <w:r w:rsidR="0005434B" w:rsidRPr="00503E1D">
        <w:rPr>
          <w:rFonts w:ascii="Calibri" w:hAnsi="Calibri" w:cs="Calibri"/>
          <w:b/>
          <w:bCs/>
        </w:rPr>
        <w:t xml:space="preserve">approximately </w:t>
      </w:r>
      <w:r w:rsidRPr="00503E1D">
        <w:rPr>
          <w:rFonts w:ascii="Calibri" w:hAnsi="Calibri" w:cs="Calibri"/>
          <w:b/>
          <w:bCs/>
        </w:rPr>
        <w:t>$</w:t>
      </w:r>
      <w:r w:rsidR="00163004" w:rsidRPr="00503E1D">
        <w:rPr>
          <w:rFonts w:ascii="Calibri" w:hAnsi="Calibri" w:cs="Calibri"/>
          <w:b/>
          <w:bCs/>
        </w:rPr>
        <w:t>277</w:t>
      </w:r>
      <w:r w:rsidR="008E329E" w:rsidRPr="00503E1D">
        <w:rPr>
          <w:rFonts w:ascii="Calibri" w:hAnsi="Calibri" w:cs="Calibri"/>
          <w:b/>
          <w:bCs/>
        </w:rPr>
        <w:t xml:space="preserve"> </w:t>
      </w:r>
      <w:r w:rsidR="00DC727C" w:rsidRPr="00503E1D">
        <w:rPr>
          <w:rFonts w:ascii="Calibri" w:hAnsi="Calibri" w:cs="Calibri"/>
          <w:b/>
          <w:bCs/>
        </w:rPr>
        <w:t>billion</w:t>
      </w:r>
      <w:r w:rsidR="00487293" w:rsidRPr="00503E1D">
        <w:rPr>
          <w:rFonts w:ascii="Calibri" w:hAnsi="Calibri" w:cs="Calibri"/>
          <w:b/>
          <w:bCs/>
        </w:rPr>
        <w:t xml:space="preserve"> at </w:t>
      </w:r>
      <w:r w:rsidR="00387365" w:rsidRPr="00503E1D">
        <w:rPr>
          <w:rFonts w:ascii="Calibri" w:hAnsi="Calibri" w:cs="Calibri"/>
          <w:b/>
          <w:bCs/>
        </w:rPr>
        <w:t xml:space="preserve">the end of </w:t>
      </w:r>
      <w:r w:rsidR="00163004" w:rsidRPr="00503E1D">
        <w:rPr>
          <w:rFonts w:ascii="Calibri" w:hAnsi="Calibri" w:cs="Calibri"/>
          <w:b/>
          <w:bCs/>
        </w:rPr>
        <w:t>December</w:t>
      </w:r>
      <w:r w:rsidR="00542CEF" w:rsidRPr="00503E1D">
        <w:rPr>
          <w:rFonts w:ascii="Calibri" w:hAnsi="Calibri" w:cs="Calibri"/>
          <w:b/>
          <w:bCs/>
        </w:rPr>
        <w:t>.</w:t>
      </w:r>
    </w:p>
    <w:p w14:paraId="01867DB2" w14:textId="22AEEF51" w:rsidR="00526B66" w:rsidRPr="00503E1D" w:rsidRDefault="00526B66" w:rsidP="00D4219F">
      <w:pPr>
        <w:pStyle w:val="regpar"/>
        <w:numPr>
          <w:ilvl w:val="0"/>
          <w:numId w:val="2"/>
        </w:numPr>
        <w:tabs>
          <w:tab w:val="clear" w:pos="720"/>
          <w:tab w:val="num" w:pos="360"/>
        </w:tabs>
        <w:ind w:left="360"/>
        <w:rPr>
          <w:rFonts w:ascii="Calibri" w:hAnsi="Calibri" w:cs="Calibri"/>
          <w:b/>
          <w:bCs/>
        </w:rPr>
      </w:pPr>
      <w:r w:rsidRPr="00503E1D">
        <w:rPr>
          <w:rFonts w:ascii="Calibri" w:hAnsi="Calibri" w:cs="Calibri"/>
          <w:b/>
          <w:bCs/>
        </w:rPr>
        <w:t xml:space="preserve">The ratio of gross external debt to GDP </w:t>
      </w:r>
      <w:r w:rsidR="00163004" w:rsidRPr="00503E1D">
        <w:rPr>
          <w:rFonts w:ascii="Calibri" w:hAnsi="Calibri" w:cs="Calibri"/>
          <w:b/>
          <w:bCs/>
        </w:rPr>
        <w:t xml:space="preserve">declined </w:t>
      </w:r>
      <w:r w:rsidR="00D16998" w:rsidRPr="00503E1D">
        <w:rPr>
          <w:rFonts w:ascii="Calibri" w:hAnsi="Calibri" w:cs="Calibri"/>
          <w:b/>
          <w:bCs/>
        </w:rPr>
        <w:t xml:space="preserve">by about </w:t>
      </w:r>
      <w:r w:rsidR="007A6A15" w:rsidRPr="00503E1D">
        <w:rPr>
          <w:rFonts w:ascii="Calibri" w:hAnsi="Calibri" w:cs="Calibri"/>
          <w:b/>
          <w:bCs/>
        </w:rPr>
        <w:t>0.7</w:t>
      </w:r>
      <w:r w:rsidR="00D16998" w:rsidRPr="00503E1D">
        <w:rPr>
          <w:rFonts w:ascii="Calibri" w:hAnsi="Calibri" w:cs="Calibri"/>
          <w:b/>
          <w:bCs/>
        </w:rPr>
        <w:t xml:space="preserve"> percentage points </w:t>
      </w:r>
      <w:r w:rsidR="00B119F0" w:rsidRPr="00503E1D">
        <w:rPr>
          <w:rFonts w:ascii="Calibri" w:hAnsi="Calibri" w:cs="Calibri"/>
          <w:b/>
          <w:bCs/>
        </w:rPr>
        <w:t xml:space="preserve">in </w:t>
      </w:r>
      <w:r w:rsidRPr="00503E1D">
        <w:rPr>
          <w:rFonts w:ascii="Calibri" w:hAnsi="Calibri" w:cs="Calibri"/>
          <w:b/>
          <w:bCs/>
        </w:rPr>
        <w:t xml:space="preserve">the </w:t>
      </w:r>
      <w:r w:rsidR="00AD4944" w:rsidRPr="00503E1D">
        <w:rPr>
          <w:rFonts w:ascii="Calibri" w:hAnsi="Calibri" w:cs="Calibri"/>
          <w:b/>
          <w:bCs/>
        </w:rPr>
        <w:t>fourth</w:t>
      </w:r>
      <w:r w:rsidR="007A6A15" w:rsidRPr="00503E1D">
        <w:rPr>
          <w:rFonts w:ascii="Calibri" w:hAnsi="Calibri" w:cs="Calibri"/>
          <w:b/>
          <w:bCs/>
        </w:rPr>
        <w:t xml:space="preserve"> quarter</w:t>
      </w:r>
      <w:r w:rsidRPr="00503E1D">
        <w:rPr>
          <w:rFonts w:ascii="Calibri" w:hAnsi="Calibri" w:cs="Calibri"/>
          <w:b/>
          <w:bCs/>
        </w:rPr>
        <w:t xml:space="preserve">, </w:t>
      </w:r>
      <w:r w:rsidR="00D16998" w:rsidRPr="00503E1D">
        <w:rPr>
          <w:rFonts w:ascii="Calibri" w:hAnsi="Calibri" w:cs="Calibri"/>
          <w:b/>
          <w:bCs/>
        </w:rPr>
        <w:t>to</w:t>
      </w:r>
      <w:r w:rsidR="00B119F0" w:rsidRPr="00503E1D">
        <w:rPr>
          <w:rFonts w:ascii="Calibri" w:hAnsi="Calibri" w:cs="Calibri"/>
          <w:b/>
          <w:bCs/>
        </w:rPr>
        <w:t xml:space="preserve"> </w:t>
      </w:r>
      <w:r w:rsidR="005E0707" w:rsidRPr="00503E1D">
        <w:rPr>
          <w:rFonts w:ascii="Calibri" w:hAnsi="Calibri" w:cs="Calibri"/>
          <w:b/>
          <w:bCs/>
        </w:rPr>
        <w:t xml:space="preserve">about </w:t>
      </w:r>
      <w:r w:rsidR="007A6A15" w:rsidRPr="00503E1D">
        <w:rPr>
          <w:rFonts w:ascii="Calibri" w:hAnsi="Calibri" w:cs="Calibri"/>
          <w:b/>
          <w:bCs/>
        </w:rPr>
        <w:t>2</w:t>
      </w:r>
      <w:r w:rsidR="00163004" w:rsidRPr="00503E1D">
        <w:rPr>
          <w:rFonts w:ascii="Calibri" w:hAnsi="Calibri" w:cs="Calibri"/>
          <w:b/>
          <w:bCs/>
        </w:rPr>
        <w:t>7</w:t>
      </w:r>
      <w:r w:rsidR="00D53A7A" w:rsidRPr="00503E1D">
        <w:rPr>
          <w:rFonts w:ascii="Calibri" w:hAnsi="Calibri" w:cs="Calibri"/>
          <w:b/>
          <w:bCs/>
        </w:rPr>
        <w:t xml:space="preserve"> </w:t>
      </w:r>
      <w:r w:rsidRPr="00503E1D">
        <w:rPr>
          <w:rFonts w:ascii="Calibri" w:hAnsi="Calibri" w:cs="Calibri"/>
          <w:b/>
          <w:bCs/>
        </w:rPr>
        <w:t xml:space="preserve">percent at the end of </w:t>
      </w:r>
      <w:r w:rsidR="00D4219F" w:rsidRPr="00503E1D">
        <w:rPr>
          <w:rFonts w:ascii="Calibri" w:hAnsi="Calibri" w:cs="Calibri"/>
          <w:b/>
          <w:bCs/>
        </w:rPr>
        <w:t>December</w:t>
      </w:r>
      <w:r w:rsidRPr="00503E1D">
        <w:rPr>
          <w:rFonts w:ascii="Calibri" w:hAnsi="Calibri" w:cs="Calibri"/>
          <w:b/>
          <w:bCs/>
        </w:rPr>
        <w:t>.</w:t>
      </w:r>
    </w:p>
    <w:p w14:paraId="2C1FBC90" w14:textId="78E97972" w:rsidR="00CC7A1F" w:rsidRPr="00503E1D" w:rsidRDefault="00CC7A1F" w:rsidP="00CC7A1F">
      <w:pPr>
        <w:pStyle w:val="regpar"/>
        <w:rPr>
          <w:rFonts w:ascii="Calibri" w:hAnsi="Calibri" w:cs="Calibri"/>
          <w:b/>
          <w:bCs/>
        </w:rPr>
      </w:pPr>
    </w:p>
    <w:p w14:paraId="2FE4FB68" w14:textId="3ECEA606" w:rsidR="00CC7A1F" w:rsidRPr="00503E1D" w:rsidRDefault="00CC7A1F" w:rsidP="00CC7A1F">
      <w:pPr>
        <w:pStyle w:val="regpar"/>
        <w:rPr>
          <w:rFonts w:ascii="Calibri" w:hAnsi="Calibri" w:cs="Calibri"/>
          <w:b/>
          <w:bCs/>
        </w:rPr>
      </w:pPr>
      <w:r w:rsidRPr="00503E1D">
        <w:rPr>
          <w:rFonts w:ascii="Calibri" w:hAnsi="Calibri" w:cs="Calibri"/>
          <w:b/>
          <w:bCs/>
        </w:rPr>
        <w:t>Summary of 2024</w:t>
      </w:r>
    </w:p>
    <w:p w14:paraId="18C40960" w14:textId="4BAE67D9" w:rsidR="00CC7A1F" w:rsidRPr="00503E1D" w:rsidRDefault="00CC7A1F" w:rsidP="00FE372D">
      <w:pPr>
        <w:pStyle w:val="regpar"/>
        <w:numPr>
          <w:ilvl w:val="0"/>
          <w:numId w:val="10"/>
        </w:numPr>
        <w:rPr>
          <w:rFonts w:ascii="Calibri" w:hAnsi="Calibri" w:cs="Calibri"/>
          <w:b/>
          <w:bCs/>
        </w:rPr>
      </w:pPr>
      <w:r w:rsidRPr="00503E1D">
        <w:rPr>
          <w:rFonts w:ascii="Calibri" w:hAnsi="Calibri" w:cs="Calibri"/>
          <w:b/>
          <w:bCs/>
        </w:rPr>
        <w:t>In 2024, there was a sharp increase in the scope of net investments in the economy by nonresidents. The scope of net investments was about $27 billion compared to only $8 billion in 2023.</w:t>
      </w:r>
    </w:p>
    <w:p w14:paraId="1AF7A59C" w14:textId="73EF83AC" w:rsidR="00CC7A1F" w:rsidRPr="00503E1D" w:rsidRDefault="00CC7A1F" w:rsidP="00CC7A1F">
      <w:pPr>
        <w:pStyle w:val="regpar"/>
        <w:numPr>
          <w:ilvl w:val="0"/>
          <w:numId w:val="2"/>
        </w:numPr>
        <w:tabs>
          <w:tab w:val="clear" w:pos="720"/>
          <w:tab w:val="num" w:pos="360"/>
        </w:tabs>
        <w:ind w:left="360"/>
        <w:rPr>
          <w:rFonts w:ascii="Calibri" w:hAnsi="Calibri" w:cs="Calibri"/>
          <w:b/>
          <w:bCs/>
        </w:rPr>
      </w:pPr>
      <w:r w:rsidRPr="00503E1D">
        <w:rPr>
          <w:rFonts w:ascii="Calibri" w:hAnsi="Calibri" w:cs="Calibri"/>
          <w:b/>
          <w:bCs/>
        </w:rPr>
        <w:t>In the second half of 2024, nonresidents resumed net investments in Israeli securities, in contrast with the realizations of the past two years.</w:t>
      </w:r>
    </w:p>
    <w:p w14:paraId="469B6089" w14:textId="2AD047F8" w:rsidR="00FE372D" w:rsidRPr="00503E1D" w:rsidRDefault="00FE372D" w:rsidP="00FE372D">
      <w:pPr>
        <w:pStyle w:val="regpar"/>
        <w:numPr>
          <w:ilvl w:val="0"/>
          <w:numId w:val="2"/>
        </w:numPr>
        <w:tabs>
          <w:tab w:val="clear" w:pos="720"/>
          <w:tab w:val="num" w:pos="360"/>
        </w:tabs>
        <w:ind w:left="360"/>
        <w:rPr>
          <w:rFonts w:ascii="Calibri" w:hAnsi="Calibri" w:cs="Calibri"/>
          <w:b/>
          <w:bCs/>
        </w:rPr>
      </w:pPr>
      <w:r w:rsidRPr="00503E1D">
        <w:rPr>
          <w:rFonts w:ascii="Calibri" w:hAnsi="Calibri" w:cs="Calibri"/>
          <w:b/>
          <w:bCs/>
        </w:rPr>
        <w:t>In the second half of 2024, nonresidents also resumed direct investments, which totaled about $17 billion in 2024 overall, slightly higher than their 2023 level.</w:t>
      </w:r>
    </w:p>
    <w:p w14:paraId="6B76218E" w14:textId="610E0428" w:rsidR="00CC7A1F" w:rsidRPr="00503E1D" w:rsidRDefault="007C5435" w:rsidP="00FE372D">
      <w:pPr>
        <w:pStyle w:val="regpar"/>
        <w:numPr>
          <w:ilvl w:val="0"/>
          <w:numId w:val="10"/>
        </w:numPr>
        <w:rPr>
          <w:rFonts w:ascii="Calibri" w:hAnsi="Calibri" w:cs="Calibri"/>
          <w:b/>
          <w:bCs/>
        </w:rPr>
      </w:pPr>
      <w:r w:rsidRPr="00503E1D">
        <w:rPr>
          <w:rFonts w:ascii="Calibri" w:hAnsi="Calibri" w:cs="Calibri"/>
          <w:b/>
          <w:bCs/>
        </w:rPr>
        <w:t>In addition, the scope of net investments abroad by Israeli residents in 2024 was markedly higher than its scope in 2023, totaling about $47 billion.</w:t>
      </w:r>
    </w:p>
    <w:p w14:paraId="5E9C657E" w14:textId="77777777" w:rsidR="00CC7A1F" w:rsidRPr="00503E1D" w:rsidRDefault="00CC7A1F" w:rsidP="00CC7A1F">
      <w:pPr>
        <w:pStyle w:val="regpar"/>
        <w:rPr>
          <w:rFonts w:ascii="Calibri" w:hAnsi="Calibri" w:cs="Calibri"/>
          <w:b/>
          <w:bCs/>
        </w:rPr>
      </w:pPr>
    </w:p>
    <w:p w14:paraId="1F90C253" w14:textId="77777777" w:rsidR="001743E0" w:rsidRPr="00503E1D" w:rsidRDefault="001743E0" w:rsidP="001743E0">
      <w:pPr>
        <w:pStyle w:val="regpar"/>
        <w:ind w:left="360" w:firstLine="0"/>
        <w:rPr>
          <w:rFonts w:ascii="Calibri" w:hAnsi="Calibri" w:cs="Calibri"/>
          <w:b/>
          <w:bCs/>
        </w:rPr>
      </w:pPr>
    </w:p>
    <w:p w14:paraId="0F7BA786" w14:textId="77777777" w:rsidR="00903E7A" w:rsidRPr="00503E1D" w:rsidRDefault="00200E59" w:rsidP="00200E59">
      <w:pPr>
        <w:pStyle w:val="regpar"/>
        <w:ind w:left="360" w:firstLine="0"/>
        <w:rPr>
          <w:rFonts w:ascii="Calibri" w:hAnsi="Calibri" w:cs="Calibri"/>
          <w:b/>
          <w:bCs/>
        </w:rPr>
      </w:pPr>
      <w:r w:rsidRPr="00503E1D">
        <w:rPr>
          <w:rFonts w:ascii="Calibri" w:hAnsi="Calibri" w:cs="Calibri"/>
          <w:b/>
          <w:bCs/>
        </w:rPr>
        <w:t xml:space="preserve"> </w:t>
      </w:r>
    </w:p>
    <w:p w14:paraId="15D67598" w14:textId="77777777" w:rsidR="00903E7A" w:rsidRPr="00503E1D" w:rsidRDefault="00903E7A">
      <w:pPr>
        <w:bidi w:val="0"/>
        <w:rPr>
          <w:rFonts w:ascii="Calibri" w:hAnsi="Calibri" w:cs="Calibri"/>
          <w:b/>
          <w:bCs/>
        </w:rPr>
      </w:pPr>
      <w:r w:rsidRPr="00503E1D">
        <w:rPr>
          <w:rFonts w:ascii="Calibri" w:hAnsi="Calibri" w:cs="Calibri"/>
          <w:b/>
          <w:bCs/>
        </w:rPr>
        <w:br w:type="page"/>
      </w:r>
    </w:p>
    <w:p w14:paraId="0101F0BB" w14:textId="516C6044" w:rsidR="00FD7D38" w:rsidRPr="00503E1D" w:rsidRDefault="00DF78A9" w:rsidP="00597DAB">
      <w:pPr>
        <w:pStyle w:val="af3"/>
        <w:rPr>
          <w:rFonts w:ascii="Calibri" w:hAnsi="Calibri" w:cs="Calibri"/>
          <w:u w:val="none"/>
          <w:rtl/>
        </w:rPr>
      </w:pPr>
      <w:r w:rsidRPr="00503E1D">
        <w:rPr>
          <w:rFonts w:ascii="Calibri" w:hAnsi="Calibri" w:cs="Calibri"/>
          <w:noProof/>
          <w:lang w:eastAsia="en-US"/>
        </w:rPr>
        <w:lastRenderedPageBreak/>
        <w:drawing>
          <wp:anchor distT="0" distB="0" distL="114300" distR="114300" simplePos="0" relativeHeight="251683840" behindDoc="1" locked="0" layoutInCell="1" allowOverlap="1" wp14:anchorId="41700BA9" wp14:editId="777513BD">
            <wp:simplePos x="0" y="0"/>
            <wp:positionH relativeFrom="margin">
              <wp:posOffset>-172720</wp:posOffset>
            </wp:positionH>
            <wp:positionV relativeFrom="paragraph">
              <wp:posOffset>221615</wp:posOffset>
            </wp:positionV>
            <wp:extent cx="5633639" cy="2552700"/>
            <wp:effectExtent l="0" t="0" r="5715"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639"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7D38" w:rsidRPr="00503E1D">
        <w:rPr>
          <w:rFonts w:ascii="Calibri" w:hAnsi="Calibri" w:cs="Calibri"/>
          <w:u w:val="none"/>
        </w:rPr>
        <w:t xml:space="preserve">Table 1: Asset and liability balances, and changes </w:t>
      </w:r>
      <w:r w:rsidR="0064729F" w:rsidRPr="00503E1D">
        <w:rPr>
          <w:rFonts w:ascii="Calibri" w:hAnsi="Calibri" w:cs="Calibri"/>
          <w:u w:val="none"/>
        </w:rPr>
        <w:t>in them</w:t>
      </w:r>
    </w:p>
    <w:p w14:paraId="427CE9EF" w14:textId="4D2CF97F" w:rsidR="00DD15DC" w:rsidRPr="00503E1D" w:rsidRDefault="00DD15DC" w:rsidP="00DD15DC">
      <w:pPr>
        <w:pStyle w:val="regpar"/>
        <w:ind w:firstLine="0"/>
        <w:rPr>
          <w:rFonts w:ascii="Calibri" w:hAnsi="Calibri" w:cs="Calibri"/>
          <w:b/>
          <w:bCs/>
        </w:rPr>
      </w:pPr>
    </w:p>
    <w:p w14:paraId="4D2751E9" w14:textId="14DBB7C8" w:rsidR="00DD15DC" w:rsidRPr="00503E1D" w:rsidRDefault="00DD15DC" w:rsidP="00132C46">
      <w:pPr>
        <w:autoSpaceDE w:val="0"/>
        <w:autoSpaceDN w:val="0"/>
        <w:adjustRightInd w:val="0"/>
        <w:ind w:left="-477"/>
        <w:jc w:val="center"/>
        <w:rPr>
          <w:rFonts w:ascii="Calibri" w:hAnsi="Calibri" w:cs="Calibri"/>
          <w:rtl/>
        </w:rPr>
      </w:pPr>
    </w:p>
    <w:p w14:paraId="787E4603" w14:textId="40BBC00D" w:rsidR="00903E7A" w:rsidRPr="00503E1D" w:rsidRDefault="00903E7A" w:rsidP="00DD15DC">
      <w:pPr>
        <w:autoSpaceDE w:val="0"/>
        <w:autoSpaceDN w:val="0"/>
        <w:adjustRightInd w:val="0"/>
        <w:rPr>
          <w:rFonts w:ascii="Calibri" w:hAnsi="Calibri" w:cs="Calibri"/>
          <w:rtl/>
        </w:rPr>
      </w:pPr>
    </w:p>
    <w:p w14:paraId="1F50D049" w14:textId="610893DD" w:rsidR="00DD15DC" w:rsidRPr="00503E1D" w:rsidRDefault="00DD15DC" w:rsidP="00DD15DC">
      <w:pPr>
        <w:pStyle w:val="regpar"/>
        <w:ind w:firstLine="0"/>
        <w:rPr>
          <w:rFonts w:ascii="Calibri" w:hAnsi="Calibri" w:cs="Calibri"/>
          <w:b/>
          <w:bCs/>
        </w:rPr>
      </w:pPr>
    </w:p>
    <w:p w14:paraId="211D8198" w14:textId="3DD62787" w:rsidR="00DF78A9" w:rsidRPr="00503E1D" w:rsidRDefault="00DF78A9" w:rsidP="00DD15DC">
      <w:pPr>
        <w:pStyle w:val="regpar"/>
        <w:ind w:firstLine="0"/>
        <w:rPr>
          <w:rFonts w:ascii="Calibri" w:hAnsi="Calibri" w:cs="Calibri"/>
          <w:b/>
          <w:bCs/>
        </w:rPr>
      </w:pPr>
    </w:p>
    <w:p w14:paraId="5BB72FFF" w14:textId="31D8A911" w:rsidR="00DF78A9" w:rsidRPr="00503E1D" w:rsidRDefault="00DF78A9" w:rsidP="00DD15DC">
      <w:pPr>
        <w:pStyle w:val="regpar"/>
        <w:ind w:firstLine="0"/>
        <w:rPr>
          <w:rFonts w:ascii="Calibri" w:hAnsi="Calibri" w:cs="Calibri"/>
          <w:b/>
          <w:bCs/>
        </w:rPr>
      </w:pPr>
    </w:p>
    <w:p w14:paraId="5FDAC492" w14:textId="765E5DC0" w:rsidR="00DF78A9" w:rsidRPr="00503E1D" w:rsidRDefault="00DF78A9" w:rsidP="00DD15DC">
      <w:pPr>
        <w:pStyle w:val="regpar"/>
        <w:ind w:firstLine="0"/>
        <w:rPr>
          <w:rFonts w:ascii="Calibri" w:hAnsi="Calibri" w:cs="Calibri"/>
          <w:b/>
          <w:bCs/>
        </w:rPr>
      </w:pPr>
    </w:p>
    <w:p w14:paraId="1D3F8E5B" w14:textId="7F753D02" w:rsidR="00DF78A9" w:rsidRPr="00503E1D" w:rsidRDefault="00DF78A9" w:rsidP="00DD15DC">
      <w:pPr>
        <w:pStyle w:val="regpar"/>
        <w:ind w:firstLine="0"/>
        <w:rPr>
          <w:rFonts w:ascii="Calibri" w:hAnsi="Calibri" w:cs="Calibri"/>
          <w:b/>
          <w:bCs/>
        </w:rPr>
      </w:pPr>
    </w:p>
    <w:p w14:paraId="4FB27FBE" w14:textId="0AA1B1A3" w:rsidR="00DF78A9" w:rsidRPr="00503E1D" w:rsidRDefault="00DF78A9" w:rsidP="00DD15DC">
      <w:pPr>
        <w:pStyle w:val="regpar"/>
        <w:ind w:firstLine="0"/>
        <w:rPr>
          <w:rFonts w:ascii="Calibri" w:hAnsi="Calibri" w:cs="Calibri"/>
          <w:b/>
          <w:bCs/>
        </w:rPr>
      </w:pPr>
    </w:p>
    <w:p w14:paraId="78287CF9" w14:textId="2F2C9526" w:rsidR="00DF78A9" w:rsidRPr="00503E1D" w:rsidRDefault="00DF78A9" w:rsidP="00DD15DC">
      <w:pPr>
        <w:pStyle w:val="regpar"/>
        <w:ind w:firstLine="0"/>
        <w:rPr>
          <w:rFonts w:ascii="Calibri" w:hAnsi="Calibri" w:cs="Calibri"/>
          <w:b/>
          <w:bCs/>
        </w:rPr>
      </w:pPr>
    </w:p>
    <w:p w14:paraId="5C62914B" w14:textId="1F3A8CFA" w:rsidR="00DF78A9" w:rsidRPr="00503E1D" w:rsidRDefault="00DF78A9" w:rsidP="00DD15DC">
      <w:pPr>
        <w:pStyle w:val="regpar"/>
        <w:ind w:firstLine="0"/>
        <w:rPr>
          <w:rFonts w:ascii="Calibri" w:hAnsi="Calibri" w:cs="Calibri"/>
          <w:b/>
          <w:bCs/>
        </w:rPr>
      </w:pPr>
    </w:p>
    <w:p w14:paraId="243F1A74" w14:textId="7CCD6798" w:rsidR="00DF78A9" w:rsidRPr="00503E1D" w:rsidRDefault="00DF78A9" w:rsidP="00DD15DC">
      <w:pPr>
        <w:pStyle w:val="regpar"/>
        <w:ind w:firstLine="0"/>
        <w:rPr>
          <w:rFonts w:ascii="Calibri" w:hAnsi="Calibri" w:cs="Calibri"/>
          <w:b/>
          <w:bCs/>
        </w:rPr>
      </w:pPr>
    </w:p>
    <w:p w14:paraId="6F0C1E43" w14:textId="4F2FA419" w:rsidR="00DF78A9" w:rsidRPr="00503E1D" w:rsidRDefault="00DF78A9" w:rsidP="00DD15DC">
      <w:pPr>
        <w:pStyle w:val="regpar"/>
        <w:ind w:firstLine="0"/>
        <w:rPr>
          <w:rFonts w:ascii="Calibri" w:hAnsi="Calibri" w:cs="Calibri"/>
          <w:b/>
          <w:bCs/>
        </w:rPr>
      </w:pPr>
    </w:p>
    <w:p w14:paraId="71B7286C" w14:textId="77777777" w:rsidR="00DF78A9" w:rsidRPr="00503E1D" w:rsidRDefault="00DF78A9" w:rsidP="00DD15DC">
      <w:pPr>
        <w:pStyle w:val="regpar"/>
        <w:ind w:firstLine="0"/>
        <w:rPr>
          <w:rFonts w:ascii="Calibri" w:hAnsi="Calibri" w:cs="Calibri"/>
          <w:b/>
          <w:bCs/>
        </w:rPr>
      </w:pPr>
    </w:p>
    <w:p w14:paraId="7A534946" w14:textId="6C93B3F4" w:rsidR="00763F37" w:rsidRPr="00503E1D" w:rsidRDefault="00763F37" w:rsidP="00DF78A9">
      <w:pPr>
        <w:pStyle w:val="regpar"/>
        <w:numPr>
          <w:ilvl w:val="0"/>
          <w:numId w:val="4"/>
        </w:numPr>
        <w:rPr>
          <w:rFonts w:ascii="Calibri" w:hAnsi="Calibri" w:cs="Calibri"/>
          <w:b/>
          <w:bCs/>
        </w:rPr>
      </w:pPr>
      <w:r w:rsidRPr="00503E1D">
        <w:rPr>
          <w:rFonts w:ascii="Calibri" w:hAnsi="Calibri" w:cs="Calibri"/>
          <w:b/>
          <w:bCs/>
        </w:rPr>
        <w:t>The</w:t>
      </w:r>
      <w:r w:rsidR="003020E4" w:rsidRPr="00503E1D">
        <w:rPr>
          <w:rFonts w:ascii="Calibri" w:hAnsi="Calibri" w:cs="Calibri"/>
          <w:b/>
          <w:bCs/>
        </w:rPr>
        <w:t xml:space="preserve"> balance</w:t>
      </w:r>
      <w:r w:rsidRPr="00503E1D">
        <w:rPr>
          <w:rFonts w:ascii="Calibri" w:hAnsi="Calibri" w:cs="Calibri"/>
          <w:b/>
          <w:bCs/>
        </w:rPr>
        <w:t xml:space="preserve"> of Israel</w:t>
      </w:r>
      <w:r w:rsidR="0080040C" w:rsidRPr="00503E1D">
        <w:rPr>
          <w:rFonts w:ascii="Calibri" w:hAnsi="Calibri" w:cs="Calibri"/>
          <w:b/>
          <w:bCs/>
        </w:rPr>
        <w:t>i</w:t>
      </w:r>
      <w:r w:rsidRPr="00503E1D">
        <w:rPr>
          <w:rFonts w:ascii="Calibri" w:hAnsi="Calibri" w:cs="Calibri"/>
          <w:b/>
          <w:bCs/>
        </w:rPr>
        <w:t>s</w:t>
      </w:r>
      <w:r w:rsidR="0080040C" w:rsidRPr="00503E1D">
        <w:rPr>
          <w:rFonts w:ascii="Calibri" w:hAnsi="Calibri" w:cs="Calibri"/>
          <w:b/>
          <w:bCs/>
        </w:rPr>
        <w:t>’</w:t>
      </w:r>
      <w:r w:rsidRPr="00503E1D">
        <w:rPr>
          <w:rFonts w:ascii="Calibri" w:hAnsi="Calibri" w:cs="Calibri"/>
          <w:b/>
          <w:bCs/>
        </w:rPr>
        <w:t xml:space="preserve"> assets abroad</w:t>
      </w:r>
    </w:p>
    <w:p w14:paraId="682EEA94" w14:textId="5784FECC" w:rsidR="00C45BD6" w:rsidRPr="00503E1D" w:rsidRDefault="00793279" w:rsidP="00D2771E">
      <w:pPr>
        <w:pStyle w:val="regpar"/>
        <w:ind w:firstLine="0"/>
        <w:rPr>
          <w:rFonts w:ascii="Calibri" w:hAnsi="Calibri" w:cs="Calibri"/>
        </w:rPr>
      </w:pPr>
      <w:r w:rsidRPr="00503E1D">
        <w:rPr>
          <w:rFonts w:ascii="Calibri" w:hAnsi="Calibri" w:cs="Calibri"/>
        </w:rPr>
        <w:t xml:space="preserve">In the </w:t>
      </w:r>
      <w:r w:rsidR="00AD4944" w:rsidRPr="00503E1D">
        <w:rPr>
          <w:rFonts w:ascii="Calibri" w:hAnsi="Calibri" w:cs="Calibri"/>
        </w:rPr>
        <w:t>fourth</w:t>
      </w:r>
      <w:r w:rsidR="007A6A15" w:rsidRPr="00503E1D">
        <w:rPr>
          <w:rFonts w:ascii="Calibri" w:hAnsi="Calibri" w:cs="Calibri"/>
        </w:rPr>
        <w:t xml:space="preserve"> quarter</w:t>
      </w:r>
      <w:r w:rsidR="00D2632C" w:rsidRPr="00503E1D">
        <w:rPr>
          <w:rFonts w:ascii="Calibri" w:hAnsi="Calibri" w:cs="Calibri"/>
        </w:rPr>
        <w:t xml:space="preserve"> of </w:t>
      </w:r>
      <w:r w:rsidR="00F53574" w:rsidRPr="00503E1D">
        <w:rPr>
          <w:rFonts w:ascii="Calibri" w:hAnsi="Calibri" w:cs="Calibri"/>
        </w:rPr>
        <w:t>202</w:t>
      </w:r>
      <w:r w:rsidR="0080040C" w:rsidRPr="00503E1D">
        <w:rPr>
          <w:rFonts w:ascii="Calibri" w:hAnsi="Calibri" w:cs="Calibri"/>
        </w:rPr>
        <w:t>4</w:t>
      </w:r>
      <w:r w:rsidRPr="00503E1D">
        <w:rPr>
          <w:rFonts w:ascii="Calibri" w:hAnsi="Calibri" w:cs="Calibri"/>
        </w:rPr>
        <w:t xml:space="preserve">, </w:t>
      </w:r>
      <w:r w:rsidR="005D04F7" w:rsidRPr="00503E1D">
        <w:rPr>
          <w:rFonts w:ascii="Calibri" w:hAnsi="Calibri" w:cs="Calibri"/>
        </w:rPr>
        <w:t xml:space="preserve">the </w:t>
      </w:r>
      <w:r w:rsidR="007B399E" w:rsidRPr="00503E1D">
        <w:rPr>
          <w:rFonts w:ascii="Calibri" w:hAnsi="Calibri" w:cs="Calibri"/>
        </w:rPr>
        <w:t xml:space="preserve">value of the </w:t>
      </w:r>
      <w:r w:rsidRPr="00503E1D">
        <w:rPr>
          <w:rFonts w:ascii="Calibri" w:hAnsi="Calibri" w:cs="Calibri"/>
        </w:rPr>
        <w:t xml:space="preserve">assets held abroad by Israeli residents </w:t>
      </w:r>
      <w:r w:rsidR="0043291D" w:rsidRPr="00503E1D">
        <w:rPr>
          <w:rFonts w:ascii="Calibri" w:hAnsi="Calibri" w:cs="Calibri"/>
        </w:rPr>
        <w:t xml:space="preserve">increased </w:t>
      </w:r>
      <w:r w:rsidRPr="00503E1D">
        <w:rPr>
          <w:rFonts w:ascii="Calibri" w:hAnsi="Calibri" w:cs="Calibri"/>
        </w:rPr>
        <w:t>by about $</w:t>
      </w:r>
      <w:r w:rsidR="00DF0FDD" w:rsidRPr="00503E1D">
        <w:rPr>
          <w:rFonts w:ascii="Calibri" w:hAnsi="Calibri" w:cs="Calibri"/>
        </w:rPr>
        <w:t xml:space="preserve">2.8 </w:t>
      </w:r>
      <w:r w:rsidRPr="00503E1D">
        <w:rPr>
          <w:rFonts w:ascii="Calibri" w:hAnsi="Calibri" w:cs="Calibri"/>
        </w:rPr>
        <w:t>billion (</w:t>
      </w:r>
      <w:r w:rsidR="00D16998" w:rsidRPr="00503E1D">
        <w:rPr>
          <w:rFonts w:ascii="Calibri" w:hAnsi="Calibri" w:cs="Calibri"/>
        </w:rPr>
        <w:t xml:space="preserve">about </w:t>
      </w:r>
      <w:r w:rsidR="00DF0FDD" w:rsidRPr="00503E1D">
        <w:rPr>
          <w:rFonts w:ascii="Calibri" w:hAnsi="Calibri" w:cs="Calibri"/>
        </w:rPr>
        <w:t xml:space="preserve">0.4 </w:t>
      </w:r>
      <w:r w:rsidRPr="00503E1D">
        <w:rPr>
          <w:rFonts w:ascii="Calibri" w:hAnsi="Calibri" w:cs="Calibri"/>
        </w:rPr>
        <w:t>percent)</w:t>
      </w:r>
      <w:r w:rsidR="00870CB5" w:rsidRPr="00503E1D">
        <w:rPr>
          <w:rFonts w:ascii="Calibri" w:hAnsi="Calibri" w:cs="Calibri"/>
        </w:rPr>
        <w:t>,</w:t>
      </w:r>
      <w:r w:rsidRPr="00503E1D">
        <w:rPr>
          <w:rFonts w:ascii="Calibri" w:hAnsi="Calibri" w:cs="Calibri"/>
        </w:rPr>
        <w:t xml:space="preserve"> to </w:t>
      </w:r>
      <w:r w:rsidR="00504BC5" w:rsidRPr="00503E1D">
        <w:rPr>
          <w:rFonts w:ascii="Calibri" w:hAnsi="Calibri" w:cs="Calibri"/>
        </w:rPr>
        <w:t xml:space="preserve">approximately </w:t>
      </w:r>
      <w:r w:rsidRPr="00503E1D">
        <w:rPr>
          <w:rFonts w:ascii="Calibri" w:hAnsi="Calibri" w:cs="Calibri"/>
        </w:rPr>
        <w:t>$</w:t>
      </w:r>
      <w:r w:rsidR="00DF0FDD" w:rsidRPr="00503E1D">
        <w:rPr>
          <w:rFonts w:ascii="Calibri" w:hAnsi="Calibri" w:cs="Calibri"/>
        </w:rPr>
        <w:t>774</w:t>
      </w:r>
      <w:r w:rsidR="0043291D" w:rsidRPr="00503E1D">
        <w:rPr>
          <w:rFonts w:ascii="Calibri" w:hAnsi="Calibri" w:cs="Calibri"/>
        </w:rPr>
        <w:t xml:space="preserve"> </w:t>
      </w:r>
      <w:r w:rsidR="00EC7931" w:rsidRPr="00503E1D">
        <w:rPr>
          <w:rFonts w:ascii="Calibri" w:hAnsi="Calibri" w:cs="Calibri"/>
        </w:rPr>
        <w:t>b</w:t>
      </w:r>
      <w:r w:rsidRPr="00503E1D">
        <w:rPr>
          <w:rFonts w:ascii="Calibri" w:hAnsi="Calibri" w:cs="Calibri"/>
        </w:rPr>
        <w:t xml:space="preserve">illion at the end of </w:t>
      </w:r>
      <w:r w:rsidR="00D2771E" w:rsidRPr="00503E1D">
        <w:rPr>
          <w:rFonts w:ascii="Calibri" w:hAnsi="Calibri" w:cs="Calibri"/>
        </w:rPr>
        <w:t>December</w:t>
      </w:r>
      <w:r w:rsidR="00517C50" w:rsidRPr="00503E1D">
        <w:rPr>
          <w:rFonts w:ascii="Calibri" w:hAnsi="Calibri" w:cs="Calibri"/>
        </w:rPr>
        <w:t xml:space="preserve">. </w:t>
      </w:r>
    </w:p>
    <w:p w14:paraId="324830E9" w14:textId="4107D630" w:rsidR="00C12D14" w:rsidRPr="00503E1D" w:rsidRDefault="00CA56A4" w:rsidP="00DA44D3">
      <w:pPr>
        <w:pStyle w:val="regpar"/>
        <w:numPr>
          <w:ilvl w:val="0"/>
          <w:numId w:val="6"/>
        </w:numPr>
        <w:ind w:left="426"/>
        <w:rPr>
          <w:rFonts w:ascii="Calibri" w:hAnsi="Calibri" w:cs="Calibri"/>
        </w:rPr>
      </w:pPr>
      <w:r w:rsidRPr="00503E1D">
        <w:rPr>
          <w:rFonts w:ascii="Calibri" w:hAnsi="Calibri" w:cs="Calibri"/>
          <w:b/>
          <w:bCs/>
        </w:rPr>
        <w:t>The value of direct investment</w:t>
      </w:r>
      <w:r w:rsidR="00B15E6B" w:rsidRPr="00503E1D">
        <w:rPr>
          <w:rFonts w:ascii="Calibri" w:hAnsi="Calibri" w:cs="Calibri"/>
          <w:b/>
          <w:bCs/>
        </w:rPr>
        <w:t>s</w:t>
      </w:r>
      <w:r w:rsidRPr="00503E1D">
        <w:rPr>
          <w:rFonts w:ascii="Calibri" w:hAnsi="Calibri" w:cs="Calibri"/>
          <w:b/>
          <w:bCs/>
        </w:rPr>
        <w:t xml:space="preserve"> </w:t>
      </w:r>
      <w:r w:rsidR="00272D24" w:rsidRPr="00503E1D">
        <w:rPr>
          <w:rFonts w:ascii="Calibri" w:hAnsi="Calibri" w:cs="Calibri"/>
        </w:rPr>
        <w:t>increased</w:t>
      </w:r>
      <w:r w:rsidR="00272D24" w:rsidRPr="00503E1D">
        <w:rPr>
          <w:rFonts w:ascii="Calibri" w:hAnsi="Calibri" w:cs="Calibri"/>
          <w:b/>
          <w:bCs/>
        </w:rPr>
        <w:t xml:space="preserve"> </w:t>
      </w:r>
      <w:r w:rsidR="00272D24" w:rsidRPr="00503E1D">
        <w:rPr>
          <w:rFonts w:ascii="Calibri" w:hAnsi="Calibri" w:cs="Calibri"/>
        </w:rPr>
        <w:t>by about $</w:t>
      </w:r>
      <w:r w:rsidR="00DA44D3" w:rsidRPr="00503E1D">
        <w:rPr>
          <w:rFonts w:ascii="Calibri" w:hAnsi="Calibri" w:cs="Calibri"/>
        </w:rPr>
        <w:t>2</w:t>
      </w:r>
      <w:r w:rsidR="00E262B2" w:rsidRPr="00503E1D">
        <w:rPr>
          <w:rFonts w:ascii="Calibri" w:hAnsi="Calibri" w:cs="Calibri"/>
        </w:rPr>
        <w:t xml:space="preserve"> </w:t>
      </w:r>
      <w:r w:rsidR="00272D24" w:rsidRPr="00503E1D">
        <w:rPr>
          <w:rFonts w:ascii="Calibri" w:hAnsi="Calibri" w:cs="Calibri"/>
        </w:rPr>
        <w:t>billion</w:t>
      </w:r>
      <w:r w:rsidR="003039D5" w:rsidRPr="00503E1D">
        <w:rPr>
          <w:rFonts w:ascii="Calibri" w:hAnsi="Calibri" w:cs="Calibri"/>
        </w:rPr>
        <w:t xml:space="preserve"> (approximately </w:t>
      </w:r>
      <w:r w:rsidR="00DA44D3" w:rsidRPr="00503E1D">
        <w:rPr>
          <w:rFonts w:ascii="Calibri" w:hAnsi="Calibri" w:cs="Calibri"/>
        </w:rPr>
        <w:t xml:space="preserve">1.8 </w:t>
      </w:r>
      <w:r w:rsidR="003039D5" w:rsidRPr="00503E1D">
        <w:rPr>
          <w:rFonts w:ascii="Calibri" w:hAnsi="Calibri" w:cs="Calibri"/>
        </w:rPr>
        <w:t>percent)</w:t>
      </w:r>
      <w:r w:rsidR="000027EA" w:rsidRPr="00503E1D">
        <w:rPr>
          <w:rFonts w:ascii="Calibri" w:hAnsi="Calibri" w:cs="Calibri"/>
        </w:rPr>
        <w:t xml:space="preserve"> in the </w:t>
      </w:r>
      <w:r w:rsidR="00AD4944" w:rsidRPr="00503E1D">
        <w:rPr>
          <w:rFonts w:ascii="Calibri" w:hAnsi="Calibri" w:cs="Calibri"/>
        </w:rPr>
        <w:t>fourth</w:t>
      </w:r>
      <w:r w:rsidR="007A6A15" w:rsidRPr="00503E1D">
        <w:rPr>
          <w:rFonts w:ascii="Calibri" w:hAnsi="Calibri" w:cs="Calibri"/>
        </w:rPr>
        <w:t xml:space="preserve"> quarter</w:t>
      </w:r>
      <w:r w:rsidR="00272D24" w:rsidRPr="00503E1D">
        <w:rPr>
          <w:rFonts w:ascii="Calibri" w:hAnsi="Calibri" w:cs="Calibri"/>
        </w:rPr>
        <w:t xml:space="preserve">, </w:t>
      </w:r>
      <w:r w:rsidRPr="00503E1D">
        <w:rPr>
          <w:rFonts w:ascii="Calibri" w:hAnsi="Calibri" w:cs="Calibri"/>
        </w:rPr>
        <w:t xml:space="preserve">mainly </w:t>
      </w:r>
      <w:r w:rsidR="00FC69CC" w:rsidRPr="00503E1D">
        <w:rPr>
          <w:rFonts w:ascii="Calibri" w:hAnsi="Calibri" w:cs="Calibri"/>
        </w:rPr>
        <w:t xml:space="preserve">as </w:t>
      </w:r>
      <w:r w:rsidRPr="00503E1D">
        <w:rPr>
          <w:rFonts w:ascii="Calibri" w:hAnsi="Calibri" w:cs="Calibri"/>
        </w:rPr>
        <w:t xml:space="preserve">a result of </w:t>
      </w:r>
      <w:r w:rsidR="00DA44D3" w:rsidRPr="00503E1D">
        <w:rPr>
          <w:rFonts w:ascii="Calibri" w:hAnsi="Calibri" w:cs="Calibri"/>
        </w:rPr>
        <w:t>net investments by Israeli residents</w:t>
      </w:r>
      <w:r w:rsidR="00272D24" w:rsidRPr="00503E1D">
        <w:rPr>
          <w:rFonts w:ascii="Calibri" w:hAnsi="Calibri" w:cs="Calibri"/>
        </w:rPr>
        <w:t>.</w:t>
      </w:r>
    </w:p>
    <w:p w14:paraId="24F4F5A8" w14:textId="6C626631" w:rsidR="00AD0477" w:rsidRPr="00503E1D" w:rsidRDefault="00C12D14" w:rsidP="00D2771E">
      <w:pPr>
        <w:pStyle w:val="regpar"/>
        <w:numPr>
          <w:ilvl w:val="0"/>
          <w:numId w:val="6"/>
        </w:numPr>
        <w:ind w:left="426"/>
        <w:rPr>
          <w:rFonts w:ascii="Calibri" w:hAnsi="Calibri" w:cs="Calibri"/>
        </w:rPr>
      </w:pPr>
      <w:r w:rsidRPr="00503E1D">
        <w:rPr>
          <w:rFonts w:ascii="Calibri" w:hAnsi="Calibri" w:cs="Calibri"/>
          <w:b/>
          <w:bCs/>
        </w:rPr>
        <w:t>The value of the securities portfolio</w:t>
      </w:r>
      <w:r w:rsidRPr="00503E1D">
        <w:rPr>
          <w:rFonts w:ascii="Calibri" w:hAnsi="Calibri" w:cs="Calibri"/>
        </w:rPr>
        <w:t xml:space="preserve"> </w:t>
      </w:r>
      <w:r w:rsidR="004B42F6" w:rsidRPr="00503E1D">
        <w:rPr>
          <w:rFonts w:ascii="Calibri" w:hAnsi="Calibri" w:cs="Calibri"/>
        </w:rPr>
        <w:t xml:space="preserve">increased </w:t>
      </w:r>
      <w:r w:rsidR="00DA44D3" w:rsidRPr="00503E1D">
        <w:rPr>
          <w:rFonts w:ascii="Calibri" w:hAnsi="Calibri" w:cs="Calibri"/>
        </w:rPr>
        <w:t xml:space="preserve">during the fourth quarter </w:t>
      </w:r>
      <w:r w:rsidRPr="00503E1D">
        <w:rPr>
          <w:rFonts w:ascii="Calibri" w:hAnsi="Calibri" w:cs="Calibri"/>
        </w:rPr>
        <w:t>by about $</w:t>
      </w:r>
      <w:r w:rsidR="007A6A15" w:rsidRPr="00503E1D">
        <w:rPr>
          <w:rFonts w:ascii="Calibri" w:hAnsi="Calibri" w:cs="Calibri"/>
        </w:rPr>
        <w:t>12</w:t>
      </w:r>
      <w:r w:rsidR="00DA44D3" w:rsidRPr="00503E1D">
        <w:rPr>
          <w:rFonts w:ascii="Calibri" w:hAnsi="Calibri" w:cs="Calibri"/>
        </w:rPr>
        <w:t xml:space="preserve"> </w:t>
      </w:r>
      <w:r w:rsidRPr="00503E1D">
        <w:rPr>
          <w:rFonts w:ascii="Calibri" w:hAnsi="Calibri" w:cs="Calibri"/>
        </w:rPr>
        <w:t>billion (</w:t>
      </w:r>
      <w:r w:rsidR="004D4A21" w:rsidRPr="00503E1D">
        <w:rPr>
          <w:rFonts w:ascii="Calibri" w:hAnsi="Calibri" w:cs="Calibri"/>
        </w:rPr>
        <w:t xml:space="preserve">about </w:t>
      </w:r>
      <w:r w:rsidR="007A6A15" w:rsidRPr="00503E1D">
        <w:rPr>
          <w:rFonts w:ascii="Calibri" w:hAnsi="Calibri" w:cs="Calibri"/>
        </w:rPr>
        <w:t>4.</w:t>
      </w:r>
      <w:r w:rsidR="00DA44D3" w:rsidRPr="00503E1D">
        <w:rPr>
          <w:rFonts w:ascii="Calibri" w:hAnsi="Calibri" w:cs="Calibri"/>
        </w:rPr>
        <w:t xml:space="preserve">4 </w:t>
      </w:r>
      <w:r w:rsidRPr="00503E1D">
        <w:rPr>
          <w:rFonts w:ascii="Calibri" w:hAnsi="Calibri" w:cs="Calibri"/>
        </w:rPr>
        <w:t>percent)</w:t>
      </w:r>
      <w:r w:rsidR="000027EA" w:rsidRPr="00503E1D">
        <w:rPr>
          <w:rFonts w:ascii="Calibri" w:hAnsi="Calibri" w:cs="Calibri"/>
        </w:rPr>
        <w:t xml:space="preserve">, </w:t>
      </w:r>
      <w:r w:rsidRPr="00503E1D">
        <w:rPr>
          <w:rFonts w:ascii="Calibri" w:hAnsi="Calibri" w:cs="Calibri"/>
        </w:rPr>
        <w:t xml:space="preserve">mainly as a result of </w:t>
      </w:r>
      <w:r w:rsidR="00DA44D3" w:rsidRPr="00503E1D">
        <w:rPr>
          <w:rFonts w:ascii="Calibri" w:hAnsi="Calibri" w:cs="Calibri"/>
        </w:rPr>
        <w:t>net investment in foreign securities by Israeli residents</w:t>
      </w:r>
      <w:r w:rsidR="00D2771E" w:rsidRPr="00503E1D">
        <w:rPr>
          <w:rFonts w:ascii="Calibri" w:hAnsi="Calibri" w:cs="Calibri"/>
        </w:rPr>
        <w:t xml:space="preserve"> totaling about $6.7 billion</w:t>
      </w:r>
      <w:r w:rsidR="00DA44D3" w:rsidRPr="00503E1D">
        <w:rPr>
          <w:rFonts w:ascii="Calibri" w:hAnsi="Calibri" w:cs="Calibri"/>
        </w:rPr>
        <w:t xml:space="preserve">, and </w:t>
      </w:r>
      <w:r w:rsidR="003B086C" w:rsidRPr="00503E1D">
        <w:rPr>
          <w:rFonts w:ascii="Calibri" w:hAnsi="Calibri" w:cs="Calibri"/>
        </w:rPr>
        <w:t xml:space="preserve">price increases </w:t>
      </w:r>
      <w:r w:rsidR="00AB7F65" w:rsidRPr="00503E1D">
        <w:rPr>
          <w:rFonts w:ascii="Calibri" w:hAnsi="Calibri" w:cs="Calibri"/>
        </w:rPr>
        <w:t xml:space="preserve">totaling </w:t>
      </w:r>
      <w:r w:rsidR="004B42F6" w:rsidRPr="00503E1D">
        <w:rPr>
          <w:rFonts w:ascii="Calibri" w:hAnsi="Calibri" w:cs="Calibri"/>
        </w:rPr>
        <w:t>approximately $</w:t>
      </w:r>
      <w:r w:rsidR="00DA44D3" w:rsidRPr="00503E1D">
        <w:rPr>
          <w:rFonts w:ascii="Calibri" w:hAnsi="Calibri" w:cs="Calibri"/>
        </w:rPr>
        <w:t xml:space="preserve">5.5 </w:t>
      </w:r>
      <w:r w:rsidR="004B42F6" w:rsidRPr="00503E1D">
        <w:rPr>
          <w:rFonts w:ascii="Calibri" w:hAnsi="Calibri" w:cs="Calibri"/>
        </w:rPr>
        <w:t xml:space="preserve">billion </w:t>
      </w:r>
      <w:r w:rsidR="00D41724" w:rsidRPr="00503E1D">
        <w:rPr>
          <w:rFonts w:ascii="Calibri" w:hAnsi="Calibri" w:cs="Calibri"/>
        </w:rPr>
        <w:t>on for</w:t>
      </w:r>
      <w:r w:rsidR="00362CDB" w:rsidRPr="00503E1D">
        <w:rPr>
          <w:rFonts w:ascii="Calibri" w:hAnsi="Calibri" w:cs="Calibri"/>
        </w:rPr>
        <w:t>eign secur</w:t>
      </w:r>
      <w:r w:rsidR="004B42F6" w:rsidRPr="00503E1D">
        <w:rPr>
          <w:rFonts w:ascii="Calibri" w:hAnsi="Calibri" w:cs="Calibri"/>
        </w:rPr>
        <w:t>ities held by Israeli residents</w:t>
      </w:r>
      <w:r w:rsidR="007A6A15" w:rsidRPr="00503E1D">
        <w:rPr>
          <w:rFonts w:ascii="Calibri" w:hAnsi="Calibri" w:cs="Calibri"/>
        </w:rPr>
        <w:t>,</w:t>
      </w:r>
      <w:r w:rsidR="003B086C" w:rsidRPr="00503E1D">
        <w:rPr>
          <w:rFonts w:ascii="Calibri" w:hAnsi="Calibri" w:cs="Calibri"/>
        </w:rPr>
        <w:t>.</w:t>
      </w:r>
      <w:r w:rsidR="00772E92" w:rsidRPr="00503E1D">
        <w:rPr>
          <w:rFonts w:ascii="Calibri" w:hAnsi="Calibri" w:cs="Calibri"/>
        </w:rPr>
        <w:t xml:space="preserve"> </w:t>
      </w:r>
      <w:r w:rsidR="00445B51" w:rsidRPr="00503E1D">
        <w:rPr>
          <w:rFonts w:ascii="Calibri" w:hAnsi="Calibri" w:cs="Calibri"/>
        </w:rPr>
        <w:t>(Figure 1).</w:t>
      </w:r>
      <w:r w:rsidR="00DA44D3" w:rsidRPr="00503E1D">
        <w:rPr>
          <w:rFonts w:ascii="Calibri" w:hAnsi="Calibri" w:cs="Calibri"/>
        </w:rPr>
        <w:t xml:space="preserve"> The investments were made by all the segments (Figure 1).</w:t>
      </w:r>
    </w:p>
    <w:p w14:paraId="15F74D6E" w14:textId="77777777" w:rsidR="00DF78A9" w:rsidRPr="00503E1D" w:rsidRDefault="00DF78A9" w:rsidP="00DF78A9">
      <w:pPr>
        <w:pStyle w:val="regpar"/>
        <w:ind w:left="426" w:firstLine="0"/>
        <w:rPr>
          <w:rFonts w:ascii="Calibri" w:hAnsi="Calibri" w:cs="Calibri"/>
        </w:rPr>
      </w:pPr>
    </w:p>
    <w:p w14:paraId="4F60B513" w14:textId="381D6289" w:rsidR="00BB001C" w:rsidRPr="00503E1D" w:rsidRDefault="00C54F48" w:rsidP="00C54F48">
      <w:pPr>
        <w:bidi w:val="0"/>
        <w:jc w:val="center"/>
        <w:rPr>
          <w:rFonts w:ascii="Calibri" w:hAnsi="Calibri" w:cs="Calibri"/>
          <w:b/>
          <w:bCs/>
        </w:rPr>
      </w:pPr>
      <w:r w:rsidRPr="00503E1D">
        <w:rPr>
          <w:rFonts w:ascii="Calibri" w:hAnsi="Calibri" w:cs="Calibri"/>
          <w:noProof/>
        </w:rPr>
        <mc:AlternateContent>
          <mc:Choice Requires="wps">
            <w:drawing>
              <wp:anchor distT="45720" distB="45720" distL="114300" distR="114300" simplePos="0" relativeHeight="251662336" behindDoc="0" locked="0" layoutInCell="1" allowOverlap="1" wp14:anchorId="31971734" wp14:editId="79BC9968">
                <wp:simplePos x="0" y="0"/>
                <wp:positionH relativeFrom="column">
                  <wp:posOffset>370205</wp:posOffset>
                </wp:positionH>
                <wp:positionV relativeFrom="paragraph">
                  <wp:posOffset>3170555</wp:posOffset>
                </wp:positionV>
                <wp:extent cx="2869565" cy="219075"/>
                <wp:effectExtent l="0" t="0" r="698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219075"/>
                        </a:xfrm>
                        <a:prstGeom prst="rect">
                          <a:avLst/>
                        </a:prstGeom>
                        <a:solidFill>
                          <a:srgbClr val="FFFFFF"/>
                        </a:solidFill>
                        <a:ln w="9525">
                          <a:noFill/>
                          <a:miter lim="800000"/>
                          <a:headEnd/>
                          <a:tailEnd/>
                        </a:ln>
                      </wps:spPr>
                      <wps:txbx>
                        <w:txbxContent>
                          <w:p w14:paraId="11029CF5" w14:textId="77777777" w:rsidR="00132C46" w:rsidRPr="008B6A3C" w:rsidRDefault="00132C46" w:rsidP="00494280">
                            <w:pPr>
                              <w:bidi w:val="0"/>
                              <w:rPr>
                                <w:sz w:val="18"/>
                                <w:szCs w:val="18"/>
                                <w:vertAlign w:val="superscript"/>
                              </w:rPr>
                            </w:pPr>
                            <w:r>
                              <w:rPr>
                                <w:sz w:val="18"/>
                                <w:szCs w:val="18"/>
                              </w:rPr>
                              <w:t xml:space="preserve">Source: </w:t>
                            </w:r>
                            <w:r w:rsidRPr="00132C46">
                              <w:rPr>
                                <w:sz w:val="18"/>
                                <w:szCs w:val="18"/>
                              </w:rPr>
                              <w:t>Bank of Israel data</w:t>
                            </w:r>
                            <w:r w:rsidR="00494280">
                              <w:rPr>
                                <w:sz w:val="18"/>
                                <w:szCs w:val="18"/>
                              </w:rPr>
                              <w:t xml:space="preserve"> and processing</w:t>
                            </w:r>
                            <w:r w:rsidR="00BA72C9">
                              <w:rPr>
                                <w:sz w:val="18"/>
                                <w:szCs w:val="18"/>
                                <w:vertAlign w:val="superscript"/>
                              </w:rPr>
                              <w:t>1</w:t>
                            </w:r>
                            <w:r w:rsidR="00BA72C9">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971734" id="_x0000_t202" coordsize="21600,21600" o:spt="202" path="m,l,21600r21600,l21600,xe">
                <v:stroke joinstyle="miter"/>
                <v:path gradientshapeok="t" o:connecttype="rect"/>
              </v:shapetype>
              <v:shape id="Text Box 2" o:spid="_x0000_s1026" type="#_x0000_t202" style="position:absolute;left:0;text-align:left;margin-left:29.15pt;margin-top:249.65pt;width:225.95pt;height:1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" stroked="f">
                <v:textbox>
                  <w:txbxContent>
                    <w:p w14:paraId="11029CF5" w14:textId="77777777" w:rsidR="00132C46" w:rsidRPr="008B6A3C" w:rsidRDefault="00132C46" w:rsidP="00494280">
                      <w:pPr>
                        <w:bidi w:val="0"/>
                        <w:rPr>
                          <w:sz w:val="18"/>
                          <w:szCs w:val="18"/>
                          <w:vertAlign w:val="superscript"/>
                        </w:rPr>
                      </w:pPr>
                      <w:r>
                        <w:rPr>
                          <w:sz w:val="18"/>
                          <w:szCs w:val="18"/>
                        </w:rPr>
                        <w:t xml:space="preserve">Source: </w:t>
                      </w:r>
                      <w:r w:rsidRPr="00132C46">
                        <w:rPr>
                          <w:sz w:val="18"/>
                          <w:szCs w:val="18"/>
                        </w:rPr>
                        <w:t>Bank of Israel data</w:t>
                      </w:r>
                      <w:r w:rsidR="00494280">
                        <w:rPr>
                          <w:sz w:val="18"/>
                          <w:szCs w:val="18"/>
                        </w:rPr>
                        <w:t xml:space="preserve"> and processing</w:t>
                      </w:r>
                      <w:r w:rsidR="00BA72C9">
                        <w:rPr>
                          <w:sz w:val="18"/>
                          <w:szCs w:val="18"/>
                          <w:vertAlign w:val="superscript"/>
                        </w:rPr>
                        <w:t>1</w:t>
                      </w:r>
                      <w:r w:rsidR="00BA72C9">
                        <w:rPr>
                          <w:sz w:val="18"/>
                          <w:szCs w:val="18"/>
                        </w:rPr>
                        <w:t>.</w:t>
                      </w:r>
                    </w:p>
                  </w:txbxContent>
                </v:textbox>
              </v:shape>
            </w:pict>
          </mc:Fallback>
        </mc:AlternateContent>
      </w:r>
      <w:r w:rsidR="00DF78A9" w:rsidRPr="00503E1D">
        <w:rPr>
          <w:rFonts w:ascii="Calibri" w:hAnsi="Calibri" w:cs="Calibri"/>
          <w:b/>
          <w:bCs/>
          <w:noProof/>
        </w:rPr>
        <w:drawing>
          <wp:inline distT="0" distB="0" distL="0" distR="0" wp14:anchorId="40BFE4EE" wp14:editId="5356248A">
            <wp:extent cx="4382389" cy="3175000"/>
            <wp:effectExtent l="0" t="0" r="0" b="6350"/>
            <wp:docPr id="2" name="תמונה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5442" cy="3184457"/>
                    </a:xfrm>
                    <a:prstGeom prst="rect">
                      <a:avLst/>
                    </a:prstGeom>
                    <a:noFill/>
                  </pic:spPr>
                </pic:pic>
              </a:graphicData>
            </a:graphic>
          </wp:inline>
        </w:drawing>
      </w:r>
      <w:r w:rsidR="00BB001C" w:rsidRPr="00503E1D">
        <w:rPr>
          <w:rFonts w:ascii="Calibri" w:hAnsi="Calibri" w:cs="Calibri"/>
          <w:b/>
          <w:bCs/>
        </w:rPr>
        <w:br w:type="page"/>
      </w:r>
    </w:p>
    <w:p w14:paraId="4C0F7D1B" w14:textId="1011473A" w:rsidR="0056142B" w:rsidRPr="00503E1D" w:rsidRDefault="00DD15DC" w:rsidP="00D2771E">
      <w:pPr>
        <w:pStyle w:val="regpar"/>
        <w:numPr>
          <w:ilvl w:val="0"/>
          <w:numId w:val="7"/>
        </w:numPr>
        <w:ind w:left="426"/>
        <w:rPr>
          <w:rFonts w:ascii="Calibri" w:hAnsi="Calibri" w:cs="Calibri"/>
        </w:rPr>
      </w:pPr>
      <w:r w:rsidRPr="00503E1D">
        <w:rPr>
          <w:rFonts w:ascii="Calibri" w:hAnsi="Calibri" w:cs="Calibri"/>
          <w:b/>
          <w:bCs/>
        </w:rPr>
        <w:lastRenderedPageBreak/>
        <w:t xml:space="preserve">The value of other investments </w:t>
      </w:r>
      <w:r w:rsidRPr="00503E1D">
        <w:rPr>
          <w:rFonts w:ascii="Calibri" w:hAnsi="Calibri" w:cs="Calibri"/>
        </w:rPr>
        <w:t xml:space="preserve">abroad </w:t>
      </w:r>
      <w:r w:rsidR="00E63313" w:rsidRPr="00503E1D">
        <w:rPr>
          <w:rFonts w:ascii="Calibri" w:hAnsi="Calibri" w:cs="Calibri"/>
        </w:rPr>
        <w:t>increased</w:t>
      </w:r>
      <w:r w:rsidR="007324D1" w:rsidRPr="00503E1D">
        <w:rPr>
          <w:rFonts w:ascii="Calibri" w:hAnsi="Calibri" w:cs="Calibri"/>
        </w:rPr>
        <w:t xml:space="preserve"> </w:t>
      </w:r>
      <w:r w:rsidR="0000797D" w:rsidRPr="00503E1D">
        <w:rPr>
          <w:rFonts w:ascii="Calibri" w:hAnsi="Calibri" w:cs="Calibri"/>
        </w:rPr>
        <w:t>was unchanged</w:t>
      </w:r>
      <w:r w:rsidR="005C4BAB" w:rsidRPr="00503E1D">
        <w:rPr>
          <w:rFonts w:ascii="Calibri" w:hAnsi="Calibri" w:cs="Calibri"/>
        </w:rPr>
        <w:t xml:space="preserve">. </w:t>
      </w:r>
      <w:r w:rsidR="0000797D" w:rsidRPr="00503E1D">
        <w:rPr>
          <w:rFonts w:ascii="Calibri" w:hAnsi="Calibri" w:cs="Calibri"/>
        </w:rPr>
        <w:t xml:space="preserve">Israeli residents invested a net $1.2 billion. Most of the investments were made via </w:t>
      </w:r>
      <w:r w:rsidR="00D2771E" w:rsidRPr="00503E1D">
        <w:rPr>
          <w:rFonts w:ascii="Calibri" w:hAnsi="Calibri" w:cs="Calibri"/>
        </w:rPr>
        <w:t xml:space="preserve">the provision of </w:t>
      </w:r>
      <w:proofErr w:type="gramStart"/>
      <w:r w:rsidR="00D2771E" w:rsidRPr="00503E1D">
        <w:rPr>
          <w:rFonts w:ascii="Calibri" w:hAnsi="Calibri" w:cs="Calibri"/>
        </w:rPr>
        <w:t>customers</w:t>
      </w:r>
      <w:proofErr w:type="gramEnd"/>
      <w:r w:rsidR="00D2771E" w:rsidRPr="00503E1D">
        <w:rPr>
          <w:rFonts w:ascii="Calibri" w:hAnsi="Calibri" w:cs="Calibri"/>
        </w:rPr>
        <w:t xml:space="preserve"> credit to nonresidents, totaling $2.5 billion and the provision of loans to nonresidents totaling $3.9 billion.</w:t>
      </w:r>
      <w:r w:rsidR="0000797D" w:rsidRPr="00503E1D">
        <w:rPr>
          <w:rFonts w:ascii="Calibri" w:hAnsi="Calibri" w:cs="Calibri"/>
        </w:rPr>
        <w:t xml:space="preserve"> These </w:t>
      </w:r>
      <w:r w:rsidR="00E63313" w:rsidRPr="00503E1D">
        <w:rPr>
          <w:rFonts w:ascii="Calibri" w:hAnsi="Calibri" w:cs="Calibri"/>
        </w:rPr>
        <w:t xml:space="preserve">investments </w:t>
      </w:r>
      <w:r w:rsidR="0000797D" w:rsidRPr="00503E1D">
        <w:rPr>
          <w:rFonts w:ascii="Calibri" w:hAnsi="Calibri" w:cs="Calibri"/>
        </w:rPr>
        <w:t>were fully offset by the strengthening of the shekel vis-à-vis the dollar.</w:t>
      </w:r>
    </w:p>
    <w:p w14:paraId="08BEE0EA" w14:textId="509C1B6F" w:rsidR="005F7902" w:rsidRPr="00503E1D" w:rsidRDefault="00D34C57" w:rsidP="00346765">
      <w:pPr>
        <w:pStyle w:val="regpar"/>
        <w:numPr>
          <w:ilvl w:val="0"/>
          <w:numId w:val="7"/>
        </w:numPr>
        <w:ind w:left="426"/>
        <w:rPr>
          <w:rFonts w:ascii="Calibri" w:hAnsi="Calibri" w:cs="Calibri"/>
        </w:rPr>
      </w:pPr>
      <w:r w:rsidRPr="00503E1D">
        <w:rPr>
          <w:rFonts w:ascii="Calibri" w:hAnsi="Calibri" w:cs="Calibri"/>
          <w:b/>
          <w:bCs/>
        </w:rPr>
        <w:t xml:space="preserve">The value of </w:t>
      </w:r>
      <w:r w:rsidR="001D32F9" w:rsidRPr="00503E1D">
        <w:rPr>
          <w:rFonts w:ascii="Calibri" w:hAnsi="Calibri" w:cs="Calibri"/>
          <w:b/>
          <w:bCs/>
        </w:rPr>
        <w:t xml:space="preserve">the </w:t>
      </w:r>
      <w:r w:rsidRPr="00503E1D">
        <w:rPr>
          <w:rFonts w:ascii="Calibri" w:hAnsi="Calibri" w:cs="Calibri"/>
          <w:b/>
          <w:bCs/>
        </w:rPr>
        <w:t>reserve</w:t>
      </w:r>
      <w:r w:rsidR="00DA4066" w:rsidRPr="00503E1D">
        <w:rPr>
          <w:rFonts w:ascii="Calibri" w:hAnsi="Calibri" w:cs="Calibri"/>
          <w:b/>
          <w:bCs/>
        </w:rPr>
        <w:t xml:space="preserve"> assets</w:t>
      </w:r>
      <w:r w:rsidR="00DA4066" w:rsidRPr="00503E1D">
        <w:rPr>
          <w:rFonts w:ascii="Calibri" w:hAnsi="Calibri" w:cs="Calibri"/>
        </w:rPr>
        <w:t xml:space="preserve"> </w:t>
      </w:r>
      <w:r w:rsidR="005F7902" w:rsidRPr="00503E1D">
        <w:rPr>
          <w:rFonts w:ascii="Calibri" w:hAnsi="Calibri" w:cs="Calibri"/>
        </w:rPr>
        <w:t>de</w:t>
      </w:r>
      <w:r w:rsidR="002210FA" w:rsidRPr="00503E1D">
        <w:rPr>
          <w:rFonts w:ascii="Calibri" w:hAnsi="Calibri" w:cs="Calibri"/>
        </w:rPr>
        <w:t>creas</w:t>
      </w:r>
      <w:r w:rsidR="00E63313" w:rsidRPr="00503E1D">
        <w:rPr>
          <w:rFonts w:ascii="Calibri" w:hAnsi="Calibri" w:cs="Calibri"/>
        </w:rPr>
        <w:t xml:space="preserve">ed </w:t>
      </w:r>
      <w:r w:rsidR="0079583C" w:rsidRPr="00503E1D">
        <w:rPr>
          <w:rFonts w:ascii="Calibri" w:hAnsi="Calibri" w:cs="Calibri"/>
        </w:rPr>
        <w:t>by about $</w:t>
      </w:r>
      <w:r w:rsidR="005F7902" w:rsidRPr="00503E1D">
        <w:rPr>
          <w:rFonts w:ascii="Calibri" w:hAnsi="Calibri" w:cs="Calibri"/>
        </w:rPr>
        <w:t xml:space="preserve">5.8 </w:t>
      </w:r>
      <w:r w:rsidR="0079583C" w:rsidRPr="00503E1D">
        <w:rPr>
          <w:rFonts w:ascii="Calibri" w:hAnsi="Calibri" w:cs="Calibri"/>
        </w:rPr>
        <w:t>billion (</w:t>
      </w:r>
      <w:r w:rsidR="009727DF" w:rsidRPr="00503E1D">
        <w:rPr>
          <w:rFonts w:ascii="Calibri" w:hAnsi="Calibri" w:cs="Calibri"/>
        </w:rPr>
        <w:t xml:space="preserve">about </w:t>
      </w:r>
      <w:r w:rsidR="005F7902" w:rsidRPr="00503E1D">
        <w:rPr>
          <w:rFonts w:ascii="Calibri" w:hAnsi="Calibri" w:cs="Calibri"/>
        </w:rPr>
        <w:t xml:space="preserve">2.6 </w:t>
      </w:r>
      <w:r w:rsidR="0079583C" w:rsidRPr="00503E1D">
        <w:rPr>
          <w:rFonts w:ascii="Calibri" w:hAnsi="Calibri" w:cs="Calibri"/>
        </w:rPr>
        <w:t>perc</w:t>
      </w:r>
      <w:r w:rsidR="00D204CA" w:rsidRPr="00503E1D">
        <w:rPr>
          <w:rFonts w:ascii="Calibri" w:hAnsi="Calibri" w:cs="Calibri"/>
        </w:rPr>
        <w:t>e</w:t>
      </w:r>
      <w:r w:rsidR="0079583C" w:rsidRPr="00503E1D">
        <w:rPr>
          <w:rFonts w:ascii="Calibri" w:hAnsi="Calibri" w:cs="Calibri"/>
        </w:rPr>
        <w:t>nt)</w:t>
      </w:r>
      <w:r w:rsidR="000027EA" w:rsidRPr="00503E1D">
        <w:rPr>
          <w:rFonts w:ascii="Calibri" w:hAnsi="Calibri" w:cs="Calibri"/>
        </w:rPr>
        <w:t xml:space="preserve"> during the </w:t>
      </w:r>
      <w:r w:rsidR="00AD4944" w:rsidRPr="00503E1D">
        <w:rPr>
          <w:rFonts w:ascii="Calibri" w:hAnsi="Calibri" w:cs="Calibri"/>
        </w:rPr>
        <w:t>fourth</w:t>
      </w:r>
      <w:r w:rsidR="007A6A15" w:rsidRPr="00503E1D">
        <w:rPr>
          <w:rFonts w:ascii="Calibri" w:hAnsi="Calibri" w:cs="Calibri"/>
        </w:rPr>
        <w:t xml:space="preserve"> quarter</w:t>
      </w:r>
      <w:r w:rsidR="007F3AB4" w:rsidRPr="00503E1D">
        <w:rPr>
          <w:rFonts w:ascii="Calibri" w:hAnsi="Calibri" w:cs="Calibri"/>
        </w:rPr>
        <w:t xml:space="preserve">, </w:t>
      </w:r>
      <w:r w:rsidR="00281D82" w:rsidRPr="00503E1D">
        <w:rPr>
          <w:rFonts w:ascii="Calibri" w:hAnsi="Calibri" w:cs="Calibri"/>
        </w:rPr>
        <w:t xml:space="preserve">to </w:t>
      </w:r>
      <w:r w:rsidR="005E7885" w:rsidRPr="00503E1D">
        <w:rPr>
          <w:rFonts w:ascii="Calibri" w:hAnsi="Calibri" w:cs="Calibri"/>
        </w:rPr>
        <w:t xml:space="preserve">about </w:t>
      </w:r>
      <w:r w:rsidRPr="00503E1D">
        <w:rPr>
          <w:rFonts w:ascii="Calibri" w:hAnsi="Calibri" w:cs="Calibri"/>
        </w:rPr>
        <w:t>$</w:t>
      </w:r>
      <w:r w:rsidR="005F7902" w:rsidRPr="00503E1D">
        <w:rPr>
          <w:rFonts w:ascii="Calibri" w:hAnsi="Calibri" w:cs="Calibri"/>
        </w:rPr>
        <w:t>216</w:t>
      </w:r>
      <w:r w:rsidR="001623A5" w:rsidRPr="00503E1D">
        <w:rPr>
          <w:rFonts w:ascii="Calibri" w:hAnsi="Calibri" w:cs="Calibri"/>
        </w:rPr>
        <w:t xml:space="preserve"> </w:t>
      </w:r>
      <w:r w:rsidR="00335A9E" w:rsidRPr="00503E1D">
        <w:rPr>
          <w:rFonts w:ascii="Calibri" w:hAnsi="Calibri" w:cs="Calibri"/>
        </w:rPr>
        <w:t>b</w:t>
      </w:r>
      <w:r w:rsidRPr="00503E1D">
        <w:rPr>
          <w:rFonts w:ascii="Calibri" w:hAnsi="Calibri" w:cs="Calibri"/>
        </w:rPr>
        <w:t>illion at the end of</w:t>
      </w:r>
      <w:r w:rsidR="005E761E" w:rsidRPr="00503E1D">
        <w:rPr>
          <w:rFonts w:ascii="Calibri" w:hAnsi="Calibri" w:cs="Calibri"/>
        </w:rPr>
        <w:t xml:space="preserve"> </w:t>
      </w:r>
      <w:r w:rsidR="005F7902" w:rsidRPr="00503E1D">
        <w:rPr>
          <w:rFonts w:ascii="Calibri" w:hAnsi="Calibri" w:cs="Calibri"/>
        </w:rPr>
        <w:t>December</w:t>
      </w:r>
      <w:r w:rsidRPr="00503E1D">
        <w:rPr>
          <w:rFonts w:ascii="Calibri" w:hAnsi="Calibri" w:cs="Calibri"/>
        </w:rPr>
        <w:t>.</w:t>
      </w:r>
      <w:r w:rsidR="00A82D15" w:rsidRPr="00503E1D">
        <w:rPr>
          <w:rFonts w:ascii="Calibri" w:hAnsi="Calibri" w:cs="Calibri"/>
        </w:rPr>
        <w:t xml:space="preserve"> </w:t>
      </w:r>
      <w:r w:rsidR="00281D82" w:rsidRPr="00503E1D">
        <w:rPr>
          <w:rFonts w:ascii="Calibri" w:hAnsi="Calibri" w:cs="Calibri"/>
        </w:rPr>
        <w:t xml:space="preserve">The </w:t>
      </w:r>
      <w:r w:rsidR="005F7902" w:rsidRPr="00503E1D">
        <w:rPr>
          <w:rFonts w:ascii="Calibri" w:hAnsi="Calibri" w:cs="Calibri"/>
        </w:rPr>
        <w:t xml:space="preserve">decline in the balance derived </w:t>
      </w:r>
      <w:r w:rsidR="00E63313" w:rsidRPr="00503E1D">
        <w:rPr>
          <w:rFonts w:ascii="Calibri" w:hAnsi="Calibri" w:cs="Calibri"/>
        </w:rPr>
        <w:t>m</w:t>
      </w:r>
      <w:r w:rsidR="003A2DAE" w:rsidRPr="00503E1D">
        <w:rPr>
          <w:rFonts w:ascii="Calibri" w:hAnsi="Calibri" w:cs="Calibri"/>
        </w:rPr>
        <w:t>ainly</w:t>
      </w:r>
      <w:r w:rsidR="00E63313" w:rsidRPr="00503E1D">
        <w:rPr>
          <w:rFonts w:ascii="Calibri" w:hAnsi="Calibri" w:cs="Calibri"/>
        </w:rPr>
        <w:t xml:space="preserve"> </w:t>
      </w:r>
      <w:r w:rsidR="005F7902" w:rsidRPr="00503E1D">
        <w:rPr>
          <w:rFonts w:ascii="Calibri" w:hAnsi="Calibri" w:cs="Calibri"/>
        </w:rPr>
        <w:t>from the strengthening of the dollar vs. other cur</w:t>
      </w:r>
      <w:r w:rsidR="00783C12" w:rsidRPr="00503E1D">
        <w:rPr>
          <w:rFonts w:ascii="Calibri" w:hAnsi="Calibri" w:cs="Calibri"/>
        </w:rPr>
        <w:t>r</w:t>
      </w:r>
      <w:r w:rsidR="005F7902" w:rsidRPr="00503E1D">
        <w:rPr>
          <w:rFonts w:ascii="Calibri" w:hAnsi="Calibri" w:cs="Calibri"/>
        </w:rPr>
        <w:t>encies worl</w:t>
      </w:r>
      <w:r w:rsidR="00783C12" w:rsidRPr="00503E1D">
        <w:rPr>
          <w:rFonts w:ascii="Calibri" w:hAnsi="Calibri" w:cs="Calibri"/>
        </w:rPr>
        <w:t>d</w:t>
      </w:r>
      <w:r w:rsidR="005F7902" w:rsidRPr="00503E1D">
        <w:rPr>
          <w:rFonts w:ascii="Calibri" w:hAnsi="Calibri" w:cs="Calibri"/>
        </w:rPr>
        <w:t>w</w:t>
      </w:r>
      <w:r w:rsidR="00783C12" w:rsidRPr="00503E1D">
        <w:rPr>
          <w:rFonts w:ascii="Calibri" w:hAnsi="Calibri" w:cs="Calibri"/>
        </w:rPr>
        <w:t>i</w:t>
      </w:r>
      <w:r w:rsidR="005F7902" w:rsidRPr="00503E1D">
        <w:rPr>
          <w:rFonts w:ascii="Calibri" w:hAnsi="Calibri" w:cs="Calibri"/>
        </w:rPr>
        <w:t xml:space="preserve">de, which </w:t>
      </w:r>
      <w:r w:rsidR="00346765" w:rsidRPr="00503E1D">
        <w:rPr>
          <w:rFonts w:ascii="Calibri" w:hAnsi="Calibri" w:cs="Calibri"/>
        </w:rPr>
        <w:t xml:space="preserve">led to </w:t>
      </w:r>
      <w:r w:rsidR="005F7902" w:rsidRPr="00503E1D">
        <w:rPr>
          <w:rFonts w:ascii="Calibri" w:hAnsi="Calibri" w:cs="Calibri"/>
        </w:rPr>
        <w:t xml:space="preserve">a </w:t>
      </w:r>
      <w:r w:rsidR="00783C12" w:rsidRPr="00503E1D">
        <w:rPr>
          <w:rFonts w:ascii="Calibri" w:hAnsi="Calibri" w:cs="Calibri"/>
        </w:rPr>
        <w:t>decline</w:t>
      </w:r>
      <w:r w:rsidR="005F7902" w:rsidRPr="00503E1D">
        <w:rPr>
          <w:rFonts w:ascii="Calibri" w:hAnsi="Calibri" w:cs="Calibri"/>
        </w:rPr>
        <w:t xml:space="preserve"> in </w:t>
      </w:r>
      <w:r w:rsidR="00783C12" w:rsidRPr="00503E1D">
        <w:rPr>
          <w:rFonts w:ascii="Calibri" w:hAnsi="Calibri" w:cs="Calibri"/>
        </w:rPr>
        <w:t xml:space="preserve">the </w:t>
      </w:r>
      <w:r w:rsidR="005F7902" w:rsidRPr="00503E1D">
        <w:rPr>
          <w:rFonts w:ascii="Calibri" w:hAnsi="Calibri" w:cs="Calibri"/>
        </w:rPr>
        <w:t xml:space="preserve">value of the </w:t>
      </w:r>
      <w:r w:rsidR="00783C12" w:rsidRPr="00503E1D">
        <w:rPr>
          <w:rFonts w:ascii="Calibri" w:hAnsi="Calibri" w:cs="Calibri"/>
        </w:rPr>
        <w:t xml:space="preserve">reserve </w:t>
      </w:r>
      <w:r w:rsidR="005F7902" w:rsidRPr="00503E1D">
        <w:rPr>
          <w:rFonts w:ascii="Calibri" w:hAnsi="Calibri" w:cs="Calibri"/>
        </w:rPr>
        <w:t>assets totaling about $5.3 billion. In addition,</w:t>
      </w:r>
      <w:r w:rsidR="009B798A" w:rsidRPr="00503E1D">
        <w:rPr>
          <w:rFonts w:ascii="Calibri" w:hAnsi="Calibri" w:cs="Calibri"/>
        </w:rPr>
        <w:t xml:space="preserve"> there were declines in foreign securities prices. These declines were partly offset by government activities totaling about $2.2 billion.</w:t>
      </w:r>
      <w:r w:rsidR="00FE372D" w:rsidRPr="00503E1D">
        <w:rPr>
          <w:rFonts w:ascii="Calibri" w:hAnsi="Calibri" w:cs="Calibri"/>
        </w:rPr>
        <w:t xml:space="preserve"> </w:t>
      </w:r>
    </w:p>
    <w:p w14:paraId="5F8D6763" w14:textId="3A9FEAA4" w:rsidR="00DD15DC" w:rsidRPr="00503E1D" w:rsidRDefault="00DD15DC" w:rsidP="00346765">
      <w:pPr>
        <w:pStyle w:val="regpar"/>
        <w:numPr>
          <w:ilvl w:val="0"/>
          <w:numId w:val="7"/>
        </w:numPr>
        <w:ind w:left="432"/>
        <w:rPr>
          <w:rFonts w:ascii="Calibri" w:hAnsi="Calibri" w:cs="Calibri"/>
        </w:rPr>
      </w:pPr>
      <w:r w:rsidRPr="00503E1D">
        <w:rPr>
          <w:rFonts w:ascii="Calibri" w:hAnsi="Calibri" w:cs="Calibri"/>
          <w:b/>
          <w:bCs/>
        </w:rPr>
        <w:t xml:space="preserve">The composition of </w:t>
      </w:r>
      <w:r w:rsidR="00405EEE" w:rsidRPr="00503E1D">
        <w:rPr>
          <w:rFonts w:ascii="Calibri" w:hAnsi="Calibri" w:cs="Calibri"/>
          <w:b/>
          <w:bCs/>
        </w:rPr>
        <w:t>Israelis’</w:t>
      </w:r>
      <w:r w:rsidRPr="00503E1D">
        <w:rPr>
          <w:rFonts w:ascii="Calibri" w:hAnsi="Calibri" w:cs="Calibri"/>
          <w:b/>
          <w:bCs/>
        </w:rPr>
        <w:t xml:space="preserve"> securities portfolio abroad</w:t>
      </w:r>
      <w:r w:rsidR="00137AAC" w:rsidRPr="00503E1D">
        <w:rPr>
          <w:rFonts w:ascii="Calibri" w:hAnsi="Calibri" w:cs="Calibri"/>
        </w:rPr>
        <w:t>:</w:t>
      </w:r>
      <w:r w:rsidR="00AA63FF" w:rsidRPr="00503E1D">
        <w:rPr>
          <w:rFonts w:ascii="Calibri" w:hAnsi="Calibri" w:cs="Calibri"/>
        </w:rPr>
        <w:t xml:space="preserve"> </w:t>
      </w:r>
      <w:r w:rsidR="0020142C" w:rsidRPr="00503E1D">
        <w:rPr>
          <w:rFonts w:ascii="Calibri" w:hAnsi="Calibri" w:cs="Calibri"/>
        </w:rPr>
        <w:t xml:space="preserve">During </w:t>
      </w:r>
      <w:r w:rsidR="00AA63FF" w:rsidRPr="00503E1D">
        <w:rPr>
          <w:rFonts w:ascii="Calibri" w:hAnsi="Calibri" w:cs="Calibri"/>
        </w:rPr>
        <w:t>t</w:t>
      </w:r>
      <w:r w:rsidR="00C95E5D" w:rsidRPr="00503E1D">
        <w:rPr>
          <w:rFonts w:ascii="Calibri" w:hAnsi="Calibri" w:cs="Calibri"/>
        </w:rPr>
        <w:t xml:space="preserve">he </w:t>
      </w:r>
      <w:r w:rsidR="00AD4944" w:rsidRPr="00503E1D">
        <w:rPr>
          <w:rFonts w:ascii="Calibri" w:hAnsi="Calibri" w:cs="Calibri"/>
        </w:rPr>
        <w:t>fourth</w:t>
      </w:r>
      <w:r w:rsidR="007A6A15" w:rsidRPr="00503E1D">
        <w:rPr>
          <w:rFonts w:ascii="Calibri" w:hAnsi="Calibri" w:cs="Calibri"/>
        </w:rPr>
        <w:t xml:space="preserve"> quarter</w:t>
      </w:r>
      <w:r w:rsidR="00C95E5D" w:rsidRPr="00503E1D">
        <w:rPr>
          <w:rFonts w:ascii="Calibri" w:hAnsi="Calibri" w:cs="Calibri"/>
        </w:rPr>
        <w:t xml:space="preserve">, </w:t>
      </w:r>
      <w:r w:rsidR="005B25FD" w:rsidRPr="00503E1D">
        <w:rPr>
          <w:rFonts w:ascii="Calibri" w:hAnsi="Calibri" w:cs="Calibri"/>
        </w:rPr>
        <w:t xml:space="preserve">the </w:t>
      </w:r>
      <w:r w:rsidR="00864530" w:rsidRPr="00503E1D">
        <w:rPr>
          <w:rFonts w:ascii="Calibri" w:hAnsi="Calibri" w:cs="Calibri"/>
        </w:rPr>
        <w:t xml:space="preserve">share of </w:t>
      </w:r>
      <w:r w:rsidR="009727DF" w:rsidRPr="00503E1D">
        <w:rPr>
          <w:rFonts w:ascii="Calibri" w:hAnsi="Calibri" w:cs="Calibri"/>
        </w:rPr>
        <w:t xml:space="preserve">equity instruments in </w:t>
      </w:r>
      <w:r w:rsidR="00864530" w:rsidRPr="00503E1D">
        <w:rPr>
          <w:rFonts w:ascii="Calibri" w:hAnsi="Calibri" w:cs="Calibri"/>
        </w:rPr>
        <w:t xml:space="preserve">Israeli residents’ </w:t>
      </w:r>
      <w:r w:rsidR="009727DF" w:rsidRPr="00503E1D">
        <w:rPr>
          <w:rFonts w:ascii="Calibri" w:hAnsi="Calibri" w:cs="Calibri"/>
        </w:rPr>
        <w:t>portfolio</w:t>
      </w:r>
      <w:r w:rsidR="00864530" w:rsidRPr="00503E1D">
        <w:rPr>
          <w:rFonts w:ascii="Calibri" w:hAnsi="Calibri" w:cs="Calibri"/>
        </w:rPr>
        <w:t xml:space="preserve"> abroad</w:t>
      </w:r>
      <w:r w:rsidR="009727DF" w:rsidRPr="00503E1D">
        <w:rPr>
          <w:rFonts w:ascii="Calibri" w:hAnsi="Calibri" w:cs="Calibri"/>
        </w:rPr>
        <w:t xml:space="preserve"> </w:t>
      </w:r>
      <w:r w:rsidR="00D41724" w:rsidRPr="00503E1D">
        <w:rPr>
          <w:rFonts w:ascii="Calibri" w:hAnsi="Calibri" w:cs="Calibri"/>
        </w:rPr>
        <w:t xml:space="preserve">remained </w:t>
      </w:r>
      <w:r w:rsidR="00672616" w:rsidRPr="00503E1D">
        <w:rPr>
          <w:rFonts w:ascii="Calibri" w:hAnsi="Calibri" w:cs="Calibri"/>
        </w:rPr>
        <w:t>unchanged</w:t>
      </w:r>
      <w:r w:rsidR="00EC7C36" w:rsidRPr="00503E1D">
        <w:rPr>
          <w:rFonts w:ascii="Calibri" w:hAnsi="Calibri" w:cs="Calibri"/>
        </w:rPr>
        <w:t>, and was</w:t>
      </w:r>
      <w:r w:rsidR="009727DF" w:rsidRPr="00503E1D">
        <w:rPr>
          <w:rFonts w:ascii="Calibri" w:hAnsi="Calibri" w:cs="Calibri"/>
        </w:rPr>
        <w:t xml:space="preserve"> </w:t>
      </w:r>
      <w:r w:rsidR="002D5391" w:rsidRPr="00503E1D">
        <w:rPr>
          <w:rFonts w:ascii="Calibri" w:hAnsi="Calibri" w:cs="Calibri"/>
        </w:rPr>
        <w:t>45</w:t>
      </w:r>
      <w:r w:rsidR="009727DF" w:rsidRPr="00503E1D">
        <w:rPr>
          <w:rFonts w:ascii="Calibri" w:hAnsi="Calibri" w:cs="Calibri"/>
        </w:rPr>
        <w:t xml:space="preserve"> percent</w:t>
      </w:r>
      <w:r w:rsidR="00D41724" w:rsidRPr="00503E1D">
        <w:rPr>
          <w:rFonts w:ascii="Calibri" w:hAnsi="Calibri" w:cs="Calibri"/>
        </w:rPr>
        <w:t xml:space="preserve"> at the end of </w:t>
      </w:r>
      <w:r w:rsidR="00346765" w:rsidRPr="00503E1D">
        <w:rPr>
          <w:rFonts w:ascii="Calibri" w:hAnsi="Calibri" w:cs="Calibri"/>
        </w:rPr>
        <w:t>December</w:t>
      </w:r>
      <w:r w:rsidR="009727DF" w:rsidRPr="00503E1D">
        <w:rPr>
          <w:rFonts w:ascii="Calibri" w:hAnsi="Calibri" w:cs="Calibri"/>
        </w:rPr>
        <w:t>. A</w:t>
      </w:r>
      <w:r w:rsidR="005B25FD" w:rsidRPr="00503E1D">
        <w:rPr>
          <w:rFonts w:ascii="Calibri" w:hAnsi="Calibri" w:cs="Calibri"/>
        </w:rPr>
        <w:t>ccordingly</w:t>
      </w:r>
      <w:r w:rsidR="00AF55F1" w:rsidRPr="00503E1D">
        <w:rPr>
          <w:rFonts w:ascii="Calibri" w:hAnsi="Calibri" w:cs="Calibri"/>
        </w:rPr>
        <w:t>,</w:t>
      </w:r>
      <w:r w:rsidR="005B25FD" w:rsidRPr="00503E1D">
        <w:rPr>
          <w:rFonts w:ascii="Calibri" w:hAnsi="Calibri" w:cs="Calibri"/>
        </w:rPr>
        <w:t xml:space="preserve"> the </w:t>
      </w:r>
      <w:r w:rsidR="00C848BB" w:rsidRPr="00503E1D">
        <w:rPr>
          <w:rFonts w:ascii="Calibri" w:hAnsi="Calibri" w:cs="Calibri"/>
        </w:rPr>
        <w:t xml:space="preserve">share </w:t>
      </w:r>
      <w:r w:rsidR="00AF5646" w:rsidRPr="00503E1D">
        <w:rPr>
          <w:rFonts w:ascii="Calibri" w:hAnsi="Calibri" w:cs="Calibri"/>
        </w:rPr>
        <w:t>of</w:t>
      </w:r>
      <w:r w:rsidR="00864530" w:rsidRPr="00503E1D">
        <w:rPr>
          <w:rFonts w:ascii="Calibri" w:hAnsi="Calibri" w:cs="Calibri"/>
        </w:rPr>
        <w:t xml:space="preserve"> debt </w:t>
      </w:r>
      <w:r w:rsidR="00AF5646" w:rsidRPr="00503E1D">
        <w:rPr>
          <w:rFonts w:ascii="Calibri" w:hAnsi="Calibri" w:cs="Calibri"/>
        </w:rPr>
        <w:t>instruments</w:t>
      </w:r>
      <w:r w:rsidR="00864530" w:rsidRPr="00503E1D">
        <w:rPr>
          <w:rFonts w:ascii="Calibri" w:hAnsi="Calibri" w:cs="Calibri"/>
        </w:rPr>
        <w:t xml:space="preserve"> </w:t>
      </w:r>
      <w:r w:rsidR="009C018D" w:rsidRPr="00503E1D">
        <w:rPr>
          <w:rFonts w:ascii="Calibri" w:hAnsi="Calibri" w:cs="Calibri"/>
        </w:rPr>
        <w:t xml:space="preserve">was </w:t>
      </w:r>
      <w:r w:rsidR="002D5391" w:rsidRPr="00503E1D">
        <w:rPr>
          <w:rFonts w:ascii="Calibri" w:hAnsi="Calibri" w:cs="Calibri"/>
        </w:rPr>
        <w:t>55</w:t>
      </w:r>
      <w:r w:rsidR="00310434" w:rsidRPr="00503E1D">
        <w:rPr>
          <w:rFonts w:ascii="Calibri" w:hAnsi="Calibri" w:cs="Calibri"/>
        </w:rPr>
        <w:t xml:space="preserve"> </w:t>
      </w:r>
      <w:r w:rsidR="00AF5646" w:rsidRPr="00503E1D">
        <w:rPr>
          <w:rFonts w:ascii="Calibri" w:hAnsi="Calibri" w:cs="Calibri"/>
        </w:rPr>
        <w:t>percent</w:t>
      </w:r>
      <w:r w:rsidR="00310434" w:rsidRPr="00503E1D">
        <w:rPr>
          <w:rFonts w:ascii="Calibri" w:hAnsi="Calibri" w:cs="Calibri"/>
        </w:rPr>
        <w:t xml:space="preserve"> at the end of</w:t>
      </w:r>
      <w:r w:rsidR="002D07A8" w:rsidRPr="00503E1D">
        <w:rPr>
          <w:rFonts w:ascii="Calibri" w:hAnsi="Calibri" w:cs="Calibri"/>
        </w:rPr>
        <w:t xml:space="preserve"> </w:t>
      </w:r>
      <w:r w:rsidR="00EC7C36" w:rsidRPr="00503E1D">
        <w:rPr>
          <w:rFonts w:ascii="Calibri" w:hAnsi="Calibri" w:cs="Calibri"/>
        </w:rPr>
        <w:t>the quarter</w:t>
      </w:r>
      <w:r w:rsidR="00864530" w:rsidRPr="00503E1D">
        <w:rPr>
          <w:rFonts w:ascii="Calibri" w:hAnsi="Calibri" w:cs="Calibri"/>
        </w:rPr>
        <w:t xml:space="preserve">. </w:t>
      </w:r>
    </w:p>
    <w:p w14:paraId="4EC417A8" w14:textId="77777777" w:rsidR="007C7EAD" w:rsidRPr="00503E1D" w:rsidRDefault="007C7EAD" w:rsidP="007C7EAD">
      <w:pPr>
        <w:pStyle w:val="regpar"/>
        <w:ind w:left="426" w:firstLine="0"/>
        <w:rPr>
          <w:rFonts w:ascii="Calibri" w:hAnsi="Calibri" w:cs="Calibri"/>
        </w:rPr>
      </w:pPr>
    </w:p>
    <w:p w14:paraId="53CC67F0" w14:textId="77777777" w:rsidR="007C7EAD" w:rsidRPr="00503E1D" w:rsidRDefault="007C7EAD" w:rsidP="007C7EAD">
      <w:pPr>
        <w:pStyle w:val="regpar"/>
        <w:ind w:left="426" w:firstLine="0"/>
        <w:rPr>
          <w:rFonts w:ascii="Calibri" w:hAnsi="Calibri" w:cs="Calibri"/>
        </w:rPr>
      </w:pPr>
    </w:p>
    <w:p w14:paraId="63BC4F35" w14:textId="77777777" w:rsidR="00763F37" w:rsidRPr="00503E1D" w:rsidRDefault="00763F37" w:rsidP="00763F37">
      <w:pPr>
        <w:pStyle w:val="regpar"/>
        <w:numPr>
          <w:ilvl w:val="0"/>
          <w:numId w:val="4"/>
        </w:numPr>
        <w:rPr>
          <w:rFonts w:ascii="Calibri" w:hAnsi="Calibri" w:cs="Calibri"/>
          <w:b/>
          <w:bCs/>
        </w:rPr>
      </w:pPr>
      <w:r w:rsidRPr="00503E1D">
        <w:rPr>
          <w:rFonts w:ascii="Calibri" w:hAnsi="Calibri" w:cs="Calibri"/>
          <w:b/>
          <w:bCs/>
        </w:rPr>
        <w:t>Israel’s liabilities to abroad</w:t>
      </w:r>
    </w:p>
    <w:p w14:paraId="4A37891B" w14:textId="77777777" w:rsidR="00763F37" w:rsidRPr="00503E1D" w:rsidRDefault="00763F37" w:rsidP="00DD15DC">
      <w:pPr>
        <w:pStyle w:val="regpar"/>
        <w:ind w:firstLine="0"/>
        <w:rPr>
          <w:rFonts w:ascii="Calibri" w:hAnsi="Calibri" w:cs="Calibri"/>
        </w:rPr>
      </w:pPr>
    </w:p>
    <w:p w14:paraId="4F93BD61" w14:textId="3E7DD6DF" w:rsidR="00812508" w:rsidRPr="00503E1D" w:rsidRDefault="00DD15DC" w:rsidP="009A20C0">
      <w:pPr>
        <w:pStyle w:val="regpar"/>
        <w:ind w:firstLine="0"/>
        <w:rPr>
          <w:rFonts w:ascii="Calibri" w:hAnsi="Calibri" w:cs="Calibri"/>
        </w:rPr>
      </w:pPr>
      <w:r w:rsidRPr="00503E1D">
        <w:rPr>
          <w:rFonts w:ascii="Calibri" w:hAnsi="Calibri" w:cs="Calibri"/>
        </w:rPr>
        <w:t xml:space="preserve">The balance of Israel's liabilities to abroad </w:t>
      </w:r>
      <w:proofErr w:type="gramStart"/>
      <w:r w:rsidR="002210FA" w:rsidRPr="00503E1D">
        <w:rPr>
          <w:rFonts w:ascii="Calibri" w:hAnsi="Calibri" w:cs="Calibri"/>
        </w:rPr>
        <w:t>increased</w:t>
      </w:r>
      <w:proofErr w:type="gramEnd"/>
      <w:r w:rsidR="00280DD3" w:rsidRPr="00503E1D">
        <w:rPr>
          <w:rFonts w:ascii="Calibri" w:hAnsi="Calibri" w:cs="Calibri"/>
        </w:rPr>
        <w:t xml:space="preserve"> </w:t>
      </w:r>
      <w:r w:rsidRPr="00503E1D">
        <w:rPr>
          <w:rFonts w:ascii="Calibri" w:hAnsi="Calibri" w:cs="Calibri"/>
        </w:rPr>
        <w:t>by about $</w:t>
      </w:r>
      <w:r w:rsidR="002D5391" w:rsidRPr="00503E1D">
        <w:rPr>
          <w:rFonts w:ascii="Calibri" w:hAnsi="Calibri" w:cs="Calibri"/>
        </w:rPr>
        <w:t xml:space="preserve">27.5 </w:t>
      </w:r>
      <w:r w:rsidRPr="00503E1D">
        <w:rPr>
          <w:rFonts w:ascii="Calibri" w:hAnsi="Calibri" w:cs="Calibri"/>
        </w:rPr>
        <w:t>billion (</w:t>
      </w:r>
      <w:r w:rsidR="00C25A15" w:rsidRPr="00503E1D">
        <w:rPr>
          <w:rFonts w:ascii="Calibri" w:hAnsi="Calibri" w:cs="Calibri"/>
        </w:rPr>
        <w:t xml:space="preserve">about </w:t>
      </w:r>
      <w:r w:rsidR="002D5391" w:rsidRPr="00503E1D">
        <w:rPr>
          <w:rFonts w:ascii="Calibri" w:hAnsi="Calibri" w:cs="Calibri"/>
        </w:rPr>
        <w:t xml:space="preserve">5.2 </w:t>
      </w:r>
      <w:r w:rsidRPr="00503E1D">
        <w:rPr>
          <w:rFonts w:ascii="Calibri" w:hAnsi="Calibri" w:cs="Calibri"/>
        </w:rPr>
        <w:t>percent)</w:t>
      </w:r>
      <w:r w:rsidR="00C95E5D" w:rsidRPr="00503E1D">
        <w:rPr>
          <w:rFonts w:ascii="Calibri" w:hAnsi="Calibri" w:cs="Calibri"/>
        </w:rPr>
        <w:t xml:space="preserve"> </w:t>
      </w:r>
      <w:r w:rsidR="002A4692" w:rsidRPr="00503E1D">
        <w:rPr>
          <w:rFonts w:ascii="Calibri" w:hAnsi="Calibri" w:cs="Calibri"/>
        </w:rPr>
        <w:t xml:space="preserve">during </w:t>
      </w:r>
      <w:r w:rsidR="00C95E5D" w:rsidRPr="00503E1D">
        <w:rPr>
          <w:rFonts w:ascii="Calibri" w:hAnsi="Calibri" w:cs="Calibri"/>
        </w:rPr>
        <w:t xml:space="preserve">the </w:t>
      </w:r>
      <w:r w:rsidR="00AD4944" w:rsidRPr="00503E1D">
        <w:rPr>
          <w:rFonts w:ascii="Calibri" w:hAnsi="Calibri" w:cs="Calibri"/>
        </w:rPr>
        <w:t>fourth</w:t>
      </w:r>
      <w:r w:rsidR="007A6A15" w:rsidRPr="00503E1D">
        <w:rPr>
          <w:rFonts w:ascii="Calibri" w:hAnsi="Calibri" w:cs="Calibri"/>
        </w:rPr>
        <w:t xml:space="preserve"> quarter</w:t>
      </w:r>
      <w:r w:rsidRPr="00503E1D">
        <w:rPr>
          <w:rFonts w:ascii="Calibri" w:hAnsi="Calibri" w:cs="Calibri"/>
        </w:rPr>
        <w:t xml:space="preserve">, to </w:t>
      </w:r>
      <w:r w:rsidR="00BB4475" w:rsidRPr="00503E1D">
        <w:rPr>
          <w:rFonts w:ascii="Calibri" w:hAnsi="Calibri" w:cs="Calibri"/>
        </w:rPr>
        <w:t xml:space="preserve">approximately </w:t>
      </w:r>
      <w:r w:rsidRPr="00503E1D">
        <w:rPr>
          <w:rFonts w:ascii="Calibri" w:hAnsi="Calibri" w:cs="Calibri"/>
        </w:rPr>
        <w:t>$</w:t>
      </w:r>
      <w:r w:rsidR="002D5391" w:rsidRPr="00503E1D">
        <w:rPr>
          <w:rFonts w:ascii="Calibri" w:hAnsi="Calibri" w:cs="Calibri"/>
        </w:rPr>
        <w:t>554</w:t>
      </w:r>
      <w:r w:rsidR="00F258AF" w:rsidRPr="00503E1D">
        <w:rPr>
          <w:rFonts w:ascii="Calibri" w:hAnsi="Calibri" w:cs="Calibri"/>
        </w:rPr>
        <w:t xml:space="preserve"> </w:t>
      </w:r>
      <w:r w:rsidRPr="00503E1D">
        <w:rPr>
          <w:rFonts w:ascii="Calibri" w:hAnsi="Calibri" w:cs="Calibri"/>
        </w:rPr>
        <w:t xml:space="preserve">billion at the end of </w:t>
      </w:r>
      <w:r w:rsidR="005D3B75" w:rsidRPr="00503E1D">
        <w:rPr>
          <w:rFonts w:ascii="Calibri" w:hAnsi="Calibri" w:cs="Calibri"/>
        </w:rPr>
        <w:t>the quarter</w:t>
      </w:r>
      <w:r w:rsidR="00F9554B" w:rsidRPr="00503E1D">
        <w:rPr>
          <w:rFonts w:ascii="Calibri" w:hAnsi="Calibri" w:cs="Calibri"/>
        </w:rPr>
        <w:t>.</w:t>
      </w:r>
      <w:r w:rsidR="005E7885" w:rsidRPr="00503E1D">
        <w:rPr>
          <w:rFonts w:ascii="Calibri" w:hAnsi="Calibri" w:cs="Calibri"/>
        </w:rPr>
        <w:t xml:space="preserve"> </w:t>
      </w:r>
      <w:r w:rsidR="009D2FAE" w:rsidRPr="00503E1D">
        <w:rPr>
          <w:rFonts w:ascii="Calibri" w:hAnsi="Calibri" w:cs="Calibri"/>
        </w:rPr>
        <w:t xml:space="preserve">The </w:t>
      </w:r>
      <w:r w:rsidR="002210FA" w:rsidRPr="00503E1D">
        <w:rPr>
          <w:rFonts w:ascii="Calibri" w:hAnsi="Calibri" w:cs="Calibri"/>
        </w:rPr>
        <w:t>increas</w:t>
      </w:r>
      <w:r w:rsidR="00D41724" w:rsidRPr="00503E1D">
        <w:rPr>
          <w:rFonts w:ascii="Calibri" w:hAnsi="Calibri" w:cs="Calibri"/>
        </w:rPr>
        <w:t>e</w:t>
      </w:r>
      <w:r w:rsidR="009727DF" w:rsidRPr="00503E1D">
        <w:rPr>
          <w:rFonts w:ascii="Calibri" w:hAnsi="Calibri" w:cs="Calibri"/>
        </w:rPr>
        <w:t xml:space="preserve"> was</w:t>
      </w:r>
      <w:r w:rsidR="005F32E1" w:rsidRPr="00503E1D">
        <w:rPr>
          <w:rFonts w:ascii="Calibri" w:hAnsi="Calibri" w:cs="Calibri"/>
        </w:rPr>
        <w:t xml:space="preserve"> </w:t>
      </w:r>
      <w:r w:rsidR="005D3B75" w:rsidRPr="00503E1D">
        <w:rPr>
          <w:rFonts w:ascii="Calibri" w:hAnsi="Calibri" w:cs="Calibri"/>
        </w:rPr>
        <w:t xml:space="preserve">mainly </w:t>
      </w:r>
      <w:r w:rsidR="009727DF" w:rsidRPr="00503E1D">
        <w:rPr>
          <w:rFonts w:ascii="Calibri" w:hAnsi="Calibri" w:cs="Calibri"/>
        </w:rPr>
        <w:t xml:space="preserve">due to </w:t>
      </w:r>
      <w:r w:rsidR="00F258AF" w:rsidRPr="00503E1D">
        <w:rPr>
          <w:rFonts w:ascii="Calibri" w:hAnsi="Calibri" w:cs="Calibri"/>
        </w:rPr>
        <w:t>a</w:t>
      </w:r>
      <w:r w:rsidR="002210FA" w:rsidRPr="00503E1D">
        <w:rPr>
          <w:rFonts w:ascii="Calibri" w:hAnsi="Calibri" w:cs="Calibri"/>
        </w:rPr>
        <w:t>n increase</w:t>
      </w:r>
      <w:r w:rsidR="00F258AF" w:rsidRPr="00503E1D">
        <w:rPr>
          <w:rFonts w:ascii="Calibri" w:hAnsi="Calibri" w:cs="Calibri"/>
        </w:rPr>
        <w:t xml:space="preserve"> in prices of Israeli secur</w:t>
      </w:r>
      <w:r w:rsidR="00454DA5" w:rsidRPr="00503E1D">
        <w:rPr>
          <w:rFonts w:ascii="Calibri" w:hAnsi="Calibri" w:cs="Calibri"/>
        </w:rPr>
        <w:t>ities held by nonresidents</w:t>
      </w:r>
      <w:r w:rsidR="00E63313" w:rsidRPr="00503E1D">
        <w:rPr>
          <w:rFonts w:ascii="Calibri" w:hAnsi="Calibri" w:cs="Calibri"/>
        </w:rPr>
        <w:t>,</w:t>
      </w:r>
      <w:r w:rsidR="002210FA" w:rsidRPr="00503E1D">
        <w:rPr>
          <w:rFonts w:ascii="Calibri" w:hAnsi="Calibri" w:cs="Calibri"/>
        </w:rPr>
        <w:t xml:space="preserve"> and </w:t>
      </w:r>
      <w:r w:rsidR="009A20C0" w:rsidRPr="00503E1D">
        <w:rPr>
          <w:rFonts w:ascii="Calibri" w:hAnsi="Calibri" w:cs="Calibri"/>
        </w:rPr>
        <w:t xml:space="preserve">the </w:t>
      </w:r>
      <w:r w:rsidR="002D5391" w:rsidRPr="00503E1D">
        <w:rPr>
          <w:rFonts w:ascii="Calibri" w:hAnsi="Calibri" w:cs="Calibri"/>
        </w:rPr>
        <w:t xml:space="preserve">continued flow of </w:t>
      </w:r>
      <w:r w:rsidR="002210FA" w:rsidRPr="00503E1D">
        <w:rPr>
          <w:rFonts w:ascii="Calibri" w:hAnsi="Calibri" w:cs="Calibri"/>
        </w:rPr>
        <w:t>net investments in Israel by nonresidents</w:t>
      </w:r>
      <w:r w:rsidR="00C25A15" w:rsidRPr="00503E1D">
        <w:rPr>
          <w:rFonts w:ascii="Calibri" w:hAnsi="Calibri" w:cs="Calibri"/>
        </w:rPr>
        <w:t>.</w:t>
      </w:r>
    </w:p>
    <w:p w14:paraId="26F550A8" w14:textId="76D78903" w:rsidR="00897A36" w:rsidRPr="00503E1D" w:rsidRDefault="004A53A2" w:rsidP="00897A36">
      <w:pPr>
        <w:pStyle w:val="regpar"/>
        <w:numPr>
          <w:ilvl w:val="0"/>
          <w:numId w:val="8"/>
        </w:numPr>
        <w:ind w:left="426"/>
        <w:rPr>
          <w:rFonts w:ascii="Calibri" w:hAnsi="Calibri" w:cs="Calibri"/>
        </w:rPr>
      </w:pPr>
      <w:r w:rsidRPr="00503E1D">
        <w:rPr>
          <w:rFonts w:ascii="Calibri" w:hAnsi="Calibri" w:cs="Calibri"/>
          <w:b/>
          <w:bCs/>
        </w:rPr>
        <w:t>The value of direct investments in the economy</w:t>
      </w:r>
      <w:r w:rsidRPr="00503E1D">
        <w:rPr>
          <w:rFonts w:ascii="Calibri" w:hAnsi="Calibri" w:cs="Calibri"/>
        </w:rPr>
        <w:t xml:space="preserve"> </w:t>
      </w:r>
      <w:r w:rsidR="00FC3574" w:rsidRPr="00503E1D">
        <w:rPr>
          <w:rFonts w:ascii="Calibri" w:hAnsi="Calibri" w:cs="Calibri"/>
        </w:rPr>
        <w:t>increased</w:t>
      </w:r>
      <w:r w:rsidRPr="00503E1D">
        <w:rPr>
          <w:rFonts w:ascii="Calibri" w:hAnsi="Calibri" w:cs="Calibri"/>
        </w:rPr>
        <w:t xml:space="preserve"> </w:t>
      </w:r>
      <w:r w:rsidR="00C80B77" w:rsidRPr="00503E1D">
        <w:rPr>
          <w:rFonts w:ascii="Calibri" w:hAnsi="Calibri" w:cs="Calibri"/>
        </w:rPr>
        <w:t xml:space="preserve">by </w:t>
      </w:r>
      <w:r w:rsidR="009727DF" w:rsidRPr="00503E1D">
        <w:rPr>
          <w:rFonts w:ascii="Calibri" w:hAnsi="Calibri" w:cs="Calibri"/>
        </w:rPr>
        <w:t xml:space="preserve">about </w:t>
      </w:r>
      <w:r w:rsidR="00C80B77" w:rsidRPr="00503E1D">
        <w:rPr>
          <w:rFonts w:ascii="Calibri" w:hAnsi="Calibri" w:cs="Calibri"/>
        </w:rPr>
        <w:t>$</w:t>
      </w:r>
      <w:r w:rsidR="002210FA" w:rsidRPr="00503E1D">
        <w:rPr>
          <w:rFonts w:ascii="Calibri" w:hAnsi="Calibri" w:cs="Calibri"/>
        </w:rPr>
        <w:t>7.</w:t>
      </w:r>
      <w:r w:rsidR="009A20C0" w:rsidRPr="00503E1D">
        <w:rPr>
          <w:rFonts w:ascii="Calibri" w:hAnsi="Calibri" w:cs="Calibri"/>
        </w:rPr>
        <w:t>3</w:t>
      </w:r>
      <w:r w:rsidR="00420E82" w:rsidRPr="00503E1D">
        <w:rPr>
          <w:rFonts w:ascii="Calibri" w:hAnsi="Calibri" w:cs="Calibri"/>
        </w:rPr>
        <w:t xml:space="preserve"> </w:t>
      </w:r>
      <w:r w:rsidR="00B26262" w:rsidRPr="00503E1D">
        <w:rPr>
          <w:rFonts w:ascii="Calibri" w:hAnsi="Calibri" w:cs="Calibri"/>
        </w:rPr>
        <w:t xml:space="preserve">billion </w:t>
      </w:r>
      <w:r w:rsidRPr="00503E1D">
        <w:rPr>
          <w:rFonts w:ascii="Calibri" w:hAnsi="Calibri" w:cs="Calibri"/>
        </w:rPr>
        <w:t>(</w:t>
      </w:r>
      <w:r w:rsidR="000027EA" w:rsidRPr="00503E1D">
        <w:rPr>
          <w:rFonts w:ascii="Calibri" w:hAnsi="Calibri" w:cs="Calibri"/>
        </w:rPr>
        <w:t xml:space="preserve">about </w:t>
      </w:r>
      <w:r w:rsidR="002210FA" w:rsidRPr="00503E1D">
        <w:rPr>
          <w:rFonts w:ascii="Calibri" w:hAnsi="Calibri" w:cs="Calibri"/>
        </w:rPr>
        <w:t>2.</w:t>
      </w:r>
      <w:r w:rsidR="009A20C0" w:rsidRPr="00503E1D">
        <w:rPr>
          <w:rFonts w:ascii="Calibri" w:hAnsi="Calibri" w:cs="Calibri"/>
        </w:rPr>
        <w:t>8</w:t>
      </w:r>
      <w:r w:rsidR="00420E82" w:rsidRPr="00503E1D">
        <w:rPr>
          <w:rFonts w:ascii="Calibri" w:hAnsi="Calibri" w:cs="Calibri"/>
        </w:rPr>
        <w:t xml:space="preserve"> </w:t>
      </w:r>
      <w:r w:rsidRPr="00503E1D">
        <w:rPr>
          <w:rFonts w:ascii="Calibri" w:hAnsi="Calibri" w:cs="Calibri"/>
        </w:rPr>
        <w:t>percent)</w:t>
      </w:r>
      <w:r w:rsidR="000027EA" w:rsidRPr="00503E1D">
        <w:rPr>
          <w:rFonts w:ascii="Calibri" w:hAnsi="Calibri" w:cs="Calibri"/>
        </w:rPr>
        <w:t xml:space="preserve"> during the </w:t>
      </w:r>
      <w:r w:rsidR="00AD4944" w:rsidRPr="00503E1D">
        <w:rPr>
          <w:rFonts w:ascii="Calibri" w:hAnsi="Calibri" w:cs="Calibri"/>
        </w:rPr>
        <w:t>fourth</w:t>
      </w:r>
      <w:r w:rsidR="007A6A15" w:rsidRPr="00503E1D">
        <w:rPr>
          <w:rFonts w:ascii="Calibri" w:hAnsi="Calibri" w:cs="Calibri"/>
        </w:rPr>
        <w:t xml:space="preserve"> quarter</w:t>
      </w:r>
      <w:r w:rsidR="009727DF" w:rsidRPr="00503E1D">
        <w:rPr>
          <w:rFonts w:ascii="Calibri" w:hAnsi="Calibri" w:cs="Calibri"/>
        </w:rPr>
        <w:t>,</w:t>
      </w:r>
      <w:r w:rsidR="00AF7AC8" w:rsidRPr="00503E1D">
        <w:rPr>
          <w:rFonts w:ascii="Calibri" w:hAnsi="Calibri" w:cs="Calibri"/>
        </w:rPr>
        <w:t xml:space="preserve"> </w:t>
      </w:r>
      <w:r w:rsidR="009727DF" w:rsidRPr="00503E1D">
        <w:rPr>
          <w:rFonts w:ascii="Calibri" w:hAnsi="Calibri" w:cs="Calibri"/>
        </w:rPr>
        <w:t>due to</w:t>
      </w:r>
      <w:r w:rsidR="00FC3574" w:rsidRPr="00503E1D">
        <w:rPr>
          <w:rFonts w:ascii="Calibri" w:hAnsi="Calibri" w:cs="Calibri"/>
        </w:rPr>
        <w:t xml:space="preserve"> </w:t>
      </w:r>
      <w:r w:rsidR="00C31354" w:rsidRPr="00503E1D">
        <w:rPr>
          <w:rFonts w:ascii="Calibri" w:hAnsi="Calibri" w:cs="Calibri"/>
        </w:rPr>
        <w:t>net investments by nonresidents totaling about $</w:t>
      </w:r>
      <w:r w:rsidR="009A20C0" w:rsidRPr="00503E1D">
        <w:rPr>
          <w:rFonts w:ascii="Calibri" w:hAnsi="Calibri" w:cs="Calibri"/>
        </w:rPr>
        <w:t xml:space="preserve">3.5 </w:t>
      </w:r>
      <w:r w:rsidR="00C31354" w:rsidRPr="00503E1D">
        <w:rPr>
          <w:rFonts w:ascii="Calibri" w:hAnsi="Calibri" w:cs="Calibri"/>
        </w:rPr>
        <w:t>billion</w:t>
      </w:r>
      <w:r w:rsidR="009A20C0" w:rsidRPr="00503E1D">
        <w:rPr>
          <w:rFonts w:ascii="Calibri" w:hAnsi="Calibri" w:cs="Calibri"/>
        </w:rPr>
        <w:t xml:space="preserve"> </w:t>
      </w:r>
      <w:r w:rsidR="002210FA" w:rsidRPr="00503E1D">
        <w:rPr>
          <w:rFonts w:ascii="Calibri" w:hAnsi="Calibri" w:cs="Calibri"/>
        </w:rPr>
        <w:t xml:space="preserve">and an increase in the </w:t>
      </w:r>
      <w:r w:rsidR="00C25A15" w:rsidRPr="00503E1D">
        <w:rPr>
          <w:rFonts w:ascii="Calibri" w:hAnsi="Calibri" w:cs="Calibri"/>
        </w:rPr>
        <w:t xml:space="preserve">prices of Israel shares held by nonresident parties at interest. </w:t>
      </w:r>
      <w:r w:rsidR="002210FA" w:rsidRPr="00503E1D">
        <w:rPr>
          <w:rFonts w:ascii="Calibri" w:hAnsi="Calibri" w:cs="Calibri"/>
        </w:rPr>
        <w:t>In 2024, t</w:t>
      </w:r>
      <w:r w:rsidR="00C31354" w:rsidRPr="00503E1D">
        <w:rPr>
          <w:rFonts w:ascii="Calibri" w:hAnsi="Calibri" w:cs="Calibri"/>
        </w:rPr>
        <w:t>he volume of net direct investments was</w:t>
      </w:r>
      <w:r w:rsidR="0093651E" w:rsidRPr="00503E1D">
        <w:rPr>
          <w:rFonts w:ascii="Calibri" w:hAnsi="Calibri" w:cs="Calibri"/>
        </w:rPr>
        <w:t xml:space="preserve"> </w:t>
      </w:r>
      <w:r w:rsidR="002210FA" w:rsidRPr="00503E1D">
        <w:rPr>
          <w:rFonts w:ascii="Calibri" w:hAnsi="Calibri" w:cs="Calibri"/>
        </w:rPr>
        <w:t>similar to the volume in the same period in the previous year</w:t>
      </w:r>
      <w:r w:rsidR="00C31354" w:rsidRPr="00503E1D">
        <w:rPr>
          <w:rFonts w:ascii="Calibri" w:hAnsi="Calibri" w:cs="Calibri"/>
        </w:rPr>
        <w:t xml:space="preserve"> (Figure 2)</w:t>
      </w:r>
      <w:r w:rsidR="0093651E" w:rsidRPr="00503E1D">
        <w:rPr>
          <w:rFonts w:ascii="Calibri" w:hAnsi="Calibri" w:cs="Calibri"/>
        </w:rPr>
        <w:t xml:space="preserve">. </w:t>
      </w:r>
    </w:p>
    <w:p w14:paraId="2686C6E0" w14:textId="17B1E7ED" w:rsidR="00A46D56" w:rsidRPr="00503E1D" w:rsidRDefault="00A46D56" w:rsidP="00A46D56">
      <w:pPr>
        <w:pStyle w:val="regpar"/>
        <w:ind w:left="426" w:firstLine="0"/>
        <w:rPr>
          <w:rFonts w:ascii="Calibri" w:hAnsi="Calibri" w:cs="Calibri"/>
        </w:rPr>
      </w:pPr>
    </w:p>
    <w:p w14:paraId="0C258A63" w14:textId="40C909DE" w:rsidR="007809D5" w:rsidRPr="00503E1D" w:rsidRDefault="007809D5" w:rsidP="007809D5">
      <w:pPr>
        <w:pStyle w:val="regpar"/>
        <w:rPr>
          <w:rFonts w:ascii="Calibri" w:hAnsi="Calibri" w:cs="Calibri"/>
        </w:rPr>
      </w:pPr>
      <w:r w:rsidRPr="00503E1D">
        <w:rPr>
          <w:rFonts w:ascii="Calibri" w:hAnsi="Calibri" w:cs="Calibri"/>
          <w:noProof/>
        </w:rPr>
        <w:drawing>
          <wp:anchor distT="0" distB="0" distL="114300" distR="114300" simplePos="0" relativeHeight="251684864" behindDoc="1" locked="0" layoutInCell="1" allowOverlap="1" wp14:anchorId="3AA44791" wp14:editId="2AC4A26B">
            <wp:simplePos x="0" y="0"/>
            <wp:positionH relativeFrom="margin">
              <wp:posOffset>274955</wp:posOffset>
            </wp:positionH>
            <wp:positionV relativeFrom="paragraph">
              <wp:posOffset>126366</wp:posOffset>
            </wp:positionV>
            <wp:extent cx="4686300" cy="2781300"/>
            <wp:effectExtent l="0" t="0" r="0" b="0"/>
            <wp:wrapNone/>
            <wp:docPr id="3" name="תמונה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7183" cy="2781824"/>
                    </a:xfrm>
                    <a:prstGeom prst="rect">
                      <a:avLst/>
                    </a:prstGeom>
                    <a:noFill/>
                  </pic:spPr>
                </pic:pic>
              </a:graphicData>
            </a:graphic>
            <wp14:sizeRelH relativeFrom="margin">
              <wp14:pctWidth>0</wp14:pctWidth>
            </wp14:sizeRelH>
            <wp14:sizeRelV relativeFrom="margin">
              <wp14:pctHeight>0</wp14:pctHeight>
            </wp14:sizeRelV>
          </wp:anchor>
        </w:drawing>
      </w:r>
    </w:p>
    <w:p w14:paraId="4D587571" w14:textId="5F03CD49" w:rsidR="007809D5" w:rsidRPr="00503E1D" w:rsidRDefault="007809D5" w:rsidP="007809D5">
      <w:pPr>
        <w:pStyle w:val="regpar"/>
        <w:rPr>
          <w:rFonts w:ascii="Calibri" w:hAnsi="Calibri" w:cs="Calibri"/>
        </w:rPr>
      </w:pPr>
    </w:p>
    <w:p w14:paraId="19C8CC68" w14:textId="2F921342" w:rsidR="007809D5" w:rsidRPr="00503E1D" w:rsidRDefault="007809D5" w:rsidP="007809D5">
      <w:pPr>
        <w:pStyle w:val="regpar"/>
        <w:rPr>
          <w:rFonts w:ascii="Calibri" w:hAnsi="Calibri" w:cs="Calibri"/>
        </w:rPr>
      </w:pPr>
    </w:p>
    <w:p w14:paraId="11F9911D" w14:textId="73901AC0" w:rsidR="007809D5" w:rsidRPr="00503E1D" w:rsidRDefault="007809D5" w:rsidP="007809D5">
      <w:pPr>
        <w:pStyle w:val="regpar"/>
        <w:rPr>
          <w:rFonts w:ascii="Calibri" w:hAnsi="Calibri" w:cs="Calibri"/>
        </w:rPr>
      </w:pPr>
    </w:p>
    <w:p w14:paraId="01142491" w14:textId="4289EED6" w:rsidR="007809D5" w:rsidRPr="00503E1D" w:rsidRDefault="007809D5" w:rsidP="007809D5">
      <w:pPr>
        <w:pStyle w:val="regpar"/>
        <w:rPr>
          <w:rFonts w:ascii="Calibri" w:hAnsi="Calibri" w:cs="Calibri"/>
        </w:rPr>
      </w:pPr>
    </w:p>
    <w:p w14:paraId="422E9113" w14:textId="289AC7C1" w:rsidR="007809D5" w:rsidRPr="00503E1D" w:rsidRDefault="007809D5" w:rsidP="007809D5">
      <w:pPr>
        <w:pStyle w:val="regpar"/>
        <w:rPr>
          <w:rFonts w:ascii="Calibri" w:hAnsi="Calibri" w:cs="Calibri"/>
        </w:rPr>
      </w:pPr>
    </w:p>
    <w:p w14:paraId="54EE09C2" w14:textId="23D0D807" w:rsidR="007809D5" w:rsidRPr="00503E1D" w:rsidRDefault="007809D5" w:rsidP="007809D5">
      <w:pPr>
        <w:pStyle w:val="regpar"/>
        <w:rPr>
          <w:rFonts w:ascii="Calibri" w:hAnsi="Calibri" w:cs="Calibri"/>
        </w:rPr>
      </w:pPr>
    </w:p>
    <w:p w14:paraId="1DFC3D0B" w14:textId="2243EA90" w:rsidR="007809D5" w:rsidRPr="00503E1D" w:rsidRDefault="007809D5" w:rsidP="007809D5">
      <w:pPr>
        <w:pStyle w:val="regpar"/>
        <w:rPr>
          <w:rFonts w:ascii="Calibri" w:hAnsi="Calibri" w:cs="Calibri"/>
        </w:rPr>
      </w:pPr>
    </w:p>
    <w:p w14:paraId="32320501" w14:textId="7771BD2B" w:rsidR="007809D5" w:rsidRPr="00503E1D" w:rsidRDefault="007809D5" w:rsidP="007809D5">
      <w:pPr>
        <w:pStyle w:val="regpar"/>
        <w:rPr>
          <w:rFonts w:ascii="Calibri" w:hAnsi="Calibri" w:cs="Calibri"/>
        </w:rPr>
      </w:pPr>
    </w:p>
    <w:p w14:paraId="617311D5" w14:textId="243E85C1" w:rsidR="007809D5" w:rsidRPr="00503E1D" w:rsidRDefault="007809D5" w:rsidP="007809D5">
      <w:pPr>
        <w:pStyle w:val="regpar"/>
        <w:rPr>
          <w:rFonts w:ascii="Calibri" w:hAnsi="Calibri" w:cs="Calibri"/>
        </w:rPr>
      </w:pPr>
    </w:p>
    <w:p w14:paraId="0D9E01AD" w14:textId="6D892122" w:rsidR="007809D5" w:rsidRPr="00503E1D" w:rsidRDefault="007809D5" w:rsidP="007809D5">
      <w:pPr>
        <w:pStyle w:val="regpar"/>
        <w:rPr>
          <w:rFonts w:ascii="Calibri" w:hAnsi="Calibri" w:cs="Calibri"/>
        </w:rPr>
      </w:pPr>
    </w:p>
    <w:p w14:paraId="58CEF5D4" w14:textId="57E07A7D" w:rsidR="007809D5" w:rsidRPr="00503E1D" w:rsidRDefault="007809D5" w:rsidP="007809D5">
      <w:pPr>
        <w:pStyle w:val="regpar"/>
        <w:rPr>
          <w:rFonts w:ascii="Calibri" w:hAnsi="Calibri" w:cs="Calibri"/>
        </w:rPr>
      </w:pPr>
    </w:p>
    <w:p w14:paraId="59C8055E" w14:textId="18337330" w:rsidR="007809D5" w:rsidRPr="00503E1D" w:rsidRDefault="007809D5" w:rsidP="007809D5">
      <w:pPr>
        <w:pStyle w:val="regpar"/>
        <w:rPr>
          <w:rFonts w:ascii="Calibri" w:hAnsi="Calibri" w:cs="Calibri"/>
        </w:rPr>
      </w:pPr>
    </w:p>
    <w:p w14:paraId="08D6C039" w14:textId="695F8E17" w:rsidR="007809D5" w:rsidRPr="00503E1D" w:rsidRDefault="007809D5" w:rsidP="007809D5">
      <w:pPr>
        <w:pStyle w:val="regpar"/>
        <w:rPr>
          <w:rFonts w:ascii="Calibri" w:hAnsi="Calibri" w:cs="Calibri"/>
        </w:rPr>
      </w:pPr>
    </w:p>
    <w:p w14:paraId="5B7182AB" w14:textId="72F8A249" w:rsidR="002158A4" w:rsidRPr="00503E1D" w:rsidRDefault="002158A4" w:rsidP="002158A4">
      <w:pPr>
        <w:pStyle w:val="regpar"/>
        <w:ind w:firstLine="0"/>
        <w:rPr>
          <w:rFonts w:ascii="Calibri" w:hAnsi="Calibri" w:cs="Calibri"/>
        </w:rPr>
      </w:pPr>
    </w:p>
    <w:p w14:paraId="07C67033" w14:textId="4776C8D9" w:rsidR="002158A4" w:rsidRPr="00503E1D" w:rsidRDefault="002158A4" w:rsidP="002158A4">
      <w:pPr>
        <w:pStyle w:val="regpar"/>
        <w:ind w:firstLine="0"/>
        <w:rPr>
          <w:rFonts w:ascii="Calibri" w:hAnsi="Calibri" w:cs="Calibri"/>
        </w:rPr>
      </w:pPr>
      <w:r w:rsidRPr="00503E1D">
        <w:rPr>
          <w:rFonts w:ascii="Calibri" w:hAnsi="Calibri" w:cs="Calibri"/>
          <w:noProof/>
          <w:rtl/>
        </w:rPr>
        <mc:AlternateContent>
          <mc:Choice Requires="wps">
            <w:drawing>
              <wp:anchor distT="45720" distB="45720" distL="114300" distR="114300" simplePos="0" relativeHeight="251686912" behindDoc="0" locked="0" layoutInCell="1" allowOverlap="1" wp14:anchorId="40518072" wp14:editId="5497A602">
                <wp:simplePos x="0" y="0"/>
                <wp:positionH relativeFrom="margin">
                  <wp:posOffset>442127</wp:posOffset>
                </wp:positionH>
                <wp:positionV relativeFrom="paragraph">
                  <wp:posOffset>146839</wp:posOffset>
                </wp:positionV>
                <wp:extent cx="2224405" cy="252095"/>
                <wp:effectExtent l="0" t="0" r="0" b="0"/>
                <wp:wrapSquare wrapText="bothSides"/>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24405" cy="252095"/>
                        </a:xfrm>
                        <a:prstGeom prst="rect">
                          <a:avLst/>
                        </a:prstGeom>
                        <a:noFill/>
                        <a:ln w="9525">
                          <a:noFill/>
                          <a:miter lim="800000"/>
                          <a:headEnd/>
                          <a:tailEnd/>
                        </a:ln>
                      </wps:spPr>
                      <wps:txbx>
                        <w:txbxContent>
                          <w:p w14:paraId="6D1B7ACF" w14:textId="77777777" w:rsidR="002158A4" w:rsidRPr="008B6A3C" w:rsidRDefault="002158A4" w:rsidP="002158A4">
                            <w:pPr>
                              <w:bidi w:val="0"/>
                              <w:rPr>
                                <w:sz w:val="18"/>
                                <w:szCs w:val="18"/>
                                <w:vertAlign w:val="superscript"/>
                              </w:rPr>
                            </w:pPr>
                            <w:r>
                              <w:rPr>
                                <w:sz w:val="18"/>
                                <w:szCs w:val="18"/>
                              </w:rPr>
                              <w:t xml:space="preserve">Source: </w:t>
                            </w:r>
                            <w:r w:rsidRPr="00132C46">
                              <w:rPr>
                                <w:sz w:val="18"/>
                                <w:szCs w:val="18"/>
                              </w:rPr>
                              <w:t>Bank of Israel data</w:t>
                            </w:r>
                            <w:r>
                              <w:rPr>
                                <w:sz w:val="18"/>
                                <w:szCs w:val="18"/>
                              </w:rPr>
                              <w:t xml:space="preserve"> and processing</w:t>
                            </w:r>
                            <w:r>
                              <w:rPr>
                                <w:sz w:val="18"/>
                                <w:szCs w:val="18"/>
                                <w:vertAlign w:val="superscript"/>
                              </w:rPr>
                              <w:t>1</w:t>
                            </w:r>
                            <w:r>
                              <w:rPr>
                                <w:sz w:val="18"/>
                                <w:szCs w:val="18"/>
                              </w:rPr>
                              <w:t>.</w:t>
                            </w:r>
                          </w:p>
                          <w:p w14:paraId="524338AE" w14:textId="77777777" w:rsidR="002158A4" w:rsidRPr="00EA3B9E" w:rsidRDefault="002158A4" w:rsidP="002158A4">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18072" id="תיבת טקסט 2" o:spid="_x0000_s1027" type="#_x0000_t202" style="position:absolute;left:0;text-align:left;margin-left:34.8pt;margin-top:11.55pt;width:175.15pt;height:19.85pt;flip:x;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" filled="f" stroked="f">
                <v:textbox>
                  <w:txbxContent>
                    <w:p w14:paraId="6D1B7ACF" w14:textId="77777777" w:rsidR="002158A4" w:rsidRPr="008B6A3C" w:rsidRDefault="002158A4" w:rsidP="002158A4">
                      <w:pPr>
                        <w:bidi w:val="0"/>
                        <w:rPr>
                          <w:sz w:val="18"/>
                          <w:szCs w:val="18"/>
                          <w:vertAlign w:val="superscript"/>
                        </w:rPr>
                      </w:pPr>
                      <w:r>
                        <w:rPr>
                          <w:sz w:val="18"/>
                          <w:szCs w:val="18"/>
                        </w:rPr>
                        <w:t xml:space="preserve">Source: </w:t>
                      </w:r>
                      <w:r w:rsidRPr="00132C46">
                        <w:rPr>
                          <w:sz w:val="18"/>
                          <w:szCs w:val="18"/>
                        </w:rPr>
                        <w:t>Bank of Israel data</w:t>
                      </w:r>
                      <w:r>
                        <w:rPr>
                          <w:sz w:val="18"/>
                          <w:szCs w:val="18"/>
                        </w:rPr>
                        <w:t xml:space="preserve"> and processing</w:t>
                      </w:r>
                      <w:r>
                        <w:rPr>
                          <w:sz w:val="18"/>
                          <w:szCs w:val="18"/>
                          <w:vertAlign w:val="superscript"/>
                        </w:rPr>
                        <w:t>1</w:t>
                      </w:r>
                      <w:r>
                        <w:rPr>
                          <w:sz w:val="18"/>
                          <w:szCs w:val="18"/>
                        </w:rPr>
                        <w:t>.</w:t>
                      </w:r>
                    </w:p>
                    <w:p w14:paraId="524338AE" w14:textId="77777777" w:rsidR="002158A4" w:rsidRPr="00EA3B9E" w:rsidRDefault="002158A4" w:rsidP="002158A4">
                      <w:pPr>
                        <w:rPr>
                          <w:rtl/>
                          <w:cs/>
                        </w:rPr>
                      </w:pPr>
                    </w:p>
                  </w:txbxContent>
                </v:textbox>
                <w10:wrap type="square" anchorx="margin"/>
              </v:shape>
            </w:pict>
          </mc:Fallback>
        </mc:AlternateContent>
      </w:r>
    </w:p>
    <w:p w14:paraId="4E9793C3" w14:textId="0340A9EE" w:rsidR="002158A4" w:rsidRPr="00503E1D" w:rsidRDefault="002158A4" w:rsidP="002158A4">
      <w:pPr>
        <w:pStyle w:val="regpar"/>
        <w:ind w:firstLine="0"/>
        <w:rPr>
          <w:rFonts w:ascii="Calibri" w:hAnsi="Calibri" w:cs="Calibri"/>
        </w:rPr>
      </w:pPr>
    </w:p>
    <w:p w14:paraId="71E3D3EB" w14:textId="77777777" w:rsidR="002158A4" w:rsidRPr="00503E1D" w:rsidRDefault="002158A4" w:rsidP="002158A4">
      <w:pPr>
        <w:pStyle w:val="regpar"/>
        <w:ind w:left="426" w:firstLine="0"/>
        <w:rPr>
          <w:rFonts w:ascii="Calibri" w:hAnsi="Calibri" w:cs="Calibri"/>
        </w:rPr>
      </w:pPr>
    </w:p>
    <w:p w14:paraId="15C38DFD" w14:textId="7A1AD17E" w:rsidR="0054539B" w:rsidRPr="00503E1D" w:rsidRDefault="007C1496" w:rsidP="00A46D56">
      <w:pPr>
        <w:pStyle w:val="regpar"/>
        <w:numPr>
          <w:ilvl w:val="0"/>
          <w:numId w:val="8"/>
        </w:numPr>
        <w:ind w:left="426"/>
        <w:rPr>
          <w:rFonts w:ascii="Calibri" w:hAnsi="Calibri" w:cs="Calibri"/>
        </w:rPr>
      </w:pPr>
      <w:r w:rsidRPr="00503E1D">
        <w:rPr>
          <w:rFonts w:ascii="Calibri" w:hAnsi="Calibri" w:cs="Calibri"/>
          <w:b/>
          <w:bCs/>
        </w:rPr>
        <w:t>The value of the securities portfolio</w:t>
      </w:r>
      <w:r w:rsidRPr="00503E1D">
        <w:rPr>
          <w:rFonts w:ascii="Calibri" w:hAnsi="Calibri" w:cs="Calibri"/>
        </w:rPr>
        <w:t xml:space="preserve"> </w:t>
      </w:r>
      <w:r w:rsidR="002210FA" w:rsidRPr="00503E1D">
        <w:rPr>
          <w:rFonts w:ascii="Calibri" w:hAnsi="Calibri" w:cs="Calibri"/>
        </w:rPr>
        <w:t>increased</w:t>
      </w:r>
      <w:r w:rsidR="00BB3547" w:rsidRPr="00503E1D">
        <w:rPr>
          <w:rFonts w:ascii="Calibri" w:hAnsi="Calibri" w:cs="Calibri"/>
        </w:rPr>
        <w:t xml:space="preserve"> </w:t>
      </w:r>
      <w:r w:rsidRPr="00503E1D">
        <w:rPr>
          <w:rFonts w:ascii="Calibri" w:hAnsi="Calibri" w:cs="Calibri"/>
        </w:rPr>
        <w:t>by</w:t>
      </w:r>
      <w:r w:rsidR="009727DF" w:rsidRPr="00503E1D">
        <w:rPr>
          <w:rFonts w:ascii="Calibri" w:hAnsi="Calibri" w:cs="Calibri"/>
        </w:rPr>
        <w:t xml:space="preserve"> about</w:t>
      </w:r>
      <w:r w:rsidRPr="00503E1D">
        <w:rPr>
          <w:rFonts w:ascii="Calibri" w:hAnsi="Calibri" w:cs="Calibri"/>
        </w:rPr>
        <w:t xml:space="preserve"> $</w:t>
      </w:r>
      <w:r w:rsidR="00C025B1" w:rsidRPr="00503E1D">
        <w:rPr>
          <w:rFonts w:ascii="Calibri" w:hAnsi="Calibri" w:cs="Calibri"/>
        </w:rPr>
        <w:t xml:space="preserve">16.8 </w:t>
      </w:r>
      <w:r w:rsidR="00DE4C60" w:rsidRPr="00503E1D">
        <w:rPr>
          <w:rFonts w:ascii="Calibri" w:hAnsi="Calibri" w:cs="Calibri"/>
        </w:rPr>
        <w:t>billion (</w:t>
      </w:r>
      <w:r w:rsidR="009727DF" w:rsidRPr="00503E1D">
        <w:rPr>
          <w:rFonts w:ascii="Calibri" w:hAnsi="Calibri" w:cs="Calibri"/>
        </w:rPr>
        <w:t xml:space="preserve">about </w:t>
      </w:r>
      <w:r w:rsidR="00C025B1" w:rsidRPr="00503E1D">
        <w:rPr>
          <w:rFonts w:ascii="Calibri" w:hAnsi="Calibri" w:cs="Calibri"/>
        </w:rPr>
        <w:t xml:space="preserve">8.3 </w:t>
      </w:r>
      <w:r w:rsidRPr="00503E1D">
        <w:rPr>
          <w:rFonts w:ascii="Calibri" w:hAnsi="Calibri" w:cs="Calibri"/>
        </w:rPr>
        <w:t xml:space="preserve">percent) </w:t>
      </w:r>
      <w:r w:rsidR="006F61B6" w:rsidRPr="00503E1D">
        <w:rPr>
          <w:rFonts w:ascii="Calibri" w:hAnsi="Calibri" w:cs="Calibri"/>
        </w:rPr>
        <w:t>in</w:t>
      </w:r>
      <w:r w:rsidRPr="00503E1D">
        <w:rPr>
          <w:rFonts w:ascii="Calibri" w:hAnsi="Calibri" w:cs="Calibri"/>
        </w:rPr>
        <w:t xml:space="preserve"> the </w:t>
      </w:r>
      <w:r w:rsidR="00AD4944" w:rsidRPr="00503E1D">
        <w:rPr>
          <w:rFonts w:ascii="Calibri" w:hAnsi="Calibri" w:cs="Calibri"/>
        </w:rPr>
        <w:t>fourth</w:t>
      </w:r>
      <w:r w:rsidR="007A6A15" w:rsidRPr="00503E1D">
        <w:rPr>
          <w:rFonts w:ascii="Calibri" w:hAnsi="Calibri" w:cs="Calibri"/>
        </w:rPr>
        <w:t xml:space="preserve"> quarter</w:t>
      </w:r>
      <w:r w:rsidR="00DE4C60" w:rsidRPr="00503E1D">
        <w:rPr>
          <w:rFonts w:ascii="Calibri" w:hAnsi="Calibri" w:cs="Calibri"/>
        </w:rPr>
        <w:t xml:space="preserve">, </w:t>
      </w:r>
      <w:r w:rsidR="004D39A0" w:rsidRPr="00503E1D">
        <w:rPr>
          <w:rFonts w:ascii="Calibri" w:hAnsi="Calibri" w:cs="Calibri"/>
        </w:rPr>
        <w:t xml:space="preserve">mainly </w:t>
      </w:r>
      <w:r w:rsidR="00C31354" w:rsidRPr="00503E1D">
        <w:rPr>
          <w:rFonts w:ascii="Calibri" w:hAnsi="Calibri" w:cs="Calibri"/>
        </w:rPr>
        <w:t>due to a</w:t>
      </w:r>
      <w:r w:rsidR="002210FA" w:rsidRPr="00503E1D">
        <w:rPr>
          <w:rFonts w:ascii="Calibri" w:hAnsi="Calibri" w:cs="Calibri"/>
        </w:rPr>
        <w:t>n increase</w:t>
      </w:r>
      <w:r w:rsidR="00C31354" w:rsidRPr="00503E1D">
        <w:rPr>
          <w:rFonts w:ascii="Calibri" w:hAnsi="Calibri" w:cs="Calibri"/>
        </w:rPr>
        <w:t xml:space="preserve"> of about $</w:t>
      </w:r>
      <w:r w:rsidR="0054539B" w:rsidRPr="00503E1D">
        <w:rPr>
          <w:rFonts w:ascii="Calibri" w:hAnsi="Calibri" w:cs="Calibri"/>
        </w:rPr>
        <w:t>14</w:t>
      </w:r>
      <w:r w:rsidR="002210FA" w:rsidRPr="00503E1D">
        <w:rPr>
          <w:rFonts w:ascii="Calibri" w:hAnsi="Calibri" w:cs="Calibri"/>
        </w:rPr>
        <w:t>.8</w:t>
      </w:r>
      <w:r w:rsidR="00C31354" w:rsidRPr="00503E1D">
        <w:rPr>
          <w:rFonts w:ascii="Calibri" w:hAnsi="Calibri" w:cs="Calibri"/>
        </w:rPr>
        <w:t xml:space="preserve"> billion</w:t>
      </w:r>
      <w:r w:rsidR="004D39A0" w:rsidRPr="00503E1D">
        <w:rPr>
          <w:rFonts w:ascii="Calibri" w:hAnsi="Calibri" w:cs="Calibri"/>
        </w:rPr>
        <w:t xml:space="preserve"> in </w:t>
      </w:r>
      <w:r w:rsidR="002210FA" w:rsidRPr="00503E1D">
        <w:rPr>
          <w:rFonts w:ascii="Calibri" w:hAnsi="Calibri" w:cs="Calibri"/>
        </w:rPr>
        <w:lastRenderedPageBreak/>
        <w:t xml:space="preserve">the </w:t>
      </w:r>
      <w:r w:rsidR="004D39A0" w:rsidRPr="00503E1D">
        <w:rPr>
          <w:rFonts w:ascii="Calibri" w:hAnsi="Calibri" w:cs="Calibri"/>
        </w:rPr>
        <w:t>prices of Israeli securities</w:t>
      </w:r>
      <w:r w:rsidR="0054539B" w:rsidRPr="00503E1D">
        <w:rPr>
          <w:rFonts w:ascii="Calibri" w:hAnsi="Calibri" w:cs="Calibri"/>
        </w:rPr>
        <w:t>. N</w:t>
      </w:r>
      <w:r w:rsidR="00402872" w:rsidRPr="00503E1D">
        <w:rPr>
          <w:rFonts w:ascii="Calibri" w:hAnsi="Calibri" w:cs="Calibri"/>
        </w:rPr>
        <w:t xml:space="preserve">onresidents’ </w:t>
      </w:r>
      <w:r w:rsidR="002210FA" w:rsidRPr="00503E1D">
        <w:rPr>
          <w:rFonts w:ascii="Calibri" w:hAnsi="Calibri" w:cs="Calibri"/>
        </w:rPr>
        <w:t>invest</w:t>
      </w:r>
      <w:r w:rsidR="0054539B" w:rsidRPr="00503E1D">
        <w:rPr>
          <w:rFonts w:ascii="Calibri" w:hAnsi="Calibri" w:cs="Calibri"/>
        </w:rPr>
        <w:t xml:space="preserve">ed about a net </w:t>
      </w:r>
      <w:r w:rsidR="00402872" w:rsidRPr="00503E1D">
        <w:rPr>
          <w:rFonts w:ascii="Calibri" w:hAnsi="Calibri" w:cs="Calibri"/>
        </w:rPr>
        <w:t>$</w:t>
      </w:r>
      <w:r w:rsidR="0054539B" w:rsidRPr="00503E1D">
        <w:rPr>
          <w:rFonts w:ascii="Calibri" w:hAnsi="Calibri" w:cs="Calibri"/>
        </w:rPr>
        <w:t>2.8 b</w:t>
      </w:r>
      <w:r w:rsidR="00402872" w:rsidRPr="00503E1D">
        <w:rPr>
          <w:rFonts w:ascii="Calibri" w:hAnsi="Calibri" w:cs="Calibri"/>
        </w:rPr>
        <w:t>illion</w:t>
      </w:r>
      <w:r w:rsidR="00DB1E2F" w:rsidRPr="00503E1D">
        <w:rPr>
          <w:rFonts w:ascii="Calibri" w:hAnsi="Calibri" w:cs="Calibri"/>
        </w:rPr>
        <w:t xml:space="preserve"> in Israeli equities</w:t>
      </w:r>
      <w:r w:rsidR="0054539B" w:rsidRPr="00503E1D">
        <w:rPr>
          <w:rFonts w:ascii="Calibri" w:hAnsi="Calibri" w:cs="Calibri"/>
        </w:rPr>
        <w:t xml:space="preserve">, mainly in equities traded on global exchanges. In parallel, nonresidents realized </w:t>
      </w:r>
      <w:r w:rsidR="00DB1E2F" w:rsidRPr="00503E1D">
        <w:rPr>
          <w:rFonts w:ascii="Calibri" w:hAnsi="Calibri" w:cs="Calibri"/>
        </w:rPr>
        <w:t xml:space="preserve">a </w:t>
      </w:r>
      <w:r w:rsidR="0054539B" w:rsidRPr="00503E1D">
        <w:rPr>
          <w:rFonts w:ascii="Calibri" w:hAnsi="Calibri" w:cs="Calibri"/>
        </w:rPr>
        <w:t xml:space="preserve">net </w:t>
      </w:r>
      <w:r w:rsidR="00DB1E2F" w:rsidRPr="00503E1D">
        <w:rPr>
          <w:rFonts w:ascii="Calibri" w:hAnsi="Calibri" w:cs="Calibri"/>
        </w:rPr>
        <w:t xml:space="preserve">$2.1 billion in </w:t>
      </w:r>
      <w:r w:rsidR="0054539B" w:rsidRPr="00503E1D">
        <w:rPr>
          <w:rFonts w:ascii="Calibri" w:hAnsi="Calibri" w:cs="Calibri"/>
        </w:rPr>
        <w:t xml:space="preserve">Israeli bonds </w:t>
      </w:r>
      <w:r w:rsidR="00DB1E2F" w:rsidRPr="00503E1D">
        <w:rPr>
          <w:rFonts w:ascii="Calibri" w:hAnsi="Calibri" w:cs="Calibri"/>
        </w:rPr>
        <w:t>(mostly private).</w:t>
      </w:r>
    </w:p>
    <w:p w14:paraId="4887674E" w14:textId="6F357EE1" w:rsidR="00A46D56" w:rsidRPr="00503E1D" w:rsidRDefault="00DD15DC" w:rsidP="00633221">
      <w:pPr>
        <w:pStyle w:val="regpar"/>
        <w:numPr>
          <w:ilvl w:val="0"/>
          <w:numId w:val="8"/>
        </w:numPr>
        <w:ind w:left="432" w:firstLine="0"/>
        <w:rPr>
          <w:rFonts w:ascii="Calibri" w:hAnsi="Calibri" w:cs="Calibri"/>
        </w:rPr>
      </w:pPr>
      <w:r w:rsidRPr="00503E1D">
        <w:rPr>
          <w:rFonts w:ascii="Calibri" w:hAnsi="Calibri" w:cs="Calibri"/>
          <w:b/>
          <w:bCs/>
        </w:rPr>
        <w:t xml:space="preserve">The value of </w:t>
      </w:r>
      <w:r w:rsidRPr="00503E1D">
        <w:rPr>
          <w:rFonts w:ascii="Calibri" w:hAnsi="Calibri" w:cs="Calibri"/>
          <w:b/>
        </w:rPr>
        <w:t>nonresidents' financial portfolio on the Tel Aviv Stock Exchange</w:t>
      </w:r>
      <w:r w:rsidR="00980A0E" w:rsidRPr="00503E1D">
        <w:rPr>
          <w:rFonts w:ascii="Calibri" w:hAnsi="Calibri" w:cs="Calibri"/>
          <w:b/>
        </w:rPr>
        <w:t xml:space="preserve">, </w:t>
      </w:r>
      <w:r w:rsidR="00980A0E" w:rsidRPr="00503E1D">
        <w:rPr>
          <w:rFonts w:ascii="Calibri" w:hAnsi="Calibri" w:cs="Calibri"/>
          <w:bCs/>
        </w:rPr>
        <w:t xml:space="preserve">which makes up a part of nonresidents’ investments in </w:t>
      </w:r>
      <w:r w:rsidR="00243AAE" w:rsidRPr="00503E1D">
        <w:rPr>
          <w:rFonts w:ascii="Calibri" w:hAnsi="Calibri" w:cs="Calibri"/>
          <w:bCs/>
        </w:rPr>
        <w:t>Israel</w:t>
      </w:r>
      <w:r w:rsidR="00980A0E" w:rsidRPr="00503E1D">
        <w:rPr>
          <w:rFonts w:ascii="Calibri" w:hAnsi="Calibri" w:cs="Calibri"/>
          <w:bCs/>
        </w:rPr>
        <w:t>,</w:t>
      </w:r>
      <w:r w:rsidRPr="00503E1D">
        <w:rPr>
          <w:rFonts w:ascii="Calibri" w:hAnsi="Calibri" w:cs="Calibri"/>
          <w:bCs/>
        </w:rPr>
        <w:t xml:space="preserve"> </w:t>
      </w:r>
      <w:r w:rsidR="00A82CAA" w:rsidRPr="00503E1D">
        <w:rPr>
          <w:rFonts w:ascii="Calibri" w:hAnsi="Calibri" w:cs="Calibri"/>
          <w:bCs/>
        </w:rPr>
        <w:t>increased</w:t>
      </w:r>
      <w:r w:rsidR="009D1D91" w:rsidRPr="00503E1D">
        <w:rPr>
          <w:rFonts w:ascii="Calibri" w:hAnsi="Calibri" w:cs="Calibri"/>
          <w:bCs/>
        </w:rPr>
        <w:t xml:space="preserve"> </w:t>
      </w:r>
      <w:r w:rsidR="00A82CAA" w:rsidRPr="00503E1D">
        <w:rPr>
          <w:rFonts w:ascii="Calibri" w:hAnsi="Calibri" w:cs="Calibri"/>
          <w:bCs/>
        </w:rPr>
        <w:t>by about $10 billion i</w:t>
      </w:r>
      <w:r w:rsidR="00D7126E" w:rsidRPr="00503E1D">
        <w:rPr>
          <w:rFonts w:ascii="Calibri" w:hAnsi="Calibri" w:cs="Calibri"/>
          <w:bCs/>
        </w:rPr>
        <w:t xml:space="preserve">n the </w:t>
      </w:r>
      <w:r w:rsidR="00AD4944" w:rsidRPr="00503E1D">
        <w:rPr>
          <w:rFonts w:ascii="Calibri" w:hAnsi="Calibri" w:cs="Calibri"/>
          <w:bCs/>
        </w:rPr>
        <w:t>fourth</w:t>
      </w:r>
      <w:r w:rsidR="007A6A15" w:rsidRPr="00503E1D">
        <w:rPr>
          <w:rFonts w:ascii="Calibri" w:hAnsi="Calibri" w:cs="Calibri"/>
          <w:bCs/>
        </w:rPr>
        <w:t xml:space="preserve"> quarter</w:t>
      </w:r>
      <w:r w:rsidR="000050DA" w:rsidRPr="00503E1D">
        <w:rPr>
          <w:rFonts w:ascii="Calibri" w:hAnsi="Calibri" w:cs="Calibri"/>
          <w:bCs/>
        </w:rPr>
        <w:t xml:space="preserve"> of 2024</w:t>
      </w:r>
      <w:r w:rsidRPr="00503E1D">
        <w:rPr>
          <w:rFonts w:ascii="Calibri" w:hAnsi="Calibri" w:cs="Calibri"/>
          <w:bCs/>
        </w:rPr>
        <w:t>, to about $</w:t>
      </w:r>
      <w:r w:rsidR="000050DA" w:rsidRPr="00503E1D">
        <w:rPr>
          <w:rFonts w:ascii="Calibri" w:hAnsi="Calibri" w:cs="Calibri"/>
          <w:bCs/>
        </w:rPr>
        <w:t xml:space="preserve">76 </w:t>
      </w:r>
      <w:r w:rsidR="00295790" w:rsidRPr="00503E1D">
        <w:rPr>
          <w:rFonts w:ascii="Calibri" w:hAnsi="Calibri" w:cs="Calibri"/>
          <w:bCs/>
        </w:rPr>
        <w:t>b</w:t>
      </w:r>
      <w:r w:rsidRPr="00503E1D">
        <w:rPr>
          <w:rFonts w:ascii="Calibri" w:hAnsi="Calibri" w:cs="Calibri"/>
          <w:bCs/>
        </w:rPr>
        <w:t>illion at the end of</w:t>
      </w:r>
      <w:r w:rsidR="00295790" w:rsidRPr="00503E1D">
        <w:rPr>
          <w:rFonts w:ascii="Calibri" w:hAnsi="Calibri" w:cs="Calibri"/>
          <w:bCs/>
        </w:rPr>
        <w:t xml:space="preserve"> </w:t>
      </w:r>
      <w:r w:rsidR="000050DA" w:rsidRPr="00503E1D">
        <w:rPr>
          <w:rFonts w:ascii="Calibri" w:hAnsi="Calibri" w:cs="Calibri"/>
          <w:bCs/>
        </w:rPr>
        <w:t>December</w:t>
      </w:r>
      <w:r w:rsidR="00980A0E" w:rsidRPr="00503E1D">
        <w:rPr>
          <w:rFonts w:ascii="Calibri" w:hAnsi="Calibri" w:cs="Calibri"/>
          <w:bCs/>
        </w:rPr>
        <w:t>.</w:t>
      </w:r>
      <w:r w:rsidR="00FE372D" w:rsidRPr="00503E1D">
        <w:rPr>
          <w:rFonts w:ascii="Calibri" w:hAnsi="Calibri" w:cs="Calibri"/>
          <w:bCs/>
        </w:rPr>
        <w:t xml:space="preserve"> </w:t>
      </w:r>
      <w:r w:rsidR="000050DA" w:rsidRPr="00503E1D">
        <w:rPr>
          <w:rFonts w:ascii="Calibri" w:hAnsi="Calibri" w:cs="Calibri"/>
          <w:bCs/>
        </w:rPr>
        <w:t xml:space="preserve">The increase in the value of the portfolio derived </w:t>
      </w:r>
      <w:r w:rsidR="00AC05F2" w:rsidRPr="00503E1D">
        <w:rPr>
          <w:rFonts w:ascii="Calibri" w:hAnsi="Calibri" w:cs="Calibri"/>
          <w:bCs/>
        </w:rPr>
        <w:t>mainly f</w:t>
      </w:r>
      <w:r w:rsidR="000050DA" w:rsidRPr="00503E1D">
        <w:rPr>
          <w:rFonts w:ascii="Calibri" w:hAnsi="Calibri" w:cs="Calibri"/>
          <w:bCs/>
        </w:rPr>
        <w:t>r</w:t>
      </w:r>
      <w:r w:rsidR="00AC05F2" w:rsidRPr="00503E1D">
        <w:rPr>
          <w:rFonts w:ascii="Calibri" w:hAnsi="Calibri" w:cs="Calibri"/>
          <w:bCs/>
        </w:rPr>
        <w:t>o</w:t>
      </w:r>
      <w:r w:rsidR="000050DA" w:rsidRPr="00503E1D">
        <w:rPr>
          <w:rFonts w:ascii="Calibri" w:hAnsi="Calibri" w:cs="Calibri"/>
          <w:bCs/>
        </w:rPr>
        <w:t xml:space="preserve">m an </w:t>
      </w:r>
      <w:r w:rsidR="00AC05F2" w:rsidRPr="00503E1D">
        <w:rPr>
          <w:rFonts w:ascii="Calibri" w:hAnsi="Calibri" w:cs="Calibri"/>
          <w:bCs/>
        </w:rPr>
        <w:t>increase</w:t>
      </w:r>
      <w:r w:rsidR="000050DA" w:rsidRPr="00503E1D">
        <w:rPr>
          <w:rFonts w:ascii="Calibri" w:hAnsi="Calibri" w:cs="Calibri"/>
          <w:bCs/>
        </w:rPr>
        <w:t xml:space="preserve"> in the prices of secu</w:t>
      </w:r>
      <w:r w:rsidR="00AC05F2" w:rsidRPr="00503E1D">
        <w:rPr>
          <w:rFonts w:ascii="Calibri" w:hAnsi="Calibri" w:cs="Calibri"/>
          <w:bCs/>
        </w:rPr>
        <w:t xml:space="preserve">rities </w:t>
      </w:r>
      <w:r w:rsidR="000050DA" w:rsidRPr="00503E1D">
        <w:rPr>
          <w:rFonts w:ascii="Calibri" w:hAnsi="Calibri" w:cs="Calibri"/>
          <w:bCs/>
        </w:rPr>
        <w:t>held by nonresidents (Figure 3</w:t>
      </w:r>
      <w:r w:rsidR="00F52F57" w:rsidRPr="00503E1D">
        <w:rPr>
          <w:rFonts w:ascii="Calibri" w:hAnsi="Calibri" w:cs="Calibri"/>
          <w:bCs/>
        </w:rPr>
        <w:t xml:space="preserve"> and Figure 4</w:t>
      </w:r>
      <w:r w:rsidR="000050DA" w:rsidRPr="00503E1D">
        <w:rPr>
          <w:rFonts w:ascii="Calibri" w:hAnsi="Calibri" w:cs="Calibri"/>
          <w:bCs/>
        </w:rPr>
        <w:t>).</w:t>
      </w:r>
    </w:p>
    <w:p w14:paraId="72517F5D" w14:textId="3DC7F969" w:rsidR="005C14F3" w:rsidRPr="00503E1D" w:rsidRDefault="00825144" w:rsidP="005C14F3">
      <w:pPr>
        <w:pStyle w:val="regpar"/>
        <w:ind w:left="432" w:firstLine="0"/>
        <w:rPr>
          <w:rFonts w:ascii="Calibri" w:hAnsi="Calibri" w:cs="Calibri"/>
        </w:rPr>
      </w:pPr>
      <w:r w:rsidRPr="00503E1D">
        <w:rPr>
          <w:rFonts w:ascii="Calibri" w:hAnsi="Calibri" w:cs="Calibri"/>
          <w:b/>
          <w:bCs/>
          <w:noProof/>
        </w:rPr>
        <w:drawing>
          <wp:anchor distT="0" distB="0" distL="114300" distR="114300" simplePos="0" relativeHeight="251687936" behindDoc="0" locked="0" layoutInCell="1" allowOverlap="1" wp14:anchorId="00FD99BD" wp14:editId="6D3E767D">
            <wp:simplePos x="0" y="0"/>
            <wp:positionH relativeFrom="page">
              <wp:posOffset>522514</wp:posOffset>
            </wp:positionH>
            <wp:positionV relativeFrom="page">
              <wp:posOffset>1909188</wp:posOffset>
            </wp:positionV>
            <wp:extent cx="3348654" cy="2042410"/>
            <wp:effectExtent l="0" t="0" r="4445" b="0"/>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4659" cy="2046072"/>
                    </a:xfrm>
                    <a:prstGeom prst="rect">
                      <a:avLst/>
                    </a:prstGeom>
                    <a:noFill/>
                  </pic:spPr>
                </pic:pic>
              </a:graphicData>
            </a:graphic>
            <wp14:sizeRelH relativeFrom="margin">
              <wp14:pctWidth>0</wp14:pctWidth>
            </wp14:sizeRelH>
            <wp14:sizeRelV relativeFrom="margin">
              <wp14:pctHeight>0</wp14:pctHeight>
            </wp14:sizeRelV>
          </wp:anchor>
        </w:drawing>
      </w:r>
    </w:p>
    <w:p w14:paraId="2FA61D2B" w14:textId="77817DE7" w:rsidR="009C3057" w:rsidRPr="00503E1D" w:rsidRDefault="00C0548A" w:rsidP="00633221">
      <w:pPr>
        <w:pStyle w:val="regpar"/>
        <w:ind w:firstLine="0"/>
        <w:jc w:val="right"/>
        <w:rPr>
          <w:rFonts w:ascii="Calibri" w:hAnsi="Calibri" w:cs="Calibri"/>
          <w:b/>
          <w:bCs/>
        </w:rPr>
      </w:pPr>
      <w:r w:rsidRPr="00503E1D">
        <w:rPr>
          <w:rFonts w:ascii="Calibri" w:hAnsi="Calibri" w:cs="Calibri"/>
          <w:bCs/>
          <w:noProof/>
        </w:rPr>
        <w:drawing>
          <wp:anchor distT="0" distB="0" distL="114300" distR="114300" simplePos="0" relativeHeight="251688960" behindDoc="0" locked="0" layoutInCell="1" allowOverlap="1" wp14:anchorId="02F1967C" wp14:editId="59309492">
            <wp:simplePos x="0" y="0"/>
            <wp:positionH relativeFrom="margin">
              <wp:posOffset>2755132</wp:posOffset>
            </wp:positionH>
            <wp:positionV relativeFrom="page">
              <wp:posOffset>1899285</wp:posOffset>
            </wp:positionV>
            <wp:extent cx="3185795" cy="2077085"/>
            <wp:effectExtent l="0" t="0" r="0" b="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5795" cy="2077085"/>
                    </a:xfrm>
                    <a:prstGeom prst="rect">
                      <a:avLst/>
                    </a:prstGeom>
                    <a:noFill/>
                  </pic:spPr>
                </pic:pic>
              </a:graphicData>
            </a:graphic>
          </wp:anchor>
        </w:drawing>
      </w:r>
    </w:p>
    <w:p w14:paraId="12B9D330" w14:textId="1EB8B26C" w:rsidR="009C3057" w:rsidRPr="00503E1D" w:rsidRDefault="009C3057" w:rsidP="00452111">
      <w:pPr>
        <w:pStyle w:val="regpar"/>
        <w:ind w:firstLine="0"/>
        <w:rPr>
          <w:rFonts w:ascii="Calibri" w:hAnsi="Calibri" w:cs="Calibri"/>
          <w:b/>
          <w:bCs/>
        </w:rPr>
      </w:pPr>
    </w:p>
    <w:p w14:paraId="7DE7A6BC" w14:textId="00F597DD" w:rsidR="009C3057" w:rsidRPr="00503E1D" w:rsidRDefault="009C3057" w:rsidP="00452111">
      <w:pPr>
        <w:pStyle w:val="regpar"/>
        <w:ind w:firstLine="0"/>
        <w:rPr>
          <w:rFonts w:ascii="Calibri" w:hAnsi="Calibri" w:cs="Calibri"/>
          <w:b/>
          <w:bCs/>
        </w:rPr>
      </w:pPr>
    </w:p>
    <w:p w14:paraId="3AF47362" w14:textId="3F44E9C0" w:rsidR="009C3057" w:rsidRPr="00503E1D" w:rsidRDefault="009C3057" w:rsidP="00452111">
      <w:pPr>
        <w:pStyle w:val="regpar"/>
        <w:ind w:firstLine="0"/>
        <w:rPr>
          <w:rFonts w:ascii="Calibri" w:hAnsi="Calibri" w:cs="Calibri"/>
          <w:b/>
          <w:bCs/>
        </w:rPr>
      </w:pPr>
    </w:p>
    <w:p w14:paraId="4EFB3E75" w14:textId="56C39367" w:rsidR="009C3057" w:rsidRPr="00503E1D" w:rsidRDefault="009C3057" w:rsidP="00452111">
      <w:pPr>
        <w:pStyle w:val="regpar"/>
        <w:ind w:firstLine="0"/>
        <w:rPr>
          <w:rFonts w:ascii="Calibri" w:hAnsi="Calibri" w:cs="Calibri"/>
          <w:b/>
          <w:bCs/>
        </w:rPr>
      </w:pPr>
    </w:p>
    <w:p w14:paraId="1797EFC3" w14:textId="77777777" w:rsidR="009C3057" w:rsidRPr="00503E1D" w:rsidRDefault="009C3057" w:rsidP="00452111">
      <w:pPr>
        <w:pStyle w:val="regpar"/>
        <w:ind w:firstLine="0"/>
        <w:rPr>
          <w:rFonts w:ascii="Calibri" w:hAnsi="Calibri" w:cs="Calibri"/>
          <w:b/>
          <w:bCs/>
        </w:rPr>
      </w:pPr>
    </w:p>
    <w:p w14:paraId="3AD5DCD7" w14:textId="77777777" w:rsidR="009C3057" w:rsidRPr="00503E1D" w:rsidRDefault="009C3057" w:rsidP="00452111">
      <w:pPr>
        <w:pStyle w:val="regpar"/>
        <w:ind w:firstLine="0"/>
        <w:rPr>
          <w:rFonts w:ascii="Calibri" w:hAnsi="Calibri" w:cs="Calibri"/>
          <w:b/>
          <w:bCs/>
        </w:rPr>
      </w:pPr>
    </w:p>
    <w:p w14:paraId="3985E525" w14:textId="588C8ABF" w:rsidR="009C3057" w:rsidRPr="00503E1D" w:rsidRDefault="009C3057" w:rsidP="00452111">
      <w:pPr>
        <w:pStyle w:val="regpar"/>
        <w:ind w:firstLine="0"/>
        <w:rPr>
          <w:rFonts w:ascii="Calibri" w:hAnsi="Calibri" w:cs="Calibri"/>
          <w:b/>
          <w:bCs/>
        </w:rPr>
      </w:pPr>
    </w:p>
    <w:p w14:paraId="60B48964" w14:textId="0F28C433" w:rsidR="009C3057" w:rsidRPr="00503E1D" w:rsidRDefault="009C3057" w:rsidP="00452111">
      <w:pPr>
        <w:pStyle w:val="regpar"/>
        <w:ind w:firstLine="0"/>
        <w:rPr>
          <w:rFonts w:ascii="Calibri" w:hAnsi="Calibri" w:cs="Calibri"/>
          <w:b/>
          <w:bCs/>
        </w:rPr>
      </w:pPr>
    </w:p>
    <w:p w14:paraId="0907B013" w14:textId="6EEE99F6" w:rsidR="009C3057" w:rsidRPr="00503E1D" w:rsidRDefault="005C14F3" w:rsidP="00452111">
      <w:pPr>
        <w:pStyle w:val="regpar"/>
        <w:ind w:firstLine="0"/>
        <w:rPr>
          <w:rFonts w:ascii="Calibri" w:hAnsi="Calibri" w:cs="Calibri"/>
          <w:b/>
          <w:bCs/>
        </w:rPr>
      </w:pPr>
      <w:r w:rsidRPr="00503E1D">
        <w:rPr>
          <w:rFonts w:ascii="Calibri" w:hAnsi="Calibri" w:cs="Calibri"/>
          <w:b/>
          <w:bCs/>
          <w:noProof/>
        </w:rPr>
        <mc:AlternateContent>
          <mc:Choice Requires="wps">
            <w:drawing>
              <wp:anchor distT="45720" distB="45720" distL="114300" distR="114300" simplePos="0" relativeHeight="251668480" behindDoc="0" locked="0" layoutInCell="1" allowOverlap="1" wp14:anchorId="50F41D84" wp14:editId="2A9D2A17">
                <wp:simplePos x="0" y="0"/>
                <wp:positionH relativeFrom="page">
                  <wp:posOffset>1069828</wp:posOffset>
                </wp:positionH>
                <wp:positionV relativeFrom="paragraph">
                  <wp:posOffset>222466</wp:posOffset>
                </wp:positionV>
                <wp:extent cx="4812665" cy="285750"/>
                <wp:effectExtent l="0" t="0" r="698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285750"/>
                        </a:xfrm>
                        <a:prstGeom prst="rect">
                          <a:avLst/>
                        </a:prstGeom>
                        <a:solidFill>
                          <a:srgbClr val="FFFFFF"/>
                        </a:solidFill>
                        <a:ln w="9525">
                          <a:noFill/>
                          <a:miter lim="800000"/>
                          <a:headEnd/>
                          <a:tailEnd/>
                        </a:ln>
                      </wps:spPr>
                      <wps:txbx>
                        <w:txbxContent>
                          <w:p w14:paraId="7C5811C0" w14:textId="77777777" w:rsidR="00811E95" w:rsidRPr="0054314B" w:rsidRDefault="00811E95" w:rsidP="00494280">
                            <w:pPr>
                              <w:bidi w:val="0"/>
                              <w:rPr>
                                <w:sz w:val="18"/>
                                <w:szCs w:val="18"/>
                                <w:vertAlign w:val="superscript"/>
                              </w:rPr>
                            </w:pPr>
                            <w:r w:rsidRPr="00811E95">
                              <w:rPr>
                                <w:sz w:val="18"/>
                                <w:szCs w:val="18"/>
                              </w:rPr>
                              <w:t>Source: Israel</w:t>
                            </w:r>
                            <w:r>
                              <w:rPr>
                                <w:sz w:val="18"/>
                                <w:szCs w:val="18"/>
                              </w:rPr>
                              <w:t xml:space="preserve"> Sec</w:t>
                            </w:r>
                            <w:r w:rsidRPr="00811E95">
                              <w:rPr>
                                <w:sz w:val="18"/>
                                <w:szCs w:val="18"/>
                              </w:rPr>
                              <w:t>urities Authority,</w:t>
                            </w:r>
                            <w:r w:rsidR="00BA72C9">
                              <w:rPr>
                                <w:sz w:val="18"/>
                                <w:szCs w:val="18"/>
                              </w:rPr>
                              <w:t xml:space="preserve"> and</w:t>
                            </w:r>
                            <w:r w:rsidRPr="00811E95">
                              <w:rPr>
                                <w:sz w:val="18"/>
                                <w:szCs w:val="18"/>
                              </w:rPr>
                              <w:t xml:space="preserve"> Bank of Israel data</w:t>
                            </w:r>
                            <w:r w:rsidR="00494280">
                              <w:rPr>
                                <w:sz w:val="18"/>
                                <w:szCs w:val="18"/>
                              </w:rPr>
                              <w:t xml:space="preserve"> and processing</w:t>
                            </w:r>
                            <w:r w:rsidR="00BA72C9">
                              <w:rPr>
                                <w:sz w:val="18"/>
                                <w:szCs w:val="18"/>
                                <w:vertAlign w:val="superscript"/>
                              </w:rPr>
                              <w:t>1</w:t>
                            </w:r>
                            <w:r w:rsidR="00BA72C9">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41D84" id="_x0000_s1028" type="#_x0000_t202" style="position:absolute;left:0;text-align:left;margin-left:84.25pt;margin-top:17.5pt;width:378.95pt;height:22.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" stroked="f">
                <v:textbox>
                  <w:txbxContent>
                    <w:p w14:paraId="7C5811C0" w14:textId="77777777" w:rsidR="00811E95" w:rsidRPr="0054314B" w:rsidRDefault="00811E95" w:rsidP="00494280">
                      <w:pPr>
                        <w:bidi w:val="0"/>
                        <w:rPr>
                          <w:sz w:val="18"/>
                          <w:szCs w:val="18"/>
                          <w:vertAlign w:val="superscript"/>
                        </w:rPr>
                      </w:pPr>
                      <w:r w:rsidRPr="00811E95">
                        <w:rPr>
                          <w:sz w:val="18"/>
                          <w:szCs w:val="18"/>
                        </w:rPr>
                        <w:t>Source: Israel</w:t>
                      </w:r>
                      <w:r>
                        <w:rPr>
                          <w:sz w:val="18"/>
                          <w:szCs w:val="18"/>
                        </w:rPr>
                        <w:t xml:space="preserve"> Sec</w:t>
                      </w:r>
                      <w:r w:rsidRPr="00811E95">
                        <w:rPr>
                          <w:sz w:val="18"/>
                          <w:szCs w:val="18"/>
                        </w:rPr>
                        <w:t>urities Authority,</w:t>
                      </w:r>
                      <w:r w:rsidR="00BA72C9">
                        <w:rPr>
                          <w:sz w:val="18"/>
                          <w:szCs w:val="18"/>
                        </w:rPr>
                        <w:t xml:space="preserve"> and</w:t>
                      </w:r>
                      <w:r w:rsidRPr="00811E95">
                        <w:rPr>
                          <w:sz w:val="18"/>
                          <w:szCs w:val="18"/>
                        </w:rPr>
                        <w:t xml:space="preserve"> Bank of Israel data</w:t>
                      </w:r>
                      <w:r w:rsidR="00494280">
                        <w:rPr>
                          <w:sz w:val="18"/>
                          <w:szCs w:val="18"/>
                        </w:rPr>
                        <w:t xml:space="preserve"> and processing</w:t>
                      </w:r>
                      <w:r w:rsidR="00BA72C9">
                        <w:rPr>
                          <w:sz w:val="18"/>
                          <w:szCs w:val="18"/>
                          <w:vertAlign w:val="superscript"/>
                        </w:rPr>
                        <w:t>1</w:t>
                      </w:r>
                      <w:r w:rsidR="00BA72C9">
                        <w:rPr>
                          <w:sz w:val="18"/>
                          <w:szCs w:val="18"/>
                        </w:rPr>
                        <w:t>.</w:t>
                      </w:r>
                    </w:p>
                  </w:txbxContent>
                </v:textbox>
                <w10:wrap anchorx="page"/>
              </v:shape>
            </w:pict>
          </mc:Fallback>
        </mc:AlternateContent>
      </w:r>
    </w:p>
    <w:p w14:paraId="06FA8E37" w14:textId="2BDD96CA" w:rsidR="009C3057" w:rsidRPr="00503E1D" w:rsidRDefault="009C3057" w:rsidP="00452111">
      <w:pPr>
        <w:pStyle w:val="regpar"/>
        <w:ind w:firstLine="0"/>
        <w:rPr>
          <w:rFonts w:ascii="Calibri" w:hAnsi="Calibri" w:cs="Calibri"/>
          <w:b/>
          <w:bCs/>
        </w:rPr>
      </w:pPr>
    </w:p>
    <w:p w14:paraId="7A79F8D8" w14:textId="073035C4" w:rsidR="00A46D56" w:rsidRPr="00503E1D" w:rsidRDefault="00A46D56" w:rsidP="009277E3">
      <w:pPr>
        <w:pStyle w:val="regpar"/>
        <w:ind w:firstLine="0"/>
        <w:outlineLvl w:val="0"/>
        <w:rPr>
          <w:rFonts w:ascii="Calibri" w:hAnsi="Calibri" w:cs="Calibri"/>
          <w:b/>
          <w:bCs/>
        </w:rPr>
      </w:pPr>
    </w:p>
    <w:p w14:paraId="0B206F8F" w14:textId="3676F42D" w:rsidR="000050DA" w:rsidRPr="00503E1D" w:rsidRDefault="007409AC" w:rsidP="00B17571">
      <w:pPr>
        <w:pStyle w:val="regpar"/>
        <w:ind w:firstLine="0"/>
        <w:outlineLvl w:val="0"/>
        <w:rPr>
          <w:rFonts w:ascii="Calibri" w:hAnsi="Calibri" w:cs="Calibri"/>
        </w:rPr>
      </w:pPr>
      <w:r w:rsidRPr="00503E1D">
        <w:rPr>
          <w:rFonts w:ascii="Calibri" w:hAnsi="Calibri" w:cs="Calibri"/>
          <w:b/>
          <w:bCs/>
        </w:rPr>
        <w:t xml:space="preserve">The value of other investments in the economy </w:t>
      </w:r>
      <w:r w:rsidR="00A82CAA" w:rsidRPr="00503E1D">
        <w:rPr>
          <w:rFonts w:ascii="Calibri" w:hAnsi="Calibri" w:cs="Calibri"/>
        </w:rPr>
        <w:t>increased</w:t>
      </w:r>
      <w:r w:rsidR="00171EC4" w:rsidRPr="00503E1D">
        <w:rPr>
          <w:rFonts w:ascii="Calibri" w:hAnsi="Calibri" w:cs="Calibri"/>
        </w:rPr>
        <w:t xml:space="preserve"> </w:t>
      </w:r>
      <w:r w:rsidR="00DC5C52" w:rsidRPr="00503E1D">
        <w:rPr>
          <w:rFonts w:ascii="Calibri" w:hAnsi="Calibri" w:cs="Calibri"/>
        </w:rPr>
        <w:t>by about $</w:t>
      </w:r>
      <w:r w:rsidR="004F37ED" w:rsidRPr="00503E1D">
        <w:rPr>
          <w:rFonts w:ascii="Calibri" w:hAnsi="Calibri" w:cs="Calibri"/>
        </w:rPr>
        <w:t>3.</w:t>
      </w:r>
      <w:r w:rsidR="000050DA" w:rsidRPr="00503E1D">
        <w:rPr>
          <w:rFonts w:ascii="Calibri" w:hAnsi="Calibri" w:cs="Calibri"/>
        </w:rPr>
        <w:t>4</w:t>
      </w:r>
      <w:r w:rsidR="00171EC4" w:rsidRPr="00503E1D">
        <w:rPr>
          <w:rFonts w:ascii="Calibri" w:hAnsi="Calibri" w:cs="Calibri"/>
        </w:rPr>
        <w:t xml:space="preserve"> </w:t>
      </w:r>
      <w:r w:rsidR="00DC5C52" w:rsidRPr="00503E1D">
        <w:rPr>
          <w:rFonts w:ascii="Calibri" w:hAnsi="Calibri" w:cs="Calibri"/>
        </w:rPr>
        <w:t>billion (</w:t>
      </w:r>
      <w:r w:rsidR="00685643" w:rsidRPr="00503E1D">
        <w:rPr>
          <w:rFonts w:ascii="Calibri" w:hAnsi="Calibri" w:cs="Calibri"/>
        </w:rPr>
        <w:t xml:space="preserve">about </w:t>
      </w:r>
      <w:r w:rsidR="00A82CAA" w:rsidRPr="00503E1D">
        <w:rPr>
          <w:rFonts w:ascii="Calibri" w:hAnsi="Calibri" w:cs="Calibri"/>
        </w:rPr>
        <w:t>5.</w:t>
      </w:r>
      <w:r w:rsidR="000050DA" w:rsidRPr="00503E1D">
        <w:rPr>
          <w:rFonts w:ascii="Calibri" w:hAnsi="Calibri" w:cs="Calibri"/>
        </w:rPr>
        <w:t>1</w:t>
      </w:r>
      <w:r w:rsidR="00171EC4" w:rsidRPr="00503E1D">
        <w:rPr>
          <w:rFonts w:ascii="Calibri" w:hAnsi="Calibri" w:cs="Calibri"/>
        </w:rPr>
        <w:t xml:space="preserve"> </w:t>
      </w:r>
      <w:r w:rsidR="00DC5C52" w:rsidRPr="00503E1D">
        <w:rPr>
          <w:rFonts w:ascii="Calibri" w:hAnsi="Calibri" w:cs="Calibri"/>
        </w:rPr>
        <w:t xml:space="preserve">percent) in the </w:t>
      </w:r>
      <w:r w:rsidR="00AD4944" w:rsidRPr="00503E1D">
        <w:rPr>
          <w:rFonts w:ascii="Calibri" w:hAnsi="Calibri" w:cs="Calibri"/>
        </w:rPr>
        <w:t>fourth</w:t>
      </w:r>
      <w:r w:rsidR="007A6A15" w:rsidRPr="00503E1D">
        <w:rPr>
          <w:rFonts w:ascii="Calibri" w:hAnsi="Calibri" w:cs="Calibri"/>
        </w:rPr>
        <w:t xml:space="preserve"> quarter</w:t>
      </w:r>
      <w:r w:rsidR="00DC5C52" w:rsidRPr="00503E1D">
        <w:rPr>
          <w:rFonts w:ascii="Calibri" w:hAnsi="Calibri" w:cs="Calibri"/>
        </w:rPr>
        <w:t xml:space="preserve">, to </w:t>
      </w:r>
      <w:r w:rsidR="00174485" w:rsidRPr="00503E1D">
        <w:rPr>
          <w:rFonts w:ascii="Calibri" w:hAnsi="Calibri" w:cs="Calibri"/>
        </w:rPr>
        <w:t xml:space="preserve">about </w:t>
      </w:r>
      <w:r w:rsidR="00DC5C52" w:rsidRPr="00503E1D">
        <w:rPr>
          <w:rFonts w:ascii="Calibri" w:hAnsi="Calibri" w:cs="Calibri"/>
        </w:rPr>
        <w:t>$</w:t>
      </w:r>
      <w:r w:rsidR="000050DA" w:rsidRPr="00503E1D">
        <w:rPr>
          <w:rFonts w:ascii="Calibri" w:hAnsi="Calibri" w:cs="Calibri"/>
        </w:rPr>
        <w:t xml:space="preserve">70 </w:t>
      </w:r>
      <w:r w:rsidR="002E2EF8" w:rsidRPr="00503E1D">
        <w:rPr>
          <w:rFonts w:ascii="Calibri" w:hAnsi="Calibri" w:cs="Calibri"/>
        </w:rPr>
        <w:t>b</w:t>
      </w:r>
      <w:r w:rsidR="00DC5C52" w:rsidRPr="00503E1D">
        <w:rPr>
          <w:rFonts w:ascii="Calibri" w:hAnsi="Calibri" w:cs="Calibri"/>
        </w:rPr>
        <w:t xml:space="preserve">illion. The </w:t>
      </w:r>
      <w:r w:rsidR="00A82CAA" w:rsidRPr="00503E1D">
        <w:rPr>
          <w:rFonts w:ascii="Calibri" w:hAnsi="Calibri" w:cs="Calibri"/>
        </w:rPr>
        <w:t>increas</w:t>
      </w:r>
      <w:r w:rsidR="005F798D" w:rsidRPr="00503E1D">
        <w:rPr>
          <w:rFonts w:ascii="Calibri" w:hAnsi="Calibri" w:cs="Calibri"/>
        </w:rPr>
        <w:t xml:space="preserve">e </w:t>
      </w:r>
      <w:r w:rsidR="00B17571" w:rsidRPr="00503E1D">
        <w:rPr>
          <w:rFonts w:ascii="Calibri" w:hAnsi="Calibri" w:cs="Calibri"/>
        </w:rPr>
        <w:t xml:space="preserve">derived </w:t>
      </w:r>
      <w:r w:rsidR="00DC5C52" w:rsidRPr="00503E1D">
        <w:rPr>
          <w:rFonts w:ascii="Calibri" w:hAnsi="Calibri" w:cs="Calibri"/>
        </w:rPr>
        <w:t xml:space="preserve">mainly </w:t>
      </w:r>
      <w:r w:rsidR="00B17571" w:rsidRPr="00503E1D">
        <w:rPr>
          <w:rFonts w:ascii="Calibri" w:hAnsi="Calibri" w:cs="Calibri"/>
        </w:rPr>
        <w:t xml:space="preserve">from </w:t>
      </w:r>
      <w:r w:rsidR="000050DA" w:rsidRPr="00503E1D">
        <w:rPr>
          <w:rFonts w:ascii="Calibri" w:hAnsi="Calibri" w:cs="Calibri"/>
        </w:rPr>
        <w:t xml:space="preserve">an increase in suppliers’ credit totaling </w:t>
      </w:r>
      <w:r w:rsidR="00B17571" w:rsidRPr="00503E1D">
        <w:rPr>
          <w:rFonts w:ascii="Calibri" w:hAnsi="Calibri" w:cs="Calibri"/>
        </w:rPr>
        <w:t xml:space="preserve">approximately </w:t>
      </w:r>
      <w:r w:rsidR="000050DA" w:rsidRPr="00503E1D">
        <w:rPr>
          <w:rFonts w:ascii="Calibri" w:hAnsi="Calibri" w:cs="Calibri"/>
        </w:rPr>
        <w:t xml:space="preserve">$3.6 </w:t>
      </w:r>
      <w:r w:rsidR="00B17571" w:rsidRPr="00503E1D">
        <w:rPr>
          <w:rFonts w:ascii="Calibri" w:hAnsi="Calibri" w:cs="Calibri"/>
        </w:rPr>
        <w:t xml:space="preserve">billion, and </w:t>
      </w:r>
      <w:r w:rsidR="000050DA" w:rsidRPr="00503E1D">
        <w:rPr>
          <w:rFonts w:ascii="Calibri" w:hAnsi="Calibri" w:cs="Calibri"/>
        </w:rPr>
        <w:t>by net depo</w:t>
      </w:r>
      <w:r w:rsidR="00B17571" w:rsidRPr="00503E1D">
        <w:rPr>
          <w:rFonts w:ascii="Calibri" w:hAnsi="Calibri" w:cs="Calibri"/>
        </w:rPr>
        <w:t>si</w:t>
      </w:r>
      <w:r w:rsidR="000050DA" w:rsidRPr="00503E1D">
        <w:rPr>
          <w:rFonts w:ascii="Calibri" w:hAnsi="Calibri" w:cs="Calibri"/>
        </w:rPr>
        <w:t xml:space="preserve">ts by nonresidents (including banks) in deposits with Israeli banks totaling $1.2 billion, which were partly offset by loan </w:t>
      </w:r>
      <w:r w:rsidR="00AC05F2" w:rsidRPr="00503E1D">
        <w:rPr>
          <w:rFonts w:ascii="Calibri" w:hAnsi="Calibri" w:cs="Calibri"/>
        </w:rPr>
        <w:t>repayments</w:t>
      </w:r>
      <w:r w:rsidR="000050DA" w:rsidRPr="00503E1D">
        <w:rPr>
          <w:rFonts w:ascii="Calibri" w:hAnsi="Calibri" w:cs="Calibri"/>
        </w:rPr>
        <w:t xml:space="preserve"> by </w:t>
      </w:r>
      <w:r w:rsidR="00AC05F2" w:rsidRPr="00503E1D">
        <w:rPr>
          <w:rFonts w:ascii="Calibri" w:hAnsi="Calibri" w:cs="Calibri"/>
        </w:rPr>
        <w:t>nonresidents</w:t>
      </w:r>
      <w:r w:rsidR="000050DA" w:rsidRPr="00503E1D">
        <w:rPr>
          <w:rFonts w:ascii="Calibri" w:hAnsi="Calibri" w:cs="Calibri"/>
        </w:rPr>
        <w:t xml:space="preserve"> totaling about $0.7 billion.</w:t>
      </w:r>
    </w:p>
    <w:p w14:paraId="409E4A48" w14:textId="77777777" w:rsidR="007409AC" w:rsidRPr="00503E1D" w:rsidRDefault="007409AC" w:rsidP="007409AC">
      <w:pPr>
        <w:pStyle w:val="regpar"/>
        <w:ind w:firstLine="0"/>
        <w:outlineLvl w:val="0"/>
        <w:rPr>
          <w:rFonts w:ascii="Calibri" w:hAnsi="Calibri" w:cs="Calibri"/>
          <w:b/>
          <w:bCs/>
        </w:rPr>
      </w:pPr>
    </w:p>
    <w:p w14:paraId="13947643" w14:textId="40C6305E" w:rsidR="008F2F3B" w:rsidRPr="00503E1D" w:rsidRDefault="008F2F3B" w:rsidP="00A82CAA">
      <w:pPr>
        <w:pStyle w:val="regpar"/>
        <w:ind w:firstLine="0"/>
        <w:outlineLvl w:val="0"/>
        <w:rPr>
          <w:rFonts w:ascii="Calibri" w:hAnsi="Calibri" w:cs="Calibri"/>
        </w:rPr>
      </w:pPr>
      <w:r w:rsidRPr="00503E1D">
        <w:rPr>
          <w:rFonts w:ascii="Calibri" w:hAnsi="Calibri" w:cs="Calibri"/>
          <w:b/>
          <w:bCs/>
        </w:rPr>
        <w:t xml:space="preserve">The balance of liabilities in debt instruments alone, </w:t>
      </w:r>
      <w:r w:rsidRPr="00503E1D">
        <w:rPr>
          <w:rFonts w:ascii="Calibri" w:hAnsi="Calibri" w:cs="Calibri"/>
        </w:rPr>
        <w:t xml:space="preserve">which makes up Israel's gross external debt, </w:t>
      </w:r>
      <w:r w:rsidR="00A82CAA" w:rsidRPr="00503E1D">
        <w:rPr>
          <w:rFonts w:ascii="Calibri" w:hAnsi="Calibri" w:cs="Calibri"/>
        </w:rPr>
        <w:t>increased</w:t>
      </w:r>
      <w:r w:rsidR="002E2EF8" w:rsidRPr="00503E1D">
        <w:rPr>
          <w:rFonts w:ascii="Calibri" w:hAnsi="Calibri" w:cs="Calibri"/>
        </w:rPr>
        <w:t xml:space="preserve"> </w:t>
      </w:r>
      <w:r w:rsidRPr="00503E1D">
        <w:rPr>
          <w:rFonts w:ascii="Calibri" w:hAnsi="Calibri" w:cs="Calibri"/>
        </w:rPr>
        <w:t>by about $</w:t>
      </w:r>
      <w:r w:rsidR="001B05B8" w:rsidRPr="00503E1D">
        <w:rPr>
          <w:rFonts w:ascii="Calibri" w:hAnsi="Calibri" w:cs="Calibri"/>
        </w:rPr>
        <w:t>5.</w:t>
      </w:r>
      <w:r w:rsidR="00A82CAA" w:rsidRPr="00503E1D">
        <w:rPr>
          <w:rFonts w:ascii="Calibri" w:hAnsi="Calibri" w:cs="Calibri"/>
        </w:rPr>
        <w:t>8</w:t>
      </w:r>
      <w:r w:rsidR="00A67B02" w:rsidRPr="00503E1D">
        <w:rPr>
          <w:rFonts w:ascii="Calibri" w:hAnsi="Calibri" w:cs="Calibri"/>
        </w:rPr>
        <w:t xml:space="preserve"> </w:t>
      </w:r>
      <w:r w:rsidRPr="00503E1D">
        <w:rPr>
          <w:rFonts w:ascii="Calibri" w:hAnsi="Calibri" w:cs="Calibri"/>
        </w:rPr>
        <w:t>billion (</w:t>
      </w:r>
      <w:r w:rsidR="00A82CAA" w:rsidRPr="00503E1D">
        <w:rPr>
          <w:rFonts w:ascii="Calibri" w:hAnsi="Calibri" w:cs="Calibri"/>
        </w:rPr>
        <w:t>4.1</w:t>
      </w:r>
      <w:r w:rsidR="00B45CBD" w:rsidRPr="00503E1D">
        <w:rPr>
          <w:rFonts w:ascii="Calibri" w:hAnsi="Calibri" w:cs="Calibri"/>
        </w:rPr>
        <w:t xml:space="preserve"> </w:t>
      </w:r>
      <w:r w:rsidRPr="00503E1D">
        <w:rPr>
          <w:rFonts w:ascii="Calibri" w:hAnsi="Calibri" w:cs="Calibri"/>
        </w:rPr>
        <w:t xml:space="preserve">percent) in the </w:t>
      </w:r>
      <w:r w:rsidR="00AD4944" w:rsidRPr="00503E1D">
        <w:rPr>
          <w:rFonts w:ascii="Calibri" w:hAnsi="Calibri" w:cs="Calibri"/>
        </w:rPr>
        <w:t>fourth</w:t>
      </w:r>
      <w:r w:rsidR="007A6A15" w:rsidRPr="00503E1D">
        <w:rPr>
          <w:rFonts w:ascii="Calibri" w:hAnsi="Calibri" w:cs="Calibri"/>
        </w:rPr>
        <w:t xml:space="preserve"> quarter</w:t>
      </w:r>
      <w:r w:rsidR="00A53A8A" w:rsidRPr="00503E1D">
        <w:rPr>
          <w:rFonts w:ascii="Calibri" w:hAnsi="Calibri" w:cs="Calibri"/>
        </w:rPr>
        <w:t>,</w:t>
      </w:r>
      <w:r w:rsidRPr="00503E1D">
        <w:rPr>
          <w:rFonts w:ascii="Calibri" w:hAnsi="Calibri" w:cs="Calibri"/>
        </w:rPr>
        <w:t xml:space="preserve"> to</w:t>
      </w:r>
      <w:r w:rsidR="009277E3" w:rsidRPr="00503E1D">
        <w:rPr>
          <w:rFonts w:ascii="Calibri" w:hAnsi="Calibri" w:cs="Calibri"/>
        </w:rPr>
        <w:t xml:space="preserve"> about</w:t>
      </w:r>
      <w:r w:rsidRPr="00503E1D">
        <w:rPr>
          <w:rFonts w:ascii="Calibri" w:hAnsi="Calibri" w:cs="Calibri"/>
        </w:rPr>
        <w:t xml:space="preserve"> $</w:t>
      </w:r>
      <w:r w:rsidR="002E2EF8" w:rsidRPr="00503E1D">
        <w:rPr>
          <w:rFonts w:ascii="Calibri" w:hAnsi="Calibri" w:cs="Calibri"/>
        </w:rPr>
        <w:t>1</w:t>
      </w:r>
      <w:r w:rsidR="00A63739" w:rsidRPr="00503E1D">
        <w:rPr>
          <w:rFonts w:ascii="Calibri" w:hAnsi="Calibri" w:cs="Calibri"/>
        </w:rPr>
        <w:t>4</w:t>
      </w:r>
      <w:r w:rsidR="00A82CAA" w:rsidRPr="00503E1D">
        <w:rPr>
          <w:rFonts w:ascii="Calibri" w:hAnsi="Calibri" w:cs="Calibri"/>
        </w:rPr>
        <w:t>7</w:t>
      </w:r>
      <w:r w:rsidR="002E2EF8" w:rsidRPr="00503E1D">
        <w:rPr>
          <w:rFonts w:ascii="Calibri" w:hAnsi="Calibri" w:cs="Calibri"/>
        </w:rPr>
        <w:t xml:space="preserve"> </w:t>
      </w:r>
      <w:r w:rsidRPr="00503E1D">
        <w:rPr>
          <w:rFonts w:ascii="Calibri" w:hAnsi="Calibri" w:cs="Calibri"/>
        </w:rPr>
        <w:t>billion</w:t>
      </w:r>
      <w:r w:rsidR="00BA72C9" w:rsidRPr="00503E1D">
        <w:rPr>
          <w:rFonts w:ascii="Calibri" w:hAnsi="Calibri" w:cs="Calibri"/>
        </w:rPr>
        <w:t>.</w:t>
      </w:r>
    </w:p>
    <w:p w14:paraId="4189B478" w14:textId="77777777" w:rsidR="00284C45" w:rsidRPr="00503E1D" w:rsidRDefault="00284C45" w:rsidP="00DE255D">
      <w:pPr>
        <w:pStyle w:val="regpar"/>
        <w:ind w:firstLine="0"/>
        <w:rPr>
          <w:rFonts w:ascii="Calibri" w:hAnsi="Calibri" w:cs="Calibri"/>
          <w:b/>
          <w:bCs/>
        </w:rPr>
      </w:pPr>
    </w:p>
    <w:p w14:paraId="5ADD280C" w14:textId="1B941C5A" w:rsidR="009277E3" w:rsidRPr="00503E1D" w:rsidRDefault="00160080" w:rsidP="0087493E">
      <w:pPr>
        <w:pStyle w:val="regpar"/>
        <w:ind w:firstLine="0"/>
        <w:rPr>
          <w:rFonts w:ascii="Calibri" w:hAnsi="Calibri" w:cs="Calibri"/>
        </w:rPr>
      </w:pPr>
      <w:r w:rsidRPr="00503E1D">
        <w:rPr>
          <w:rFonts w:ascii="Calibri" w:hAnsi="Calibri" w:cs="Calibri"/>
          <w:b/>
          <w:bCs/>
        </w:rPr>
        <w:t>The ratio of gross external debt to GDP</w:t>
      </w:r>
      <w:r w:rsidR="00CE4765" w:rsidRPr="00503E1D">
        <w:rPr>
          <w:rFonts w:ascii="Calibri" w:hAnsi="Calibri" w:cs="Calibri"/>
        </w:rPr>
        <w:t xml:space="preserve"> </w:t>
      </w:r>
      <w:r w:rsidR="0087493E" w:rsidRPr="00503E1D">
        <w:rPr>
          <w:rFonts w:ascii="Calibri" w:hAnsi="Calibri" w:cs="Calibri"/>
        </w:rPr>
        <w:t xml:space="preserve">declined </w:t>
      </w:r>
      <w:r w:rsidR="00573524" w:rsidRPr="00503E1D">
        <w:rPr>
          <w:rFonts w:ascii="Calibri" w:hAnsi="Calibri" w:cs="Calibri"/>
        </w:rPr>
        <w:t xml:space="preserve">by about </w:t>
      </w:r>
      <w:r w:rsidR="00A82CAA" w:rsidRPr="00503E1D">
        <w:rPr>
          <w:rFonts w:ascii="Calibri" w:hAnsi="Calibri" w:cs="Calibri"/>
        </w:rPr>
        <w:t>0.7</w:t>
      </w:r>
      <w:r w:rsidR="00573524" w:rsidRPr="00503E1D">
        <w:rPr>
          <w:rFonts w:ascii="Calibri" w:hAnsi="Calibri" w:cs="Calibri"/>
        </w:rPr>
        <w:t xml:space="preserve"> percentage points in the </w:t>
      </w:r>
      <w:r w:rsidR="00AD4944" w:rsidRPr="00503E1D">
        <w:rPr>
          <w:rFonts w:ascii="Calibri" w:hAnsi="Calibri" w:cs="Calibri"/>
        </w:rPr>
        <w:t>fourth</w:t>
      </w:r>
      <w:r w:rsidR="007A6A15" w:rsidRPr="00503E1D">
        <w:rPr>
          <w:rFonts w:ascii="Calibri" w:hAnsi="Calibri" w:cs="Calibri"/>
        </w:rPr>
        <w:t xml:space="preserve"> quarter</w:t>
      </w:r>
      <w:r w:rsidR="007C13F5" w:rsidRPr="00503E1D">
        <w:rPr>
          <w:rFonts w:ascii="Calibri" w:hAnsi="Calibri" w:cs="Calibri"/>
        </w:rPr>
        <w:t xml:space="preserve">, </w:t>
      </w:r>
      <w:r w:rsidR="00573524" w:rsidRPr="00503E1D">
        <w:rPr>
          <w:rFonts w:ascii="Calibri" w:hAnsi="Calibri" w:cs="Calibri"/>
        </w:rPr>
        <w:t>to</w:t>
      </w:r>
      <w:r w:rsidR="007C13F5" w:rsidRPr="00503E1D">
        <w:rPr>
          <w:rFonts w:ascii="Calibri" w:hAnsi="Calibri" w:cs="Calibri"/>
        </w:rPr>
        <w:t xml:space="preserve"> </w:t>
      </w:r>
      <w:r w:rsidR="00685643" w:rsidRPr="00503E1D">
        <w:rPr>
          <w:rFonts w:ascii="Calibri" w:hAnsi="Calibri" w:cs="Calibri"/>
        </w:rPr>
        <w:t>about</w:t>
      </w:r>
      <w:r w:rsidRPr="00503E1D">
        <w:rPr>
          <w:rFonts w:ascii="Calibri" w:hAnsi="Calibri" w:cs="Calibri"/>
        </w:rPr>
        <w:t xml:space="preserve"> </w:t>
      </w:r>
      <w:r w:rsidR="001B05B8" w:rsidRPr="00503E1D">
        <w:rPr>
          <w:rFonts w:ascii="Calibri" w:hAnsi="Calibri" w:cs="Calibri"/>
        </w:rPr>
        <w:t>27</w:t>
      </w:r>
      <w:r w:rsidR="0087493E" w:rsidRPr="00503E1D">
        <w:rPr>
          <w:rFonts w:ascii="Calibri" w:hAnsi="Calibri" w:cs="Calibri"/>
        </w:rPr>
        <w:t xml:space="preserve"> </w:t>
      </w:r>
      <w:r w:rsidRPr="00503E1D">
        <w:rPr>
          <w:rFonts w:ascii="Calibri" w:hAnsi="Calibri" w:cs="Calibri"/>
        </w:rPr>
        <w:t xml:space="preserve">percent at the end of </w:t>
      </w:r>
      <w:r w:rsidR="0087493E" w:rsidRPr="00503E1D">
        <w:rPr>
          <w:rFonts w:ascii="Calibri" w:hAnsi="Calibri" w:cs="Calibri"/>
        </w:rPr>
        <w:t>December</w:t>
      </w:r>
      <w:r w:rsidR="002E2EF8" w:rsidRPr="00503E1D">
        <w:rPr>
          <w:rFonts w:ascii="Calibri" w:hAnsi="Calibri" w:cs="Calibri"/>
        </w:rPr>
        <w:t xml:space="preserve"> </w:t>
      </w:r>
      <w:r w:rsidRPr="00503E1D">
        <w:rPr>
          <w:rFonts w:ascii="Calibri" w:hAnsi="Calibri" w:cs="Calibri"/>
        </w:rPr>
        <w:t xml:space="preserve">(Figure </w:t>
      </w:r>
      <w:r w:rsidR="001B05B8" w:rsidRPr="00503E1D">
        <w:rPr>
          <w:rFonts w:ascii="Calibri" w:hAnsi="Calibri" w:cs="Calibri"/>
        </w:rPr>
        <w:t>5</w:t>
      </w:r>
      <w:r w:rsidRPr="00503E1D">
        <w:rPr>
          <w:rFonts w:ascii="Calibri" w:hAnsi="Calibri" w:cs="Calibri"/>
        </w:rPr>
        <w:t>)</w:t>
      </w:r>
      <w:r w:rsidR="009277E3" w:rsidRPr="00503E1D">
        <w:rPr>
          <w:rFonts w:ascii="Calibri" w:hAnsi="Calibri" w:cs="Calibri"/>
        </w:rPr>
        <w:t>.</w:t>
      </w:r>
      <w:r w:rsidR="0087493E" w:rsidRPr="00503E1D">
        <w:rPr>
          <w:rFonts w:ascii="Calibri" w:hAnsi="Calibri" w:cs="Calibri"/>
        </w:rPr>
        <w:t xml:space="preserve"> The increase in the external debt to GDP ratio reflected an increase in the </w:t>
      </w:r>
      <w:r w:rsidR="00AC05F2" w:rsidRPr="00503E1D">
        <w:rPr>
          <w:rFonts w:ascii="Calibri" w:hAnsi="Calibri" w:cs="Calibri"/>
        </w:rPr>
        <w:t>balance</w:t>
      </w:r>
      <w:r w:rsidR="0087493E" w:rsidRPr="00503E1D">
        <w:rPr>
          <w:rFonts w:ascii="Calibri" w:hAnsi="Calibri" w:cs="Calibri"/>
        </w:rPr>
        <w:t xml:space="preserve"> of gross </w:t>
      </w:r>
      <w:r w:rsidR="00AC05F2" w:rsidRPr="00503E1D">
        <w:rPr>
          <w:rFonts w:ascii="Calibri" w:hAnsi="Calibri" w:cs="Calibri"/>
        </w:rPr>
        <w:t>external debt at a high</w:t>
      </w:r>
      <w:r w:rsidR="0087493E" w:rsidRPr="00503E1D">
        <w:rPr>
          <w:rFonts w:ascii="Calibri" w:hAnsi="Calibri" w:cs="Calibri"/>
        </w:rPr>
        <w:t xml:space="preserve">er pace than the increase in GDP in </w:t>
      </w:r>
      <w:r w:rsidR="00AC05F2" w:rsidRPr="00503E1D">
        <w:rPr>
          <w:rFonts w:ascii="Calibri" w:hAnsi="Calibri" w:cs="Calibri"/>
        </w:rPr>
        <w:t>dollar</w:t>
      </w:r>
      <w:r w:rsidR="0087493E" w:rsidRPr="00503E1D">
        <w:rPr>
          <w:rFonts w:ascii="Calibri" w:hAnsi="Calibri" w:cs="Calibri"/>
        </w:rPr>
        <w:t xml:space="preserve"> terms (</w:t>
      </w:r>
      <w:r w:rsidR="00AC05F2" w:rsidRPr="00503E1D">
        <w:rPr>
          <w:rFonts w:ascii="Calibri" w:hAnsi="Calibri" w:cs="Calibri"/>
        </w:rPr>
        <w:t>Figure</w:t>
      </w:r>
      <w:r w:rsidR="000E1FC8" w:rsidRPr="00503E1D">
        <w:rPr>
          <w:rFonts w:ascii="Calibri" w:hAnsi="Calibri" w:cs="Calibri"/>
        </w:rPr>
        <w:t xml:space="preserve"> 5).</w:t>
      </w:r>
    </w:p>
    <w:p w14:paraId="249BD38E" w14:textId="77777777" w:rsidR="00D05E91" w:rsidRPr="00503E1D" w:rsidRDefault="00D05E91" w:rsidP="00145F91">
      <w:pPr>
        <w:bidi w:val="0"/>
        <w:jc w:val="center"/>
        <w:rPr>
          <w:rFonts w:ascii="Calibri" w:hAnsi="Calibri" w:cs="Calibri"/>
        </w:rPr>
      </w:pPr>
    </w:p>
    <w:p w14:paraId="1C135B7E" w14:textId="2976051A" w:rsidR="00B16BBB" w:rsidRPr="00503E1D" w:rsidRDefault="008F35A6" w:rsidP="008F35A6">
      <w:pPr>
        <w:bidi w:val="0"/>
        <w:jc w:val="center"/>
        <w:rPr>
          <w:rFonts w:ascii="Calibri" w:hAnsi="Calibri" w:cs="Calibri"/>
        </w:rPr>
      </w:pPr>
      <w:r w:rsidRPr="00503E1D">
        <w:rPr>
          <w:rFonts w:ascii="Calibri" w:hAnsi="Calibri" w:cs="Calibri"/>
          <w:bCs/>
          <w:noProof/>
        </w:rPr>
        <mc:AlternateContent>
          <mc:Choice Requires="wps">
            <w:drawing>
              <wp:anchor distT="45720" distB="45720" distL="114300" distR="114300" simplePos="0" relativeHeight="251679744" behindDoc="0" locked="0" layoutInCell="1" allowOverlap="1" wp14:anchorId="06A2DFD1" wp14:editId="1A3CB4C1">
                <wp:simplePos x="0" y="0"/>
                <wp:positionH relativeFrom="margin">
                  <wp:align>left</wp:align>
                </wp:positionH>
                <wp:positionV relativeFrom="paragraph">
                  <wp:posOffset>9171814</wp:posOffset>
                </wp:positionV>
                <wp:extent cx="5463540" cy="1404620"/>
                <wp:effectExtent l="0" t="0" r="381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1404620"/>
                        </a:xfrm>
                        <a:prstGeom prst="rect">
                          <a:avLst/>
                        </a:prstGeom>
                        <a:solidFill>
                          <a:srgbClr val="FFFFFF"/>
                        </a:solidFill>
                        <a:ln w="9525">
                          <a:noFill/>
                          <a:miter lim="800000"/>
                          <a:headEnd/>
                          <a:tailEnd/>
                        </a:ln>
                      </wps:spPr>
                      <wps:txbx>
                        <w:txbxContent>
                          <w:p w14:paraId="01E3C5AB" w14:textId="5013CC01" w:rsidR="00BB6B61" w:rsidRPr="00BB6B61" w:rsidRDefault="00BB6B61" w:rsidP="001B05B8">
                            <w:pPr>
                              <w:bidi w:val="0"/>
                              <w:rPr>
                                <w:sz w:val="18"/>
                                <w:szCs w:val="18"/>
                              </w:rPr>
                            </w:pPr>
                            <w:r w:rsidRPr="00BB6B61">
                              <w:rPr>
                                <w:sz w:val="18"/>
                                <w:szCs w:val="18"/>
                              </w:rPr>
                              <w:t>Source: Israel’s Ministry of Finance, Israel’s Central Bureau of Statistics,</w:t>
                            </w:r>
                            <w:r w:rsidR="00BA72C9">
                              <w:rPr>
                                <w:sz w:val="18"/>
                                <w:szCs w:val="18"/>
                              </w:rPr>
                              <w:t xml:space="preserve"> and</w:t>
                            </w:r>
                            <w:r w:rsidRPr="00BB6B61">
                              <w:rPr>
                                <w:sz w:val="18"/>
                                <w:szCs w:val="18"/>
                              </w:rPr>
                              <w:t xml:space="preserve"> Bank of Israel data</w:t>
                            </w:r>
                            <w:r w:rsidR="00494280">
                              <w:rPr>
                                <w:sz w:val="18"/>
                                <w:szCs w:val="18"/>
                              </w:rPr>
                              <w:t xml:space="preserve"> and </w:t>
                            </w:r>
                            <w:r w:rsidR="00494280" w:rsidRPr="003728B4">
                              <w:rPr>
                                <w:sz w:val="18"/>
                                <w:szCs w:val="18"/>
                              </w:rPr>
                              <w:t>processing</w:t>
                            </w:r>
                            <w:r w:rsidR="001B05B8">
                              <w:rPr>
                                <w:sz w:val="18"/>
                                <w:szCs w:val="18"/>
                              </w:rPr>
                              <w:t>.</w:t>
                            </w:r>
                            <w:r w:rsidR="00BA72C9" w:rsidRPr="003728B4">
                              <w:rPr>
                                <w:sz w:val="18"/>
                                <w:szCs w:val="18"/>
                                <w:vertAlign w:val="superscript"/>
                              </w:rPr>
                              <w:t>1</w:t>
                            </w:r>
                            <w:r w:rsidRPr="00BB6B61">
                              <w:rPr>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A2DFD1" id="_x0000_s1029" type="#_x0000_t202" style="position:absolute;left:0;text-align:left;margin-left:0;margin-top:722.2pt;width:430.2pt;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" stroked="f">
                <v:textbox style="mso-fit-shape-to-text:t">
                  <w:txbxContent>
                    <w:p w14:paraId="01E3C5AB" w14:textId="5013CC01" w:rsidR="00BB6B61" w:rsidRPr="00BB6B61" w:rsidRDefault="00BB6B61" w:rsidP="001B05B8">
                      <w:pPr>
                        <w:bidi w:val="0"/>
                        <w:rPr>
                          <w:sz w:val="18"/>
                          <w:szCs w:val="18"/>
                        </w:rPr>
                      </w:pPr>
                      <w:r w:rsidRPr="00BB6B61">
                        <w:rPr>
                          <w:sz w:val="18"/>
                          <w:szCs w:val="18"/>
                        </w:rPr>
                        <w:t>Source: Israel’s Ministry of Finance, Israel’s Central Bureau of Statistics,</w:t>
                      </w:r>
                      <w:r w:rsidR="00BA72C9">
                        <w:rPr>
                          <w:sz w:val="18"/>
                          <w:szCs w:val="18"/>
                        </w:rPr>
                        <w:t xml:space="preserve"> and</w:t>
                      </w:r>
                      <w:r w:rsidRPr="00BB6B61">
                        <w:rPr>
                          <w:sz w:val="18"/>
                          <w:szCs w:val="18"/>
                        </w:rPr>
                        <w:t xml:space="preserve"> Bank of Israel data</w:t>
                      </w:r>
                      <w:r w:rsidR="00494280">
                        <w:rPr>
                          <w:sz w:val="18"/>
                          <w:szCs w:val="18"/>
                        </w:rPr>
                        <w:t xml:space="preserve"> and </w:t>
                      </w:r>
                      <w:r w:rsidR="00494280" w:rsidRPr="003728B4">
                        <w:rPr>
                          <w:sz w:val="18"/>
                          <w:szCs w:val="18"/>
                        </w:rPr>
                        <w:t>processing</w:t>
                      </w:r>
                      <w:r w:rsidR="001B05B8">
                        <w:rPr>
                          <w:sz w:val="18"/>
                          <w:szCs w:val="18"/>
                        </w:rPr>
                        <w:t>.</w:t>
                      </w:r>
                      <w:r w:rsidR="00BA72C9" w:rsidRPr="003728B4">
                        <w:rPr>
                          <w:sz w:val="18"/>
                          <w:szCs w:val="18"/>
                          <w:vertAlign w:val="superscript"/>
                        </w:rPr>
                        <w:t>1</w:t>
                      </w:r>
                      <w:r w:rsidRPr="00BB6B61">
                        <w:rPr>
                          <w:sz w:val="18"/>
                          <w:szCs w:val="18"/>
                        </w:rPr>
                        <w:t xml:space="preserve"> </w:t>
                      </w:r>
                    </w:p>
                  </w:txbxContent>
                </v:textbox>
                <w10:wrap type="square" anchorx="margin"/>
              </v:shape>
            </w:pict>
          </mc:Fallback>
        </mc:AlternateContent>
      </w:r>
      <w:r w:rsidRPr="00503E1D">
        <w:rPr>
          <w:rFonts w:ascii="Calibri" w:hAnsi="Calibri" w:cs="Calibri"/>
          <w:noProof/>
        </w:rPr>
        <w:drawing>
          <wp:inline distT="0" distB="0" distL="0" distR="0" wp14:anchorId="10063D93" wp14:editId="0D4EDEC6">
            <wp:extent cx="3782972" cy="2304288"/>
            <wp:effectExtent l="0" t="0" r="8255" b="127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66059" cy="2354898"/>
                    </a:xfrm>
                    <a:prstGeom prst="rect">
                      <a:avLst/>
                    </a:prstGeom>
                    <a:noFill/>
                  </pic:spPr>
                </pic:pic>
              </a:graphicData>
            </a:graphic>
          </wp:inline>
        </w:drawing>
      </w:r>
    </w:p>
    <w:p w14:paraId="5CB4A11F" w14:textId="18B13D73" w:rsidR="0020155F" w:rsidRPr="00503E1D" w:rsidRDefault="0020155F" w:rsidP="0020155F">
      <w:pPr>
        <w:pStyle w:val="regpar"/>
        <w:numPr>
          <w:ilvl w:val="0"/>
          <w:numId w:val="4"/>
        </w:numPr>
        <w:rPr>
          <w:rFonts w:ascii="Calibri" w:hAnsi="Calibri" w:cs="Calibri"/>
          <w:b/>
          <w:bCs/>
        </w:rPr>
      </w:pPr>
      <w:r w:rsidRPr="00503E1D">
        <w:rPr>
          <w:rFonts w:ascii="Calibri" w:hAnsi="Calibri" w:cs="Calibri"/>
          <w:b/>
          <w:bCs/>
        </w:rPr>
        <w:lastRenderedPageBreak/>
        <w:t xml:space="preserve">Israel’s surplus assets over liabilities </w:t>
      </w:r>
      <w:r w:rsidR="00E0216F" w:rsidRPr="00503E1D">
        <w:rPr>
          <w:rFonts w:ascii="Calibri" w:hAnsi="Calibri" w:cs="Calibri"/>
          <w:b/>
          <w:bCs/>
        </w:rPr>
        <w:t xml:space="preserve">vis-à-vis </w:t>
      </w:r>
      <w:r w:rsidRPr="00503E1D">
        <w:rPr>
          <w:rFonts w:ascii="Calibri" w:hAnsi="Calibri" w:cs="Calibri"/>
          <w:b/>
          <w:bCs/>
        </w:rPr>
        <w:t>abroad</w:t>
      </w:r>
    </w:p>
    <w:p w14:paraId="4FD24223" w14:textId="429DADDB" w:rsidR="002D0240" w:rsidRPr="00503E1D" w:rsidRDefault="001B05B8" w:rsidP="00F91F3F">
      <w:pPr>
        <w:autoSpaceDE w:val="0"/>
        <w:autoSpaceDN w:val="0"/>
        <w:bidi w:val="0"/>
        <w:adjustRightInd w:val="0"/>
        <w:jc w:val="both"/>
        <w:rPr>
          <w:rFonts w:ascii="Calibri" w:hAnsi="Calibri" w:cs="Calibri"/>
        </w:rPr>
      </w:pPr>
      <w:r w:rsidRPr="00503E1D">
        <w:rPr>
          <w:rFonts w:ascii="Calibri" w:hAnsi="Calibri" w:cs="Calibri"/>
        </w:rPr>
        <w:t>The</w:t>
      </w:r>
      <w:r w:rsidR="00573524" w:rsidRPr="00503E1D">
        <w:rPr>
          <w:rFonts w:ascii="Calibri" w:hAnsi="Calibri" w:cs="Calibri"/>
        </w:rPr>
        <w:t xml:space="preserve"> </w:t>
      </w:r>
      <w:r w:rsidR="00196B1B" w:rsidRPr="00503E1D">
        <w:rPr>
          <w:rFonts w:ascii="Calibri" w:hAnsi="Calibri" w:cs="Calibri"/>
        </w:rPr>
        <w:t>increase in the balance of assets</w:t>
      </w:r>
      <w:r w:rsidR="000A6999" w:rsidRPr="00503E1D">
        <w:rPr>
          <w:rFonts w:ascii="Calibri" w:hAnsi="Calibri" w:cs="Calibri"/>
        </w:rPr>
        <w:t xml:space="preserve"> </w:t>
      </w:r>
      <w:r w:rsidR="00A82CAA" w:rsidRPr="00503E1D">
        <w:rPr>
          <w:rFonts w:ascii="Calibri" w:hAnsi="Calibri" w:cs="Calibri"/>
        </w:rPr>
        <w:t xml:space="preserve">was </w:t>
      </w:r>
      <w:r w:rsidR="00362F8F" w:rsidRPr="00503E1D">
        <w:rPr>
          <w:rFonts w:ascii="Calibri" w:hAnsi="Calibri" w:cs="Calibri"/>
        </w:rPr>
        <w:t xml:space="preserve">smaller </w:t>
      </w:r>
      <w:r w:rsidR="00A82CAA" w:rsidRPr="00503E1D">
        <w:rPr>
          <w:rFonts w:ascii="Calibri" w:hAnsi="Calibri" w:cs="Calibri"/>
        </w:rPr>
        <w:t xml:space="preserve">than the increase in the balance </w:t>
      </w:r>
      <w:r w:rsidR="00573524" w:rsidRPr="00503E1D">
        <w:rPr>
          <w:rFonts w:ascii="Calibri" w:hAnsi="Calibri" w:cs="Calibri"/>
        </w:rPr>
        <w:t>of liabilities</w:t>
      </w:r>
      <w:r w:rsidR="00A82CAA" w:rsidRPr="00503E1D">
        <w:rPr>
          <w:rFonts w:ascii="Calibri" w:hAnsi="Calibri" w:cs="Calibri"/>
        </w:rPr>
        <w:t>, which</w:t>
      </w:r>
      <w:r w:rsidR="00573524" w:rsidRPr="00503E1D">
        <w:rPr>
          <w:rFonts w:ascii="Calibri" w:hAnsi="Calibri" w:cs="Calibri"/>
        </w:rPr>
        <w:t xml:space="preserve"> led to a</w:t>
      </w:r>
      <w:r w:rsidR="00362F8F" w:rsidRPr="00503E1D">
        <w:rPr>
          <w:rFonts w:ascii="Calibri" w:hAnsi="Calibri" w:cs="Calibri"/>
        </w:rPr>
        <w:t xml:space="preserve"> de</w:t>
      </w:r>
      <w:r w:rsidR="00196B1B" w:rsidRPr="00503E1D">
        <w:rPr>
          <w:rFonts w:ascii="Calibri" w:hAnsi="Calibri" w:cs="Calibri"/>
        </w:rPr>
        <w:t xml:space="preserve">crease </w:t>
      </w:r>
      <w:r w:rsidR="00573524" w:rsidRPr="00503E1D">
        <w:rPr>
          <w:rFonts w:ascii="Calibri" w:hAnsi="Calibri" w:cs="Calibri"/>
        </w:rPr>
        <w:t>of about $</w:t>
      </w:r>
      <w:r w:rsidR="00362F8F" w:rsidRPr="00503E1D">
        <w:rPr>
          <w:rFonts w:ascii="Calibri" w:hAnsi="Calibri" w:cs="Calibri"/>
        </w:rPr>
        <w:t xml:space="preserve">25 </w:t>
      </w:r>
      <w:r w:rsidR="00573524" w:rsidRPr="00503E1D">
        <w:rPr>
          <w:rFonts w:ascii="Calibri" w:hAnsi="Calibri" w:cs="Calibri"/>
        </w:rPr>
        <w:t>billion (</w:t>
      </w:r>
      <w:r w:rsidR="00362F8F" w:rsidRPr="00503E1D">
        <w:rPr>
          <w:rFonts w:ascii="Calibri" w:hAnsi="Calibri" w:cs="Calibri"/>
        </w:rPr>
        <w:t xml:space="preserve">10 </w:t>
      </w:r>
      <w:r w:rsidR="00573524" w:rsidRPr="00503E1D">
        <w:rPr>
          <w:rFonts w:ascii="Calibri" w:hAnsi="Calibri" w:cs="Calibri"/>
        </w:rPr>
        <w:t>percent) in the surplus of assets over liabilities</w:t>
      </w:r>
      <w:r w:rsidR="002A4BDF" w:rsidRPr="00503E1D">
        <w:rPr>
          <w:rFonts w:ascii="Calibri" w:hAnsi="Calibri" w:cs="Calibri"/>
        </w:rPr>
        <w:t xml:space="preserve"> </w:t>
      </w:r>
      <w:r w:rsidR="00D14E7F" w:rsidRPr="00503E1D">
        <w:rPr>
          <w:rFonts w:ascii="Calibri" w:hAnsi="Calibri" w:cs="Calibri"/>
        </w:rPr>
        <w:t xml:space="preserve">vis-à-vis </w:t>
      </w:r>
      <w:r w:rsidR="002A4BDF" w:rsidRPr="00503E1D">
        <w:rPr>
          <w:rFonts w:ascii="Calibri" w:hAnsi="Calibri" w:cs="Calibri"/>
        </w:rPr>
        <w:t xml:space="preserve">abroad, which totaled </w:t>
      </w:r>
      <w:r w:rsidR="0087035A" w:rsidRPr="00503E1D">
        <w:rPr>
          <w:rFonts w:ascii="Calibri" w:hAnsi="Calibri" w:cs="Calibri"/>
        </w:rPr>
        <w:t>about $</w:t>
      </w:r>
      <w:r w:rsidR="00362F8F" w:rsidRPr="00503E1D">
        <w:rPr>
          <w:rFonts w:ascii="Calibri" w:hAnsi="Calibri" w:cs="Calibri"/>
        </w:rPr>
        <w:t xml:space="preserve">220 </w:t>
      </w:r>
      <w:r w:rsidR="0087035A" w:rsidRPr="00503E1D">
        <w:rPr>
          <w:rFonts w:ascii="Calibri" w:hAnsi="Calibri" w:cs="Calibri"/>
        </w:rPr>
        <w:t xml:space="preserve">billion at the end of </w:t>
      </w:r>
      <w:r w:rsidR="00F91F3F" w:rsidRPr="00503E1D">
        <w:rPr>
          <w:rFonts w:ascii="Calibri" w:hAnsi="Calibri" w:cs="Calibri"/>
        </w:rPr>
        <w:t xml:space="preserve">December </w:t>
      </w:r>
      <w:r w:rsidR="00DA145B" w:rsidRPr="00503E1D">
        <w:rPr>
          <w:rFonts w:ascii="Calibri" w:hAnsi="Calibri" w:cs="Calibri"/>
        </w:rPr>
        <w:t xml:space="preserve">(Figure </w:t>
      </w:r>
      <w:r w:rsidRPr="00503E1D">
        <w:rPr>
          <w:rFonts w:ascii="Calibri" w:hAnsi="Calibri" w:cs="Calibri"/>
        </w:rPr>
        <w:t>6</w:t>
      </w:r>
      <w:r w:rsidR="00DA145B" w:rsidRPr="00503E1D">
        <w:rPr>
          <w:rFonts w:ascii="Calibri" w:hAnsi="Calibri" w:cs="Calibri"/>
        </w:rPr>
        <w:t>)</w:t>
      </w:r>
      <w:r w:rsidR="0020155F" w:rsidRPr="00503E1D">
        <w:rPr>
          <w:rFonts w:ascii="Calibri" w:hAnsi="Calibri" w:cs="Calibri"/>
        </w:rPr>
        <w:t>.</w:t>
      </w:r>
    </w:p>
    <w:p w14:paraId="5021CA5B" w14:textId="0B41F250" w:rsidR="00D05E91" w:rsidRPr="00503E1D" w:rsidRDefault="00D05E91" w:rsidP="00D05E91">
      <w:pPr>
        <w:autoSpaceDE w:val="0"/>
        <w:autoSpaceDN w:val="0"/>
        <w:bidi w:val="0"/>
        <w:adjustRightInd w:val="0"/>
        <w:jc w:val="both"/>
        <w:rPr>
          <w:rFonts w:ascii="Calibri" w:hAnsi="Calibri" w:cs="Calibri"/>
        </w:rPr>
      </w:pPr>
    </w:p>
    <w:p w14:paraId="50402968" w14:textId="3E0E5DF5" w:rsidR="00C56C59" w:rsidRPr="00503E1D" w:rsidRDefault="00D05E91" w:rsidP="002158A4">
      <w:pPr>
        <w:autoSpaceDE w:val="0"/>
        <w:autoSpaceDN w:val="0"/>
        <w:bidi w:val="0"/>
        <w:adjustRightInd w:val="0"/>
        <w:jc w:val="center"/>
        <w:rPr>
          <w:rFonts w:ascii="Calibri" w:hAnsi="Calibri" w:cs="Calibri"/>
        </w:rPr>
      </w:pPr>
      <w:r w:rsidRPr="00503E1D">
        <w:rPr>
          <w:rFonts w:ascii="Calibri" w:hAnsi="Calibri" w:cs="Calibri"/>
          <w:noProof/>
        </w:rPr>
        <w:drawing>
          <wp:inline distT="0" distB="0" distL="0" distR="0" wp14:anchorId="5983968E" wp14:editId="3B63256D">
            <wp:extent cx="4202511" cy="2563862"/>
            <wp:effectExtent l="0" t="0" r="7620" b="8255"/>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50028" cy="2592851"/>
                    </a:xfrm>
                    <a:prstGeom prst="rect">
                      <a:avLst/>
                    </a:prstGeom>
                    <a:noFill/>
                  </pic:spPr>
                </pic:pic>
              </a:graphicData>
            </a:graphic>
          </wp:inline>
        </w:drawing>
      </w:r>
    </w:p>
    <w:p w14:paraId="404A25CF" w14:textId="483763F5" w:rsidR="00B16BBB" w:rsidRPr="00503E1D" w:rsidRDefault="00D83522" w:rsidP="00DD15DC">
      <w:pPr>
        <w:pStyle w:val="regpar"/>
        <w:ind w:firstLine="0"/>
        <w:outlineLvl w:val="0"/>
        <w:rPr>
          <w:rFonts w:ascii="Calibri" w:hAnsi="Calibri" w:cs="Calibri"/>
        </w:rPr>
      </w:pPr>
      <w:r w:rsidRPr="00503E1D">
        <w:rPr>
          <w:rFonts w:ascii="Calibri" w:hAnsi="Calibri" w:cs="Calibri"/>
          <w:b/>
          <w:bCs/>
          <w:noProof/>
        </w:rPr>
        <mc:AlternateContent>
          <mc:Choice Requires="wps">
            <w:drawing>
              <wp:anchor distT="45720" distB="45720" distL="114300" distR="114300" simplePos="0" relativeHeight="251682816" behindDoc="0" locked="0" layoutInCell="1" allowOverlap="1" wp14:anchorId="48428BD3" wp14:editId="7C325020">
                <wp:simplePos x="0" y="0"/>
                <wp:positionH relativeFrom="margin">
                  <wp:posOffset>-58183</wp:posOffset>
                </wp:positionH>
                <wp:positionV relativeFrom="paragraph">
                  <wp:posOffset>47883</wp:posOffset>
                </wp:positionV>
                <wp:extent cx="3469640" cy="263347"/>
                <wp:effectExtent l="0" t="0" r="0" b="381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640" cy="263347"/>
                        </a:xfrm>
                        <a:prstGeom prst="rect">
                          <a:avLst/>
                        </a:prstGeom>
                        <a:solidFill>
                          <a:srgbClr val="FFFFFF"/>
                        </a:solidFill>
                        <a:ln w="9525">
                          <a:noFill/>
                          <a:miter lim="800000"/>
                          <a:headEnd/>
                          <a:tailEnd/>
                        </a:ln>
                      </wps:spPr>
                      <wps:txbx>
                        <w:txbxContent>
                          <w:p w14:paraId="45444ECD" w14:textId="77777777" w:rsidR="0054314B" w:rsidRPr="00BA72C9" w:rsidRDefault="0054314B" w:rsidP="002158A4">
                            <w:pPr>
                              <w:bidi w:val="0"/>
                              <w:jc w:val="center"/>
                              <w:rPr>
                                <w:sz w:val="18"/>
                                <w:szCs w:val="18"/>
                              </w:rPr>
                            </w:pPr>
                            <w:r w:rsidRPr="00811E95">
                              <w:rPr>
                                <w:sz w:val="18"/>
                                <w:szCs w:val="18"/>
                              </w:rPr>
                              <w:t>Source: Bank of Israel data</w:t>
                            </w:r>
                            <w:r w:rsidR="00494280">
                              <w:rPr>
                                <w:sz w:val="18"/>
                                <w:szCs w:val="18"/>
                              </w:rPr>
                              <w:t xml:space="preserve"> and processing</w:t>
                            </w:r>
                            <w:r>
                              <w:rPr>
                                <w:sz w:val="18"/>
                                <w:szCs w:val="18"/>
                                <w:vertAlign w:val="superscript"/>
                              </w:rPr>
                              <w:t>1</w:t>
                            </w:r>
                            <w:r w:rsidR="00BA72C9">
                              <w:rPr>
                                <w:sz w:val="18"/>
                                <w:szCs w:val="18"/>
                              </w:rPr>
                              <w:t>.</w:t>
                            </w:r>
                          </w:p>
                          <w:p w14:paraId="688FFA4B" w14:textId="77777777" w:rsidR="0054314B" w:rsidRPr="0054314B" w:rsidRDefault="0054314B" w:rsidP="00543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28BD3" id="_x0000_s1030" type="#_x0000_t202" style="position:absolute;left:0;text-align:left;margin-left:-4.6pt;margin-top:3.75pt;width:273.2pt;height:20.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" stroked="f">
                <v:textbox>
                  <w:txbxContent>
                    <w:p w14:paraId="45444ECD" w14:textId="77777777" w:rsidR="0054314B" w:rsidRPr="00BA72C9" w:rsidRDefault="0054314B" w:rsidP="002158A4">
                      <w:pPr>
                        <w:bidi w:val="0"/>
                        <w:jc w:val="center"/>
                        <w:rPr>
                          <w:sz w:val="18"/>
                          <w:szCs w:val="18"/>
                        </w:rPr>
                      </w:pPr>
                      <w:r w:rsidRPr="00811E95">
                        <w:rPr>
                          <w:sz w:val="18"/>
                          <w:szCs w:val="18"/>
                        </w:rPr>
                        <w:t>Source: Bank of Israel data</w:t>
                      </w:r>
                      <w:r w:rsidR="00494280">
                        <w:rPr>
                          <w:sz w:val="18"/>
                          <w:szCs w:val="18"/>
                        </w:rPr>
                        <w:t xml:space="preserve"> and processing</w:t>
                      </w:r>
                      <w:r>
                        <w:rPr>
                          <w:sz w:val="18"/>
                          <w:szCs w:val="18"/>
                          <w:vertAlign w:val="superscript"/>
                        </w:rPr>
                        <w:t>1</w:t>
                      </w:r>
                      <w:r w:rsidR="00BA72C9">
                        <w:rPr>
                          <w:sz w:val="18"/>
                          <w:szCs w:val="18"/>
                        </w:rPr>
                        <w:t>.</w:t>
                      </w:r>
                    </w:p>
                    <w:p w14:paraId="688FFA4B" w14:textId="77777777" w:rsidR="0054314B" w:rsidRPr="0054314B" w:rsidRDefault="0054314B" w:rsidP="0054314B"/>
                  </w:txbxContent>
                </v:textbox>
                <w10:wrap anchorx="margin"/>
              </v:shape>
            </w:pict>
          </mc:Fallback>
        </mc:AlternateContent>
      </w:r>
    </w:p>
    <w:p w14:paraId="7799470B" w14:textId="77777777" w:rsidR="00B16BBB" w:rsidRPr="00503E1D" w:rsidRDefault="00B16BBB" w:rsidP="00B16BBB">
      <w:pPr>
        <w:pStyle w:val="regpar"/>
        <w:ind w:left="360" w:firstLine="0"/>
        <w:outlineLvl w:val="0"/>
        <w:rPr>
          <w:rFonts w:ascii="Calibri" w:hAnsi="Calibri" w:cs="Calibri"/>
          <w:b/>
          <w:bCs/>
        </w:rPr>
      </w:pPr>
    </w:p>
    <w:p w14:paraId="4E4770D3" w14:textId="77777777" w:rsidR="00763F37" w:rsidRPr="00503E1D" w:rsidRDefault="00F36E24" w:rsidP="00B16BBB">
      <w:pPr>
        <w:pStyle w:val="regpar"/>
        <w:numPr>
          <w:ilvl w:val="0"/>
          <w:numId w:val="4"/>
        </w:numPr>
        <w:outlineLvl w:val="0"/>
        <w:rPr>
          <w:rFonts w:ascii="Calibri" w:hAnsi="Calibri" w:cs="Calibri"/>
        </w:rPr>
      </w:pPr>
      <w:r w:rsidRPr="00503E1D">
        <w:rPr>
          <w:rFonts w:ascii="Calibri" w:hAnsi="Calibri" w:cs="Calibri"/>
          <w:b/>
          <w:bCs/>
        </w:rPr>
        <w:t>N</w:t>
      </w:r>
      <w:r w:rsidR="00DD15DC" w:rsidRPr="00503E1D">
        <w:rPr>
          <w:rFonts w:ascii="Calibri" w:hAnsi="Calibri" w:cs="Calibri"/>
          <w:b/>
          <w:bCs/>
        </w:rPr>
        <w:t>et external debt</w:t>
      </w:r>
    </w:p>
    <w:p w14:paraId="25C023FF" w14:textId="77777777" w:rsidR="00DD15DC" w:rsidRPr="00503E1D" w:rsidRDefault="00DD15DC" w:rsidP="00DD15DC">
      <w:pPr>
        <w:pStyle w:val="regpar"/>
        <w:ind w:firstLine="0"/>
        <w:outlineLvl w:val="0"/>
        <w:rPr>
          <w:rFonts w:ascii="Calibri" w:hAnsi="Calibri" w:cs="Calibri"/>
        </w:rPr>
      </w:pPr>
    </w:p>
    <w:p w14:paraId="5731C334" w14:textId="32318543" w:rsidR="00DD15DC" w:rsidRPr="00503E1D" w:rsidRDefault="002749E1" w:rsidP="00F67A60">
      <w:pPr>
        <w:pStyle w:val="regpar"/>
        <w:ind w:firstLine="0"/>
        <w:outlineLvl w:val="0"/>
        <w:rPr>
          <w:rFonts w:ascii="Calibri" w:hAnsi="Calibri" w:cs="Calibri"/>
        </w:rPr>
      </w:pPr>
      <w:r w:rsidRPr="00503E1D">
        <w:rPr>
          <w:rFonts w:ascii="Calibri" w:hAnsi="Calibri" w:cs="Calibri"/>
        </w:rPr>
        <w:t xml:space="preserve">The surplus of assets over liabilities vis-à-vis abroad in debt instruments alone (negative net external debt) </w:t>
      </w:r>
      <w:r w:rsidR="00F67A60" w:rsidRPr="00503E1D">
        <w:rPr>
          <w:rFonts w:ascii="Calibri" w:hAnsi="Calibri" w:cs="Calibri"/>
        </w:rPr>
        <w:t xml:space="preserve">declined </w:t>
      </w:r>
      <w:r w:rsidR="001E6AAC" w:rsidRPr="00503E1D">
        <w:rPr>
          <w:rFonts w:ascii="Calibri" w:hAnsi="Calibri" w:cs="Calibri"/>
        </w:rPr>
        <w:t>by approximately $</w:t>
      </w:r>
      <w:r w:rsidR="00F67A60" w:rsidRPr="00503E1D">
        <w:rPr>
          <w:rFonts w:ascii="Calibri" w:hAnsi="Calibri" w:cs="Calibri"/>
        </w:rPr>
        <w:t xml:space="preserve">6.2 </w:t>
      </w:r>
      <w:r w:rsidR="001E6AAC" w:rsidRPr="00503E1D">
        <w:rPr>
          <w:rFonts w:ascii="Calibri" w:hAnsi="Calibri" w:cs="Calibri"/>
        </w:rPr>
        <w:t>billion (</w:t>
      </w:r>
      <w:r w:rsidR="00694AB4" w:rsidRPr="00503E1D">
        <w:rPr>
          <w:rFonts w:ascii="Calibri" w:hAnsi="Calibri" w:cs="Calibri"/>
        </w:rPr>
        <w:t xml:space="preserve">about </w:t>
      </w:r>
      <w:r w:rsidR="00F67A60" w:rsidRPr="00503E1D">
        <w:rPr>
          <w:rFonts w:ascii="Calibri" w:hAnsi="Calibri" w:cs="Calibri"/>
        </w:rPr>
        <w:t xml:space="preserve">2.2 </w:t>
      </w:r>
      <w:r w:rsidR="001E6AAC" w:rsidRPr="00503E1D">
        <w:rPr>
          <w:rFonts w:ascii="Calibri" w:hAnsi="Calibri" w:cs="Calibri"/>
        </w:rPr>
        <w:t xml:space="preserve">percent) </w:t>
      </w:r>
      <w:r w:rsidR="00A91CCF" w:rsidRPr="00503E1D">
        <w:rPr>
          <w:rFonts w:ascii="Calibri" w:hAnsi="Calibri" w:cs="Calibri"/>
        </w:rPr>
        <w:t>in</w:t>
      </w:r>
      <w:r w:rsidRPr="00503E1D">
        <w:rPr>
          <w:rFonts w:ascii="Calibri" w:hAnsi="Calibri" w:cs="Calibri"/>
        </w:rPr>
        <w:t xml:space="preserve"> the </w:t>
      </w:r>
      <w:r w:rsidR="00AD4944" w:rsidRPr="00503E1D">
        <w:rPr>
          <w:rFonts w:ascii="Calibri" w:hAnsi="Calibri" w:cs="Calibri"/>
        </w:rPr>
        <w:t>fourth</w:t>
      </w:r>
      <w:r w:rsidR="007A6A15" w:rsidRPr="00503E1D">
        <w:rPr>
          <w:rFonts w:ascii="Calibri" w:hAnsi="Calibri" w:cs="Calibri"/>
        </w:rPr>
        <w:t xml:space="preserve"> quarter</w:t>
      </w:r>
      <w:r w:rsidRPr="00503E1D">
        <w:rPr>
          <w:rFonts w:ascii="Calibri" w:hAnsi="Calibri" w:cs="Calibri"/>
        </w:rPr>
        <w:t xml:space="preserve">, </w:t>
      </w:r>
      <w:r w:rsidR="001E6AAC" w:rsidRPr="00503E1D">
        <w:rPr>
          <w:rFonts w:ascii="Calibri" w:hAnsi="Calibri" w:cs="Calibri"/>
        </w:rPr>
        <w:t xml:space="preserve">to </w:t>
      </w:r>
      <w:r w:rsidR="00573524" w:rsidRPr="00503E1D">
        <w:rPr>
          <w:rFonts w:ascii="Calibri" w:hAnsi="Calibri" w:cs="Calibri"/>
        </w:rPr>
        <w:t xml:space="preserve">about </w:t>
      </w:r>
      <w:r w:rsidRPr="00503E1D">
        <w:rPr>
          <w:rFonts w:ascii="Calibri" w:hAnsi="Calibri" w:cs="Calibri"/>
        </w:rPr>
        <w:t>$</w:t>
      </w:r>
      <w:r w:rsidR="00F67A60" w:rsidRPr="00503E1D">
        <w:rPr>
          <w:rFonts w:ascii="Calibri" w:hAnsi="Calibri" w:cs="Calibri"/>
        </w:rPr>
        <w:t>277</w:t>
      </w:r>
      <w:r w:rsidR="00D52E34" w:rsidRPr="00503E1D">
        <w:rPr>
          <w:rFonts w:ascii="Calibri" w:hAnsi="Calibri" w:cs="Calibri"/>
        </w:rPr>
        <w:t xml:space="preserve"> </w:t>
      </w:r>
      <w:r w:rsidR="002A1B95" w:rsidRPr="00503E1D">
        <w:rPr>
          <w:rFonts w:ascii="Calibri" w:hAnsi="Calibri" w:cs="Calibri"/>
        </w:rPr>
        <w:t>b</w:t>
      </w:r>
      <w:r w:rsidRPr="00503E1D">
        <w:rPr>
          <w:rFonts w:ascii="Calibri" w:hAnsi="Calibri" w:cs="Calibri"/>
        </w:rPr>
        <w:t xml:space="preserve">illion at the end of </w:t>
      </w:r>
      <w:r w:rsidR="00F67A60" w:rsidRPr="00503E1D">
        <w:rPr>
          <w:rFonts w:ascii="Calibri" w:hAnsi="Calibri" w:cs="Calibri"/>
        </w:rPr>
        <w:t xml:space="preserve">December </w:t>
      </w:r>
      <w:r w:rsidR="00DD15DC" w:rsidRPr="00503E1D">
        <w:rPr>
          <w:rFonts w:ascii="Calibri" w:hAnsi="Calibri" w:cs="Calibri"/>
        </w:rPr>
        <w:t xml:space="preserve">(Figure </w:t>
      </w:r>
      <w:r w:rsidR="00A82CAA" w:rsidRPr="00503E1D">
        <w:rPr>
          <w:rFonts w:ascii="Calibri" w:hAnsi="Calibri" w:cs="Calibri"/>
        </w:rPr>
        <w:t>7</w:t>
      </w:r>
      <w:r w:rsidR="00DD15DC" w:rsidRPr="00503E1D">
        <w:rPr>
          <w:rFonts w:ascii="Calibri" w:hAnsi="Calibri" w:cs="Calibri"/>
        </w:rPr>
        <w:t>).</w:t>
      </w:r>
    </w:p>
    <w:p w14:paraId="2B1A8C5E" w14:textId="77777777" w:rsidR="008D129C" w:rsidRPr="00503E1D" w:rsidRDefault="008D129C" w:rsidP="00EC37DD">
      <w:pPr>
        <w:pStyle w:val="regpar"/>
        <w:ind w:firstLine="0"/>
        <w:outlineLvl w:val="0"/>
        <w:rPr>
          <w:rFonts w:ascii="Calibri" w:hAnsi="Calibri" w:cs="Calibri"/>
        </w:rPr>
      </w:pPr>
    </w:p>
    <w:p w14:paraId="68E99862" w14:textId="3E54B0E3" w:rsidR="00D05E91" w:rsidRPr="00503E1D" w:rsidRDefault="00DD15DC" w:rsidP="002158A4">
      <w:pPr>
        <w:pStyle w:val="regpar"/>
        <w:ind w:firstLine="0"/>
        <w:outlineLvl w:val="0"/>
        <w:rPr>
          <w:rFonts w:ascii="Calibri" w:hAnsi="Calibri" w:cs="Calibri"/>
          <w:rtl/>
        </w:rPr>
      </w:pPr>
      <w:r w:rsidRPr="00503E1D">
        <w:rPr>
          <w:rFonts w:ascii="Calibri" w:hAnsi="Calibri" w:cs="Calibri"/>
          <w:b/>
          <w:bCs/>
        </w:rPr>
        <w:t>The balance of</w:t>
      </w:r>
      <w:r w:rsidR="0049226B" w:rsidRPr="00503E1D">
        <w:rPr>
          <w:rFonts w:ascii="Calibri" w:hAnsi="Calibri" w:cs="Calibri"/>
          <w:b/>
          <w:bCs/>
        </w:rPr>
        <w:t xml:space="preserve"> </w:t>
      </w:r>
      <w:r w:rsidRPr="00503E1D">
        <w:rPr>
          <w:rFonts w:ascii="Calibri" w:hAnsi="Calibri" w:cs="Calibri"/>
          <w:b/>
          <w:bCs/>
        </w:rPr>
        <w:t xml:space="preserve">assets </w:t>
      </w:r>
      <w:r w:rsidR="008D129C" w:rsidRPr="00503E1D">
        <w:rPr>
          <w:rFonts w:ascii="Calibri" w:hAnsi="Calibri" w:cs="Calibri"/>
          <w:b/>
          <w:bCs/>
        </w:rPr>
        <w:t>in debt instruments</w:t>
      </w:r>
      <w:r w:rsidR="008D129C" w:rsidRPr="00503E1D">
        <w:rPr>
          <w:rFonts w:ascii="Calibri" w:hAnsi="Calibri" w:cs="Calibri"/>
        </w:rPr>
        <w:t xml:space="preserve"> </w:t>
      </w:r>
      <w:r w:rsidR="00056CA1" w:rsidRPr="00503E1D">
        <w:rPr>
          <w:rFonts w:ascii="Calibri" w:hAnsi="Calibri" w:cs="Calibri"/>
        </w:rPr>
        <w:t xml:space="preserve">declined </w:t>
      </w:r>
      <w:r w:rsidR="00B34532" w:rsidRPr="00503E1D">
        <w:rPr>
          <w:rFonts w:ascii="Calibri" w:hAnsi="Calibri" w:cs="Calibri"/>
        </w:rPr>
        <w:t xml:space="preserve">by </w:t>
      </w:r>
      <w:r w:rsidR="00070D66" w:rsidRPr="00503E1D">
        <w:rPr>
          <w:rFonts w:ascii="Calibri" w:hAnsi="Calibri" w:cs="Calibri"/>
        </w:rPr>
        <w:t xml:space="preserve">about </w:t>
      </w:r>
      <w:r w:rsidR="00B34532" w:rsidRPr="00503E1D">
        <w:rPr>
          <w:rFonts w:ascii="Calibri" w:hAnsi="Calibri" w:cs="Calibri"/>
        </w:rPr>
        <w:t>$</w:t>
      </w:r>
      <w:r w:rsidR="00056CA1" w:rsidRPr="00503E1D">
        <w:rPr>
          <w:rFonts w:ascii="Calibri" w:hAnsi="Calibri" w:cs="Calibri"/>
        </w:rPr>
        <w:t xml:space="preserve">5 </w:t>
      </w:r>
      <w:r w:rsidR="00CA70DE" w:rsidRPr="00503E1D">
        <w:rPr>
          <w:rFonts w:ascii="Calibri" w:hAnsi="Calibri" w:cs="Calibri"/>
        </w:rPr>
        <w:t>billion</w:t>
      </w:r>
      <w:r w:rsidR="00BA72C9" w:rsidRPr="00503E1D">
        <w:rPr>
          <w:rFonts w:ascii="Calibri" w:hAnsi="Calibri" w:cs="Calibri"/>
        </w:rPr>
        <w:t xml:space="preserve"> in the </w:t>
      </w:r>
      <w:r w:rsidR="00AD4944" w:rsidRPr="00503E1D">
        <w:rPr>
          <w:rFonts w:ascii="Calibri" w:hAnsi="Calibri" w:cs="Calibri"/>
        </w:rPr>
        <w:t>fourth</w:t>
      </w:r>
      <w:r w:rsidR="007A6A15" w:rsidRPr="00503E1D">
        <w:rPr>
          <w:rFonts w:ascii="Calibri" w:hAnsi="Calibri" w:cs="Calibri"/>
        </w:rPr>
        <w:t xml:space="preserve"> quarter</w:t>
      </w:r>
      <w:r w:rsidRPr="00503E1D">
        <w:rPr>
          <w:rFonts w:ascii="Calibri" w:hAnsi="Calibri" w:cs="Calibri"/>
        </w:rPr>
        <w:t xml:space="preserve">, </w:t>
      </w:r>
      <w:r w:rsidR="00B34532" w:rsidRPr="00503E1D">
        <w:rPr>
          <w:rFonts w:ascii="Calibri" w:hAnsi="Calibri" w:cs="Calibri"/>
        </w:rPr>
        <w:t xml:space="preserve">to </w:t>
      </w:r>
      <w:r w:rsidR="00070D66" w:rsidRPr="00503E1D">
        <w:rPr>
          <w:rFonts w:ascii="Calibri" w:hAnsi="Calibri" w:cs="Calibri"/>
        </w:rPr>
        <w:t xml:space="preserve">about </w:t>
      </w:r>
      <w:r w:rsidR="00B34532" w:rsidRPr="00503E1D">
        <w:rPr>
          <w:rFonts w:ascii="Calibri" w:hAnsi="Calibri" w:cs="Calibri"/>
        </w:rPr>
        <w:t>$</w:t>
      </w:r>
      <w:r w:rsidR="00056CA1" w:rsidRPr="00503E1D">
        <w:rPr>
          <w:rFonts w:ascii="Calibri" w:hAnsi="Calibri" w:cs="Calibri"/>
        </w:rPr>
        <w:t xml:space="preserve">424 </w:t>
      </w:r>
      <w:r w:rsidR="00B34532" w:rsidRPr="00503E1D">
        <w:rPr>
          <w:rFonts w:ascii="Calibri" w:hAnsi="Calibri" w:cs="Calibri"/>
        </w:rPr>
        <w:t>billion at the end of the quarter</w:t>
      </w:r>
      <w:r w:rsidR="00B5154C" w:rsidRPr="00503E1D">
        <w:rPr>
          <w:rFonts w:ascii="Calibri" w:hAnsi="Calibri" w:cs="Calibri"/>
        </w:rPr>
        <w:t xml:space="preserve">, </w:t>
      </w:r>
      <w:r w:rsidR="00F61E46" w:rsidRPr="00503E1D">
        <w:rPr>
          <w:rFonts w:ascii="Calibri" w:hAnsi="Calibri" w:cs="Calibri"/>
        </w:rPr>
        <w:t xml:space="preserve">of which </w:t>
      </w:r>
      <w:r w:rsidR="00070D66" w:rsidRPr="00503E1D">
        <w:rPr>
          <w:rFonts w:ascii="Calibri" w:hAnsi="Calibri" w:cs="Calibri"/>
        </w:rPr>
        <w:t xml:space="preserve">about </w:t>
      </w:r>
      <w:r w:rsidR="00F61E46" w:rsidRPr="00503E1D">
        <w:rPr>
          <w:rFonts w:ascii="Calibri" w:hAnsi="Calibri" w:cs="Calibri"/>
        </w:rPr>
        <w:t>$</w:t>
      </w:r>
      <w:r w:rsidR="00056CA1" w:rsidRPr="00503E1D">
        <w:rPr>
          <w:rFonts w:ascii="Calibri" w:hAnsi="Calibri" w:cs="Calibri"/>
        </w:rPr>
        <w:t>215</w:t>
      </w:r>
      <w:r w:rsidR="00D52E34" w:rsidRPr="00503E1D">
        <w:rPr>
          <w:rFonts w:ascii="Calibri" w:hAnsi="Calibri" w:cs="Calibri"/>
        </w:rPr>
        <w:t xml:space="preserve"> </w:t>
      </w:r>
      <w:r w:rsidR="00F61E46" w:rsidRPr="00503E1D">
        <w:rPr>
          <w:rFonts w:ascii="Calibri" w:hAnsi="Calibri" w:cs="Calibri"/>
        </w:rPr>
        <w:t>billion is the Bank of Israel</w:t>
      </w:r>
      <w:r w:rsidR="00862889" w:rsidRPr="00503E1D">
        <w:rPr>
          <w:rFonts w:ascii="Calibri" w:hAnsi="Calibri" w:cs="Calibri"/>
        </w:rPr>
        <w:t>'s</w:t>
      </w:r>
      <w:r w:rsidR="00F61E46" w:rsidRPr="00503E1D">
        <w:rPr>
          <w:rFonts w:ascii="Calibri" w:hAnsi="Calibri" w:cs="Calibri"/>
        </w:rPr>
        <w:t xml:space="preserve"> foreign exchange reserves. This </w:t>
      </w:r>
      <w:r w:rsidR="00EC37DD" w:rsidRPr="00503E1D">
        <w:rPr>
          <w:rFonts w:ascii="Calibri" w:hAnsi="Calibri" w:cs="Calibri"/>
        </w:rPr>
        <w:t xml:space="preserve">balance </w:t>
      </w:r>
      <w:r w:rsidRPr="00503E1D">
        <w:rPr>
          <w:rFonts w:ascii="Calibri" w:hAnsi="Calibri" w:cs="Calibri"/>
        </w:rPr>
        <w:t>reflect</w:t>
      </w:r>
      <w:r w:rsidR="00F61E46" w:rsidRPr="00503E1D">
        <w:rPr>
          <w:rFonts w:ascii="Calibri" w:hAnsi="Calibri" w:cs="Calibri"/>
        </w:rPr>
        <w:t>s</w:t>
      </w:r>
      <w:r w:rsidRPr="00503E1D">
        <w:rPr>
          <w:rFonts w:ascii="Calibri" w:hAnsi="Calibri" w:cs="Calibri"/>
        </w:rPr>
        <w:t xml:space="preserve"> a coverage ratio of </w:t>
      </w:r>
      <w:r w:rsidR="00E51CCC" w:rsidRPr="00503E1D">
        <w:rPr>
          <w:rFonts w:ascii="Calibri" w:hAnsi="Calibri" w:cs="Calibri"/>
        </w:rPr>
        <w:t>2.</w:t>
      </w:r>
      <w:r w:rsidR="001B05B8" w:rsidRPr="00503E1D">
        <w:rPr>
          <w:rFonts w:ascii="Calibri" w:hAnsi="Calibri" w:cs="Calibri"/>
        </w:rPr>
        <w:t>9</w:t>
      </w:r>
      <w:r w:rsidR="00E51CCC" w:rsidRPr="00503E1D">
        <w:rPr>
          <w:rFonts w:ascii="Calibri" w:hAnsi="Calibri" w:cs="Calibri"/>
        </w:rPr>
        <w:t xml:space="preserve"> </w:t>
      </w:r>
      <w:r w:rsidR="002D66E7" w:rsidRPr="00503E1D">
        <w:rPr>
          <w:rFonts w:ascii="Calibri" w:hAnsi="Calibri" w:cs="Calibri"/>
        </w:rPr>
        <w:t>t</w:t>
      </w:r>
      <w:r w:rsidRPr="00503E1D">
        <w:rPr>
          <w:rFonts w:ascii="Calibri" w:hAnsi="Calibri" w:cs="Calibri"/>
        </w:rPr>
        <w:t>imes</w:t>
      </w:r>
      <w:r w:rsidR="00E7533D" w:rsidRPr="00503E1D">
        <w:rPr>
          <w:rFonts w:ascii="Calibri" w:hAnsi="Calibri" w:cs="Calibri"/>
        </w:rPr>
        <w:t xml:space="preserve"> the gross external debt</w:t>
      </w:r>
      <w:r w:rsidRPr="00503E1D">
        <w:rPr>
          <w:rFonts w:ascii="Calibri" w:hAnsi="Calibri" w:cs="Calibri"/>
        </w:rPr>
        <w:t>.</w:t>
      </w:r>
    </w:p>
    <w:p w14:paraId="5F2F62C9" w14:textId="77777777" w:rsidR="00D05E91" w:rsidRPr="00503E1D" w:rsidRDefault="00D05E91" w:rsidP="00D05E91">
      <w:pPr>
        <w:bidi w:val="0"/>
        <w:jc w:val="both"/>
        <w:rPr>
          <w:rFonts w:ascii="Calibri" w:hAnsi="Calibri" w:cs="Calibri"/>
          <w:noProof/>
          <w:rtl/>
        </w:rPr>
      </w:pPr>
    </w:p>
    <w:p w14:paraId="0D636497" w14:textId="7EAA0094" w:rsidR="00D05E91" w:rsidRPr="00503E1D" w:rsidRDefault="00D05E91" w:rsidP="002158A4">
      <w:pPr>
        <w:bidi w:val="0"/>
        <w:jc w:val="center"/>
        <w:rPr>
          <w:rFonts w:ascii="Calibri" w:hAnsi="Calibri" w:cs="Calibri"/>
          <w:noProof/>
          <w:rtl/>
        </w:rPr>
      </w:pPr>
      <w:r w:rsidRPr="00503E1D">
        <w:rPr>
          <w:rFonts w:ascii="Calibri" w:hAnsi="Calibri" w:cs="Calibri"/>
          <w:noProof/>
        </w:rPr>
        <w:drawing>
          <wp:inline distT="0" distB="0" distL="0" distR="0" wp14:anchorId="25658F48" wp14:editId="6A01E25B">
            <wp:extent cx="3555147" cy="2166860"/>
            <wp:effectExtent l="0" t="0" r="0" b="444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55147" cy="2166860"/>
                    </a:xfrm>
                    <a:prstGeom prst="rect">
                      <a:avLst/>
                    </a:prstGeom>
                    <a:noFill/>
                  </pic:spPr>
                </pic:pic>
              </a:graphicData>
            </a:graphic>
          </wp:inline>
        </w:drawing>
      </w:r>
    </w:p>
    <w:p w14:paraId="6E198FAA" w14:textId="0A9C066B" w:rsidR="00986270" w:rsidRPr="00503E1D" w:rsidRDefault="00986270" w:rsidP="00D05E91">
      <w:pPr>
        <w:bidi w:val="0"/>
        <w:jc w:val="both"/>
        <w:rPr>
          <w:rFonts w:ascii="Calibri" w:hAnsi="Calibri" w:cs="Calibri"/>
        </w:rPr>
      </w:pPr>
    </w:p>
    <w:p w14:paraId="0B0941D9" w14:textId="015FBECA" w:rsidR="000E0CF6" w:rsidRPr="00503E1D" w:rsidRDefault="000135E2" w:rsidP="00F74DD5">
      <w:pPr>
        <w:bidi w:val="0"/>
        <w:jc w:val="center"/>
        <w:rPr>
          <w:rFonts w:ascii="Calibri" w:hAnsi="Calibri" w:cs="Calibri"/>
          <w:sz w:val="18"/>
          <w:szCs w:val="18"/>
        </w:rPr>
      </w:pPr>
      <w:r w:rsidRPr="00503E1D">
        <w:rPr>
          <w:rFonts w:ascii="Calibri" w:hAnsi="Calibri" w:cs="Calibri"/>
          <w:sz w:val="18"/>
          <w:szCs w:val="18"/>
        </w:rPr>
        <w:t xml:space="preserve">Source: Israel’s Ministry of Finance, </w:t>
      </w:r>
      <w:r w:rsidR="00BA72C9" w:rsidRPr="00503E1D">
        <w:rPr>
          <w:rFonts w:ascii="Calibri" w:hAnsi="Calibri" w:cs="Calibri"/>
          <w:sz w:val="18"/>
          <w:szCs w:val="18"/>
        </w:rPr>
        <w:t xml:space="preserve">and </w:t>
      </w:r>
      <w:r w:rsidRPr="00503E1D">
        <w:rPr>
          <w:rFonts w:ascii="Calibri" w:hAnsi="Calibri" w:cs="Calibri"/>
          <w:sz w:val="18"/>
          <w:szCs w:val="18"/>
        </w:rPr>
        <w:t>Bank of Israel data</w:t>
      </w:r>
      <w:r w:rsidR="00494280" w:rsidRPr="00503E1D">
        <w:rPr>
          <w:rFonts w:ascii="Calibri" w:hAnsi="Calibri" w:cs="Calibri"/>
          <w:sz w:val="18"/>
          <w:szCs w:val="18"/>
        </w:rPr>
        <w:t xml:space="preserve"> and processing</w:t>
      </w:r>
    </w:p>
    <w:p w14:paraId="27A0819F" w14:textId="77777777" w:rsidR="005B6E41" w:rsidRPr="00503E1D" w:rsidRDefault="00503E1D" w:rsidP="005B6E41">
      <w:pPr>
        <w:pStyle w:val="regpar"/>
        <w:spacing w:before="240"/>
        <w:ind w:firstLine="0"/>
        <w:jc w:val="left"/>
        <w:outlineLvl w:val="0"/>
        <w:rPr>
          <w:rFonts w:ascii="Calibri" w:hAnsi="Calibri" w:cs="Calibri"/>
        </w:rPr>
      </w:pPr>
      <w:hyperlink r:id="rId17" w:history="1">
        <w:r w:rsidR="005B6E41" w:rsidRPr="00503E1D">
          <w:rPr>
            <w:rStyle w:val="Hyperlink"/>
            <w:rFonts w:ascii="Calibri" w:hAnsi="Calibri" w:cs="Calibri"/>
          </w:rPr>
          <w:t>For the complete data file, click here</w:t>
        </w:r>
      </w:hyperlink>
      <w:r w:rsidR="005B6E41" w:rsidRPr="00503E1D">
        <w:rPr>
          <w:rFonts w:ascii="Calibri" w:hAnsi="Calibri" w:cs="Calibri"/>
        </w:rPr>
        <w:t>.</w:t>
      </w:r>
    </w:p>
    <w:p w14:paraId="2E22B45D" w14:textId="77777777" w:rsidR="000E0CF6" w:rsidRPr="00503E1D" w:rsidRDefault="000E0CF6" w:rsidP="005B6E41">
      <w:pPr>
        <w:tabs>
          <w:tab w:val="center" w:pos="4156"/>
          <w:tab w:val="right" w:pos="8312"/>
        </w:tabs>
        <w:bidi w:val="0"/>
        <w:rPr>
          <w:rFonts w:ascii="Calibri" w:hAnsi="Calibri" w:cs="Calibri"/>
          <w:sz w:val="22"/>
          <w:szCs w:val="22"/>
        </w:rPr>
      </w:pPr>
    </w:p>
    <w:sectPr w:rsidR="000E0CF6" w:rsidRPr="00503E1D" w:rsidSect="00494280">
      <w:footerReference w:type="default" r:id="rId18"/>
      <w:headerReference w:type="first" r:id="rId19"/>
      <w:pgSz w:w="11906" w:h="16838"/>
      <w:pgMar w:top="851" w:right="1797" w:bottom="624" w:left="1797" w:header="397" w:footer="283"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C1952" w14:textId="77777777" w:rsidR="007B01C1" w:rsidRDefault="007B01C1" w:rsidP="00E64B36">
      <w:r>
        <w:separator/>
      </w:r>
    </w:p>
  </w:endnote>
  <w:endnote w:type="continuationSeparator" w:id="0">
    <w:p w14:paraId="6F18EABF" w14:textId="77777777" w:rsidR="007B01C1" w:rsidRDefault="007B01C1"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AB130" w14:textId="0782F39C" w:rsidR="00B96022" w:rsidRPr="00986270" w:rsidRDefault="00B96022" w:rsidP="00C025B1">
    <w:pPr>
      <w:bidi w:val="0"/>
      <w:ind w:right="-52"/>
      <w:rPr>
        <w:b/>
        <w:bCs/>
        <w:sz w:val="26"/>
        <w:szCs w:val="26"/>
        <w:u w:val="single"/>
        <w:rtl/>
        <w: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3667" w14:textId="77777777" w:rsidR="007B01C1" w:rsidRDefault="007B01C1" w:rsidP="00E64B36">
      <w:r>
        <w:separator/>
      </w:r>
    </w:p>
  </w:footnote>
  <w:footnote w:type="continuationSeparator" w:id="0">
    <w:p w14:paraId="194EC529" w14:textId="77777777" w:rsidR="007B01C1" w:rsidRDefault="007B01C1"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4ACB1" w14:textId="08CD6DA7" w:rsidR="00F36E24" w:rsidRDefault="00F36E24" w:rsidP="00F36E24">
    <w:pPr>
      <w:pStyle w:val="regpar"/>
      <w:spacing w:line="300" w:lineRule="atLeast"/>
      <w:ind w:firstLine="0"/>
      <w:jc w:val="center"/>
      <w:rPr>
        <w:b/>
        <w:rtl/>
      </w:rPr>
    </w:pPr>
  </w:p>
  <w:p w14:paraId="3EE1C2F7" w14:textId="77777777" w:rsidR="00F36E24" w:rsidRDefault="00F36E24" w:rsidP="00F36E24">
    <w:pPr>
      <w:pStyle w:val="regpar"/>
      <w:spacing w:line="300" w:lineRule="atLeast"/>
      <w:ind w:firstLine="0"/>
      <w:jc w:val="center"/>
      <w:rPr>
        <w:b/>
        <w:rtl/>
      </w:rPr>
    </w:pPr>
  </w:p>
  <w:p w14:paraId="0D743992" w14:textId="77777777" w:rsidR="00F36E24" w:rsidRPr="00F36E24" w:rsidRDefault="00F36E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5F6"/>
    <w:multiLevelType w:val="hybridMultilevel"/>
    <w:tmpl w:val="832227F2"/>
    <w:lvl w:ilvl="0" w:tplc="B772269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B60E24"/>
    <w:multiLevelType w:val="hybridMultilevel"/>
    <w:tmpl w:val="F196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C4167"/>
    <w:multiLevelType w:val="hybridMultilevel"/>
    <w:tmpl w:val="16040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832BBE"/>
    <w:multiLevelType w:val="hybridMultilevel"/>
    <w:tmpl w:val="81D09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AD754C"/>
    <w:multiLevelType w:val="hybridMultilevel"/>
    <w:tmpl w:val="60144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91BFC"/>
    <w:multiLevelType w:val="hybridMultilevel"/>
    <w:tmpl w:val="1DB63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30221"/>
    <w:multiLevelType w:val="hybridMultilevel"/>
    <w:tmpl w:val="B720E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3E5AB5"/>
    <w:multiLevelType w:val="hybridMultilevel"/>
    <w:tmpl w:val="8ADC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771EC"/>
    <w:multiLevelType w:val="hybridMultilevel"/>
    <w:tmpl w:val="8720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0"/>
  </w:num>
  <w:num w:numId="5">
    <w:abstractNumId w:val="1"/>
  </w:num>
  <w:num w:numId="6">
    <w:abstractNumId w:val="7"/>
  </w:num>
  <w:num w:numId="7">
    <w:abstractNumId w:val="8"/>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24C3"/>
    <w:rsid w:val="000027EA"/>
    <w:rsid w:val="00003030"/>
    <w:rsid w:val="0000462B"/>
    <w:rsid w:val="000050DA"/>
    <w:rsid w:val="0000797D"/>
    <w:rsid w:val="000135E2"/>
    <w:rsid w:val="0001378E"/>
    <w:rsid w:val="0001385E"/>
    <w:rsid w:val="0001413F"/>
    <w:rsid w:val="00016F6E"/>
    <w:rsid w:val="0002004D"/>
    <w:rsid w:val="00020913"/>
    <w:rsid w:val="0002107D"/>
    <w:rsid w:val="000213C9"/>
    <w:rsid w:val="00021454"/>
    <w:rsid w:val="00022DA8"/>
    <w:rsid w:val="0002419C"/>
    <w:rsid w:val="0003330C"/>
    <w:rsid w:val="00033569"/>
    <w:rsid w:val="00034591"/>
    <w:rsid w:val="0004083B"/>
    <w:rsid w:val="000442F9"/>
    <w:rsid w:val="00044332"/>
    <w:rsid w:val="00044C53"/>
    <w:rsid w:val="00050B80"/>
    <w:rsid w:val="00051247"/>
    <w:rsid w:val="00051756"/>
    <w:rsid w:val="000524A8"/>
    <w:rsid w:val="000526A0"/>
    <w:rsid w:val="0005434B"/>
    <w:rsid w:val="000546F8"/>
    <w:rsid w:val="0005496E"/>
    <w:rsid w:val="00054A1E"/>
    <w:rsid w:val="00055746"/>
    <w:rsid w:val="00056CA1"/>
    <w:rsid w:val="0005726E"/>
    <w:rsid w:val="00060CAE"/>
    <w:rsid w:val="0006167B"/>
    <w:rsid w:val="000669F8"/>
    <w:rsid w:val="0006724E"/>
    <w:rsid w:val="00070D66"/>
    <w:rsid w:val="000738C9"/>
    <w:rsid w:val="00073F06"/>
    <w:rsid w:val="0007420A"/>
    <w:rsid w:val="00074C35"/>
    <w:rsid w:val="00075965"/>
    <w:rsid w:val="00077D5A"/>
    <w:rsid w:val="0008354E"/>
    <w:rsid w:val="00083750"/>
    <w:rsid w:val="0008700B"/>
    <w:rsid w:val="00095A6C"/>
    <w:rsid w:val="00096AA7"/>
    <w:rsid w:val="000A506C"/>
    <w:rsid w:val="000A520E"/>
    <w:rsid w:val="000A6999"/>
    <w:rsid w:val="000A6AFC"/>
    <w:rsid w:val="000B1395"/>
    <w:rsid w:val="000B1CF7"/>
    <w:rsid w:val="000B2925"/>
    <w:rsid w:val="000B7678"/>
    <w:rsid w:val="000B7C8E"/>
    <w:rsid w:val="000C26FB"/>
    <w:rsid w:val="000C46EA"/>
    <w:rsid w:val="000C5BBB"/>
    <w:rsid w:val="000C5F30"/>
    <w:rsid w:val="000C5FBA"/>
    <w:rsid w:val="000C6D17"/>
    <w:rsid w:val="000C6FE2"/>
    <w:rsid w:val="000C710C"/>
    <w:rsid w:val="000C7858"/>
    <w:rsid w:val="000D08C5"/>
    <w:rsid w:val="000D27BE"/>
    <w:rsid w:val="000D35BE"/>
    <w:rsid w:val="000D3B93"/>
    <w:rsid w:val="000D3F5C"/>
    <w:rsid w:val="000E048A"/>
    <w:rsid w:val="000E0CF6"/>
    <w:rsid w:val="000E1FC8"/>
    <w:rsid w:val="000E3AAE"/>
    <w:rsid w:val="000F04B9"/>
    <w:rsid w:val="000F09BD"/>
    <w:rsid w:val="000F1789"/>
    <w:rsid w:val="000F3731"/>
    <w:rsid w:val="000F37B6"/>
    <w:rsid w:val="000F48F6"/>
    <w:rsid w:val="000F4BF2"/>
    <w:rsid w:val="000F5931"/>
    <w:rsid w:val="000F6914"/>
    <w:rsid w:val="000F6B5F"/>
    <w:rsid w:val="000F7F73"/>
    <w:rsid w:val="001001A2"/>
    <w:rsid w:val="0010159F"/>
    <w:rsid w:val="00101B55"/>
    <w:rsid w:val="0010623B"/>
    <w:rsid w:val="0011574D"/>
    <w:rsid w:val="0011709E"/>
    <w:rsid w:val="0012349D"/>
    <w:rsid w:val="001301D0"/>
    <w:rsid w:val="00130245"/>
    <w:rsid w:val="00130E82"/>
    <w:rsid w:val="001320FE"/>
    <w:rsid w:val="00132C46"/>
    <w:rsid w:val="00137AAC"/>
    <w:rsid w:val="00137E2F"/>
    <w:rsid w:val="0014106D"/>
    <w:rsid w:val="00141631"/>
    <w:rsid w:val="00141A4D"/>
    <w:rsid w:val="00141A58"/>
    <w:rsid w:val="001428C4"/>
    <w:rsid w:val="00143F3A"/>
    <w:rsid w:val="00144851"/>
    <w:rsid w:val="00145E7A"/>
    <w:rsid w:val="00145F91"/>
    <w:rsid w:val="00147F1B"/>
    <w:rsid w:val="001565E3"/>
    <w:rsid w:val="00160080"/>
    <w:rsid w:val="00160B25"/>
    <w:rsid w:val="001623A5"/>
    <w:rsid w:val="00163004"/>
    <w:rsid w:val="001669B0"/>
    <w:rsid w:val="00166FB6"/>
    <w:rsid w:val="00167B6B"/>
    <w:rsid w:val="00171330"/>
    <w:rsid w:val="001714D3"/>
    <w:rsid w:val="00171EC4"/>
    <w:rsid w:val="00173F17"/>
    <w:rsid w:val="00173FE4"/>
    <w:rsid w:val="001743E0"/>
    <w:rsid w:val="00174485"/>
    <w:rsid w:val="00176515"/>
    <w:rsid w:val="00176D2E"/>
    <w:rsid w:val="001815E1"/>
    <w:rsid w:val="00182CF0"/>
    <w:rsid w:val="001838A7"/>
    <w:rsid w:val="00186F87"/>
    <w:rsid w:val="0019257A"/>
    <w:rsid w:val="00194670"/>
    <w:rsid w:val="00196B1B"/>
    <w:rsid w:val="00197419"/>
    <w:rsid w:val="001A6BB8"/>
    <w:rsid w:val="001A6C9A"/>
    <w:rsid w:val="001B05B8"/>
    <w:rsid w:val="001B385B"/>
    <w:rsid w:val="001B4E73"/>
    <w:rsid w:val="001B593C"/>
    <w:rsid w:val="001B5B5C"/>
    <w:rsid w:val="001B63A6"/>
    <w:rsid w:val="001B64BF"/>
    <w:rsid w:val="001C0AFC"/>
    <w:rsid w:val="001C0D92"/>
    <w:rsid w:val="001C1BC1"/>
    <w:rsid w:val="001C233F"/>
    <w:rsid w:val="001C388F"/>
    <w:rsid w:val="001C40E9"/>
    <w:rsid w:val="001C46E5"/>
    <w:rsid w:val="001C5981"/>
    <w:rsid w:val="001C602B"/>
    <w:rsid w:val="001C71E8"/>
    <w:rsid w:val="001C7E52"/>
    <w:rsid w:val="001D2C88"/>
    <w:rsid w:val="001D32F9"/>
    <w:rsid w:val="001D381C"/>
    <w:rsid w:val="001D407E"/>
    <w:rsid w:val="001D4DF0"/>
    <w:rsid w:val="001D53BC"/>
    <w:rsid w:val="001E52D4"/>
    <w:rsid w:val="001E5FCA"/>
    <w:rsid w:val="001E6AAC"/>
    <w:rsid w:val="001F238F"/>
    <w:rsid w:val="001F3AA9"/>
    <w:rsid w:val="001F57DE"/>
    <w:rsid w:val="00200442"/>
    <w:rsid w:val="00200E59"/>
    <w:rsid w:val="0020127F"/>
    <w:rsid w:val="0020142C"/>
    <w:rsid w:val="0020155F"/>
    <w:rsid w:val="00202E77"/>
    <w:rsid w:val="002050A3"/>
    <w:rsid w:val="00205150"/>
    <w:rsid w:val="00206233"/>
    <w:rsid w:val="00207085"/>
    <w:rsid w:val="0020780C"/>
    <w:rsid w:val="002117DC"/>
    <w:rsid w:val="0021327F"/>
    <w:rsid w:val="0021457F"/>
    <w:rsid w:val="002158A4"/>
    <w:rsid w:val="002175B8"/>
    <w:rsid w:val="00217BA7"/>
    <w:rsid w:val="002210FA"/>
    <w:rsid w:val="002211DF"/>
    <w:rsid w:val="00224462"/>
    <w:rsid w:val="00232E1E"/>
    <w:rsid w:val="002330CC"/>
    <w:rsid w:val="00237CE5"/>
    <w:rsid w:val="0024277F"/>
    <w:rsid w:val="00243AAE"/>
    <w:rsid w:val="00247387"/>
    <w:rsid w:val="00250CFC"/>
    <w:rsid w:val="00252BB0"/>
    <w:rsid w:val="00252C62"/>
    <w:rsid w:val="00253CAA"/>
    <w:rsid w:val="002563E0"/>
    <w:rsid w:val="0026295C"/>
    <w:rsid w:val="00262DFE"/>
    <w:rsid w:val="0026680D"/>
    <w:rsid w:val="00266CE7"/>
    <w:rsid w:val="0027156F"/>
    <w:rsid w:val="0027195F"/>
    <w:rsid w:val="00272D24"/>
    <w:rsid w:val="002749E1"/>
    <w:rsid w:val="002752D6"/>
    <w:rsid w:val="0027777F"/>
    <w:rsid w:val="00280DD3"/>
    <w:rsid w:val="0028175F"/>
    <w:rsid w:val="00281C70"/>
    <w:rsid w:val="00281D82"/>
    <w:rsid w:val="00283FB7"/>
    <w:rsid w:val="00284C45"/>
    <w:rsid w:val="00287018"/>
    <w:rsid w:val="00287449"/>
    <w:rsid w:val="00291467"/>
    <w:rsid w:val="00291E57"/>
    <w:rsid w:val="0029219A"/>
    <w:rsid w:val="002927C0"/>
    <w:rsid w:val="002928BA"/>
    <w:rsid w:val="00292927"/>
    <w:rsid w:val="00295790"/>
    <w:rsid w:val="00297100"/>
    <w:rsid w:val="00297C28"/>
    <w:rsid w:val="002A0D2A"/>
    <w:rsid w:val="002A14A1"/>
    <w:rsid w:val="002A1B95"/>
    <w:rsid w:val="002A4692"/>
    <w:rsid w:val="002A46AF"/>
    <w:rsid w:val="002A4BDF"/>
    <w:rsid w:val="002A6384"/>
    <w:rsid w:val="002A7522"/>
    <w:rsid w:val="002A7D3A"/>
    <w:rsid w:val="002B2F85"/>
    <w:rsid w:val="002B48CC"/>
    <w:rsid w:val="002B7D34"/>
    <w:rsid w:val="002C3A10"/>
    <w:rsid w:val="002C518C"/>
    <w:rsid w:val="002C67A2"/>
    <w:rsid w:val="002C7E33"/>
    <w:rsid w:val="002D0240"/>
    <w:rsid w:val="002D07A8"/>
    <w:rsid w:val="002D1DB5"/>
    <w:rsid w:val="002D4092"/>
    <w:rsid w:val="002D5391"/>
    <w:rsid w:val="002D66E7"/>
    <w:rsid w:val="002E2872"/>
    <w:rsid w:val="002E2EF8"/>
    <w:rsid w:val="002E3D4B"/>
    <w:rsid w:val="002E4D6B"/>
    <w:rsid w:val="002F019E"/>
    <w:rsid w:val="002F131A"/>
    <w:rsid w:val="002F29B8"/>
    <w:rsid w:val="002F2DC3"/>
    <w:rsid w:val="002F3815"/>
    <w:rsid w:val="002F67AF"/>
    <w:rsid w:val="002F7EEF"/>
    <w:rsid w:val="00301A74"/>
    <w:rsid w:val="003020E4"/>
    <w:rsid w:val="003022C3"/>
    <w:rsid w:val="0030279B"/>
    <w:rsid w:val="003039D5"/>
    <w:rsid w:val="00310434"/>
    <w:rsid w:val="003129D6"/>
    <w:rsid w:val="00312D2B"/>
    <w:rsid w:val="003133A4"/>
    <w:rsid w:val="00313494"/>
    <w:rsid w:val="003136EE"/>
    <w:rsid w:val="003138CF"/>
    <w:rsid w:val="00313F53"/>
    <w:rsid w:val="0032308E"/>
    <w:rsid w:val="003231EA"/>
    <w:rsid w:val="00323D74"/>
    <w:rsid w:val="00324E8F"/>
    <w:rsid w:val="00326B50"/>
    <w:rsid w:val="00330A83"/>
    <w:rsid w:val="00330FD9"/>
    <w:rsid w:val="00335059"/>
    <w:rsid w:val="0033513C"/>
    <w:rsid w:val="00335A9E"/>
    <w:rsid w:val="00335E45"/>
    <w:rsid w:val="00341343"/>
    <w:rsid w:val="003419DA"/>
    <w:rsid w:val="0034243B"/>
    <w:rsid w:val="00342468"/>
    <w:rsid w:val="003435B0"/>
    <w:rsid w:val="00344911"/>
    <w:rsid w:val="00344E60"/>
    <w:rsid w:val="00346765"/>
    <w:rsid w:val="00346978"/>
    <w:rsid w:val="00357FE9"/>
    <w:rsid w:val="00360B5C"/>
    <w:rsid w:val="00362CDB"/>
    <w:rsid w:val="00362E59"/>
    <w:rsid w:val="00362F8F"/>
    <w:rsid w:val="00364C08"/>
    <w:rsid w:val="003669C9"/>
    <w:rsid w:val="00367227"/>
    <w:rsid w:val="0037177F"/>
    <w:rsid w:val="003727EE"/>
    <w:rsid w:val="003728B4"/>
    <w:rsid w:val="003770FA"/>
    <w:rsid w:val="003772AF"/>
    <w:rsid w:val="003842E9"/>
    <w:rsid w:val="00385CB3"/>
    <w:rsid w:val="00387365"/>
    <w:rsid w:val="00387840"/>
    <w:rsid w:val="0039059D"/>
    <w:rsid w:val="00390CA5"/>
    <w:rsid w:val="003947F4"/>
    <w:rsid w:val="0039482B"/>
    <w:rsid w:val="003A005A"/>
    <w:rsid w:val="003A0120"/>
    <w:rsid w:val="003A2BAF"/>
    <w:rsid w:val="003A2DAE"/>
    <w:rsid w:val="003A335C"/>
    <w:rsid w:val="003A3813"/>
    <w:rsid w:val="003A4BE7"/>
    <w:rsid w:val="003A58FC"/>
    <w:rsid w:val="003B086C"/>
    <w:rsid w:val="003B1481"/>
    <w:rsid w:val="003B1FE1"/>
    <w:rsid w:val="003B488C"/>
    <w:rsid w:val="003B715F"/>
    <w:rsid w:val="003B7DC3"/>
    <w:rsid w:val="003C24B1"/>
    <w:rsid w:val="003C338A"/>
    <w:rsid w:val="003C4DB8"/>
    <w:rsid w:val="003C5ED4"/>
    <w:rsid w:val="003C6073"/>
    <w:rsid w:val="003C6203"/>
    <w:rsid w:val="003C63B2"/>
    <w:rsid w:val="003C7815"/>
    <w:rsid w:val="003D5EBD"/>
    <w:rsid w:val="003D6464"/>
    <w:rsid w:val="003D6F31"/>
    <w:rsid w:val="003D7860"/>
    <w:rsid w:val="003E01AC"/>
    <w:rsid w:val="003E2151"/>
    <w:rsid w:val="003E3F4C"/>
    <w:rsid w:val="003E40E1"/>
    <w:rsid w:val="003E5179"/>
    <w:rsid w:val="003E6D12"/>
    <w:rsid w:val="003E726C"/>
    <w:rsid w:val="003F04A6"/>
    <w:rsid w:val="003F10C0"/>
    <w:rsid w:val="003F41A8"/>
    <w:rsid w:val="003F45CD"/>
    <w:rsid w:val="003F7DBF"/>
    <w:rsid w:val="00402872"/>
    <w:rsid w:val="00403674"/>
    <w:rsid w:val="00403D99"/>
    <w:rsid w:val="00404DAF"/>
    <w:rsid w:val="004052CA"/>
    <w:rsid w:val="00405EEE"/>
    <w:rsid w:val="00411BA4"/>
    <w:rsid w:val="00412846"/>
    <w:rsid w:val="00412EE1"/>
    <w:rsid w:val="00413006"/>
    <w:rsid w:val="004147FC"/>
    <w:rsid w:val="004159FA"/>
    <w:rsid w:val="00420E82"/>
    <w:rsid w:val="004213D4"/>
    <w:rsid w:val="00421AA8"/>
    <w:rsid w:val="00422546"/>
    <w:rsid w:val="004228B0"/>
    <w:rsid w:val="00424984"/>
    <w:rsid w:val="0042520D"/>
    <w:rsid w:val="00425339"/>
    <w:rsid w:val="00426EA0"/>
    <w:rsid w:val="004274AD"/>
    <w:rsid w:val="004302F4"/>
    <w:rsid w:val="00430365"/>
    <w:rsid w:val="0043291D"/>
    <w:rsid w:val="004342D0"/>
    <w:rsid w:val="004359B7"/>
    <w:rsid w:val="0043764C"/>
    <w:rsid w:val="00440F82"/>
    <w:rsid w:val="004456E3"/>
    <w:rsid w:val="004456EC"/>
    <w:rsid w:val="00445B15"/>
    <w:rsid w:val="00445B51"/>
    <w:rsid w:val="00447E5A"/>
    <w:rsid w:val="00450993"/>
    <w:rsid w:val="00450BEC"/>
    <w:rsid w:val="00452111"/>
    <w:rsid w:val="00454DA5"/>
    <w:rsid w:val="00456A03"/>
    <w:rsid w:val="0046455D"/>
    <w:rsid w:val="0046604F"/>
    <w:rsid w:val="00471D8F"/>
    <w:rsid w:val="00473516"/>
    <w:rsid w:val="00474107"/>
    <w:rsid w:val="004751C1"/>
    <w:rsid w:val="00477DCC"/>
    <w:rsid w:val="004804AB"/>
    <w:rsid w:val="0048218A"/>
    <w:rsid w:val="00482E08"/>
    <w:rsid w:val="00484089"/>
    <w:rsid w:val="0048485C"/>
    <w:rsid w:val="0048596F"/>
    <w:rsid w:val="00485AA0"/>
    <w:rsid w:val="00486022"/>
    <w:rsid w:val="00486C74"/>
    <w:rsid w:val="00487293"/>
    <w:rsid w:val="00487361"/>
    <w:rsid w:val="0049111C"/>
    <w:rsid w:val="00492047"/>
    <w:rsid w:val="0049226B"/>
    <w:rsid w:val="00492391"/>
    <w:rsid w:val="004923E2"/>
    <w:rsid w:val="0049296F"/>
    <w:rsid w:val="00494280"/>
    <w:rsid w:val="00496B00"/>
    <w:rsid w:val="00497BA7"/>
    <w:rsid w:val="004A20A5"/>
    <w:rsid w:val="004A216E"/>
    <w:rsid w:val="004A53A2"/>
    <w:rsid w:val="004B3A7D"/>
    <w:rsid w:val="004B42F6"/>
    <w:rsid w:val="004B62EE"/>
    <w:rsid w:val="004B7C74"/>
    <w:rsid w:val="004C26F2"/>
    <w:rsid w:val="004C4ECA"/>
    <w:rsid w:val="004C7D99"/>
    <w:rsid w:val="004D0C3D"/>
    <w:rsid w:val="004D148A"/>
    <w:rsid w:val="004D1B1E"/>
    <w:rsid w:val="004D32A7"/>
    <w:rsid w:val="004D38A0"/>
    <w:rsid w:val="004D39A0"/>
    <w:rsid w:val="004D4A21"/>
    <w:rsid w:val="004D5D6F"/>
    <w:rsid w:val="004D6650"/>
    <w:rsid w:val="004E0F06"/>
    <w:rsid w:val="004E147C"/>
    <w:rsid w:val="004E25DD"/>
    <w:rsid w:val="004E316E"/>
    <w:rsid w:val="004E3268"/>
    <w:rsid w:val="004E4AEC"/>
    <w:rsid w:val="004E70EB"/>
    <w:rsid w:val="004E771E"/>
    <w:rsid w:val="004F0081"/>
    <w:rsid w:val="004F103A"/>
    <w:rsid w:val="004F12AF"/>
    <w:rsid w:val="004F37ED"/>
    <w:rsid w:val="004F7AFE"/>
    <w:rsid w:val="00501566"/>
    <w:rsid w:val="0050183E"/>
    <w:rsid w:val="00502E3C"/>
    <w:rsid w:val="00503E1D"/>
    <w:rsid w:val="00504BC5"/>
    <w:rsid w:val="005060D1"/>
    <w:rsid w:val="00510B33"/>
    <w:rsid w:val="0051122C"/>
    <w:rsid w:val="005132B2"/>
    <w:rsid w:val="00513CAA"/>
    <w:rsid w:val="00517C50"/>
    <w:rsid w:val="005203C0"/>
    <w:rsid w:val="005221FC"/>
    <w:rsid w:val="00522501"/>
    <w:rsid w:val="00522831"/>
    <w:rsid w:val="00522E4E"/>
    <w:rsid w:val="00523DB3"/>
    <w:rsid w:val="00524D99"/>
    <w:rsid w:val="00526B66"/>
    <w:rsid w:val="0052733F"/>
    <w:rsid w:val="0053081A"/>
    <w:rsid w:val="00537752"/>
    <w:rsid w:val="00537B7C"/>
    <w:rsid w:val="005406F8"/>
    <w:rsid w:val="00540B03"/>
    <w:rsid w:val="00542CEF"/>
    <w:rsid w:val="0054314B"/>
    <w:rsid w:val="0054539B"/>
    <w:rsid w:val="005462D0"/>
    <w:rsid w:val="005528B7"/>
    <w:rsid w:val="0055489D"/>
    <w:rsid w:val="00555C8A"/>
    <w:rsid w:val="00556DA5"/>
    <w:rsid w:val="005576E1"/>
    <w:rsid w:val="00557D99"/>
    <w:rsid w:val="0056142B"/>
    <w:rsid w:val="00562444"/>
    <w:rsid w:val="00564A08"/>
    <w:rsid w:val="00565CBF"/>
    <w:rsid w:val="005713A8"/>
    <w:rsid w:val="00571B2D"/>
    <w:rsid w:val="00571E49"/>
    <w:rsid w:val="00572725"/>
    <w:rsid w:val="00572BC7"/>
    <w:rsid w:val="00572DFC"/>
    <w:rsid w:val="00573524"/>
    <w:rsid w:val="0057605C"/>
    <w:rsid w:val="005776B1"/>
    <w:rsid w:val="00581F51"/>
    <w:rsid w:val="00583DAD"/>
    <w:rsid w:val="005842D1"/>
    <w:rsid w:val="0059211B"/>
    <w:rsid w:val="0059277F"/>
    <w:rsid w:val="00592A92"/>
    <w:rsid w:val="0059571B"/>
    <w:rsid w:val="00596FB4"/>
    <w:rsid w:val="00597DAB"/>
    <w:rsid w:val="00597EED"/>
    <w:rsid w:val="005A1169"/>
    <w:rsid w:val="005A13F4"/>
    <w:rsid w:val="005A5955"/>
    <w:rsid w:val="005A729B"/>
    <w:rsid w:val="005B138C"/>
    <w:rsid w:val="005B20D3"/>
    <w:rsid w:val="005B25FD"/>
    <w:rsid w:val="005B4C06"/>
    <w:rsid w:val="005B6E41"/>
    <w:rsid w:val="005B7EA2"/>
    <w:rsid w:val="005C14F3"/>
    <w:rsid w:val="005C2573"/>
    <w:rsid w:val="005C2C48"/>
    <w:rsid w:val="005C4BAB"/>
    <w:rsid w:val="005C6088"/>
    <w:rsid w:val="005C6575"/>
    <w:rsid w:val="005D04C8"/>
    <w:rsid w:val="005D04F7"/>
    <w:rsid w:val="005D0AF8"/>
    <w:rsid w:val="005D30E0"/>
    <w:rsid w:val="005D3B75"/>
    <w:rsid w:val="005D47ED"/>
    <w:rsid w:val="005E0707"/>
    <w:rsid w:val="005E1E2A"/>
    <w:rsid w:val="005E299B"/>
    <w:rsid w:val="005E6E55"/>
    <w:rsid w:val="005E6FC9"/>
    <w:rsid w:val="005E761E"/>
    <w:rsid w:val="005E7885"/>
    <w:rsid w:val="005F17CB"/>
    <w:rsid w:val="005F2559"/>
    <w:rsid w:val="005F32E1"/>
    <w:rsid w:val="005F3E47"/>
    <w:rsid w:val="005F7902"/>
    <w:rsid w:val="005F798D"/>
    <w:rsid w:val="005F7A2E"/>
    <w:rsid w:val="006004D5"/>
    <w:rsid w:val="00600A4D"/>
    <w:rsid w:val="0060215A"/>
    <w:rsid w:val="00603F1C"/>
    <w:rsid w:val="0060668A"/>
    <w:rsid w:val="006118DC"/>
    <w:rsid w:val="006126EF"/>
    <w:rsid w:val="00612C9B"/>
    <w:rsid w:val="00616381"/>
    <w:rsid w:val="0061692C"/>
    <w:rsid w:val="00617FB7"/>
    <w:rsid w:val="006216F9"/>
    <w:rsid w:val="00621BB5"/>
    <w:rsid w:val="00622B5B"/>
    <w:rsid w:val="006248C2"/>
    <w:rsid w:val="0062658F"/>
    <w:rsid w:val="00627282"/>
    <w:rsid w:val="006300F4"/>
    <w:rsid w:val="00630FFF"/>
    <w:rsid w:val="00633221"/>
    <w:rsid w:val="00634C27"/>
    <w:rsid w:val="00634F54"/>
    <w:rsid w:val="00640B54"/>
    <w:rsid w:val="00640EEA"/>
    <w:rsid w:val="006416B4"/>
    <w:rsid w:val="00642F05"/>
    <w:rsid w:val="006461B3"/>
    <w:rsid w:val="0064729F"/>
    <w:rsid w:val="00652D53"/>
    <w:rsid w:val="006543FC"/>
    <w:rsid w:val="0065440B"/>
    <w:rsid w:val="00654A7A"/>
    <w:rsid w:val="00654C99"/>
    <w:rsid w:val="00655596"/>
    <w:rsid w:val="006574F9"/>
    <w:rsid w:val="006611AC"/>
    <w:rsid w:val="00661793"/>
    <w:rsid w:val="00661CBD"/>
    <w:rsid w:val="00661CCE"/>
    <w:rsid w:val="00662FB1"/>
    <w:rsid w:val="006642F9"/>
    <w:rsid w:val="0066448E"/>
    <w:rsid w:val="006677F8"/>
    <w:rsid w:val="0067017F"/>
    <w:rsid w:val="00672616"/>
    <w:rsid w:val="00672EF0"/>
    <w:rsid w:val="00673C6A"/>
    <w:rsid w:val="0067516F"/>
    <w:rsid w:val="006832C4"/>
    <w:rsid w:val="00684DF3"/>
    <w:rsid w:val="00685643"/>
    <w:rsid w:val="00691A26"/>
    <w:rsid w:val="00694AB4"/>
    <w:rsid w:val="006965D0"/>
    <w:rsid w:val="00697226"/>
    <w:rsid w:val="006A01CC"/>
    <w:rsid w:val="006A15B1"/>
    <w:rsid w:val="006A60B9"/>
    <w:rsid w:val="006A66C5"/>
    <w:rsid w:val="006A72CA"/>
    <w:rsid w:val="006B0ACB"/>
    <w:rsid w:val="006B0ACE"/>
    <w:rsid w:val="006B0DAF"/>
    <w:rsid w:val="006B0FD9"/>
    <w:rsid w:val="006B4683"/>
    <w:rsid w:val="006B5385"/>
    <w:rsid w:val="006B679C"/>
    <w:rsid w:val="006C076D"/>
    <w:rsid w:val="006C0C06"/>
    <w:rsid w:val="006C138C"/>
    <w:rsid w:val="006C1428"/>
    <w:rsid w:val="006C3B85"/>
    <w:rsid w:val="006C5945"/>
    <w:rsid w:val="006C62F4"/>
    <w:rsid w:val="006C6BD6"/>
    <w:rsid w:val="006D05D0"/>
    <w:rsid w:val="006D22A3"/>
    <w:rsid w:val="006D3582"/>
    <w:rsid w:val="006D4D61"/>
    <w:rsid w:val="006D7AB3"/>
    <w:rsid w:val="006D7FE6"/>
    <w:rsid w:val="006E1B6A"/>
    <w:rsid w:val="006E5D1A"/>
    <w:rsid w:val="006E7B71"/>
    <w:rsid w:val="006F0E35"/>
    <w:rsid w:val="006F17D2"/>
    <w:rsid w:val="006F1EEC"/>
    <w:rsid w:val="006F4074"/>
    <w:rsid w:val="006F61B6"/>
    <w:rsid w:val="006F68D2"/>
    <w:rsid w:val="0070010B"/>
    <w:rsid w:val="00701734"/>
    <w:rsid w:val="00705F5A"/>
    <w:rsid w:val="00710994"/>
    <w:rsid w:val="007130E1"/>
    <w:rsid w:val="00717397"/>
    <w:rsid w:val="007174D0"/>
    <w:rsid w:val="00717EA9"/>
    <w:rsid w:val="00721560"/>
    <w:rsid w:val="00726036"/>
    <w:rsid w:val="007270FC"/>
    <w:rsid w:val="007324D1"/>
    <w:rsid w:val="00733087"/>
    <w:rsid w:val="007332F1"/>
    <w:rsid w:val="0073380A"/>
    <w:rsid w:val="007338D2"/>
    <w:rsid w:val="00734839"/>
    <w:rsid w:val="007377DD"/>
    <w:rsid w:val="007409AC"/>
    <w:rsid w:val="0074167B"/>
    <w:rsid w:val="0074341E"/>
    <w:rsid w:val="007514A6"/>
    <w:rsid w:val="00751F08"/>
    <w:rsid w:val="007523F6"/>
    <w:rsid w:val="007559F0"/>
    <w:rsid w:val="007561D4"/>
    <w:rsid w:val="00762A16"/>
    <w:rsid w:val="00763F37"/>
    <w:rsid w:val="007663DC"/>
    <w:rsid w:val="007666A8"/>
    <w:rsid w:val="00771C44"/>
    <w:rsid w:val="00772E92"/>
    <w:rsid w:val="007735EE"/>
    <w:rsid w:val="00776D4B"/>
    <w:rsid w:val="0077752A"/>
    <w:rsid w:val="007809D5"/>
    <w:rsid w:val="00781114"/>
    <w:rsid w:val="00783BF6"/>
    <w:rsid w:val="00783C12"/>
    <w:rsid w:val="007861E2"/>
    <w:rsid w:val="00786DAA"/>
    <w:rsid w:val="007924EE"/>
    <w:rsid w:val="00792D02"/>
    <w:rsid w:val="00793279"/>
    <w:rsid w:val="00793399"/>
    <w:rsid w:val="0079583C"/>
    <w:rsid w:val="007975F1"/>
    <w:rsid w:val="007A0669"/>
    <w:rsid w:val="007A0FB9"/>
    <w:rsid w:val="007A1F22"/>
    <w:rsid w:val="007A2250"/>
    <w:rsid w:val="007A4E6D"/>
    <w:rsid w:val="007A60EB"/>
    <w:rsid w:val="007A6A15"/>
    <w:rsid w:val="007B01C1"/>
    <w:rsid w:val="007B2769"/>
    <w:rsid w:val="007B399E"/>
    <w:rsid w:val="007B4880"/>
    <w:rsid w:val="007C13F5"/>
    <w:rsid w:val="007C1496"/>
    <w:rsid w:val="007C413B"/>
    <w:rsid w:val="007C5435"/>
    <w:rsid w:val="007C6400"/>
    <w:rsid w:val="007C66F7"/>
    <w:rsid w:val="007C7EAD"/>
    <w:rsid w:val="007D076E"/>
    <w:rsid w:val="007D0CFB"/>
    <w:rsid w:val="007D0DFA"/>
    <w:rsid w:val="007D3F2A"/>
    <w:rsid w:val="007D57EE"/>
    <w:rsid w:val="007D7A6B"/>
    <w:rsid w:val="007E1CB3"/>
    <w:rsid w:val="007F1525"/>
    <w:rsid w:val="007F3AB4"/>
    <w:rsid w:val="007F4876"/>
    <w:rsid w:val="007F72EA"/>
    <w:rsid w:val="007F7993"/>
    <w:rsid w:val="0080040C"/>
    <w:rsid w:val="0080184F"/>
    <w:rsid w:val="00801DBB"/>
    <w:rsid w:val="00802966"/>
    <w:rsid w:val="008051AE"/>
    <w:rsid w:val="008053E9"/>
    <w:rsid w:val="00806DA7"/>
    <w:rsid w:val="0081026B"/>
    <w:rsid w:val="00811E95"/>
    <w:rsid w:val="00811F54"/>
    <w:rsid w:val="00812508"/>
    <w:rsid w:val="0081387D"/>
    <w:rsid w:val="008202B9"/>
    <w:rsid w:val="00820AD6"/>
    <w:rsid w:val="008235BB"/>
    <w:rsid w:val="00825144"/>
    <w:rsid w:val="008269FE"/>
    <w:rsid w:val="00827009"/>
    <w:rsid w:val="008317DA"/>
    <w:rsid w:val="00833AF3"/>
    <w:rsid w:val="008345D0"/>
    <w:rsid w:val="008360FF"/>
    <w:rsid w:val="00836686"/>
    <w:rsid w:val="008403F1"/>
    <w:rsid w:val="008407E0"/>
    <w:rsid w:val="00842057"/>
    <w:rsid w:val="0084264F"/>
    <w:rsid w:val="00842B70"/>
    <w:rsid w:val="00842BAF"/>
    <w:rsid w:val="0084338C"/>
    <w:rsid w:val="00845D4C"/>
    <w:rsid w:val="00846306"/>
    <w:rsid w:val="008505F3"/>
    <w:rsid w:val="00852D08"/>
    <w:rsid w:val="00853159"/>
    <w:rsid w:val="0085587E"/>
    <w:rsid w:val="00856F6E"/>
    <w:rsid w:val="0086005B"/>
    <w:rsid w:val="00862889"/>
    <w:rsid w:val="00864530"/>
    <w:rsid w:val="00864C55"/>
    <w:rsid w:val="008669C8"/>
    <w:rsid w:val="0087035A"/>
    <w:rsid w:val="00870CB5"/>
    <w:rsid w:val="00872910"/>
    <w:rsid w:val="0087493E"/>
    <w:rsid w:val="008771F5"/>
    <w:rsid w:val="00877547"/>
    <w:rsid w:val="008807A4"/>
    <w:rsid w:val="00881BDB"/>
    <w:rsid w:val="008820ED"/>
    <w:rsid w:val="00883627"/>
    <w:rsid w:val="00884167"/>
    <w:rsid w:val="0088422B"/>
    <w:rsid w:val="00891A7E"/>
    <w:rsid w:val="00892003"/>
    <w:rsid w:val="00893614"/>
    <w:rsid w:val="00893A01"/>
    <w:rsid w:val="00893ED9"/>
    <w:rsid w:val="00895B15"/>
    <w:rsid w:val="00897A36"/>
    <w:rsid w:val="008A059D"/>
    <w:rsid w:val="008A2526"/>
    <w:rsid w:val="008A2C7D"/>
    <w:rsid w:val="008A35B7"/>
    <w:rsid w:val="008A5A02"/>
    <w:rsid w:val="008A7212"/>
    <w:rsid w:val="008B2486"/>
    <w:rsid w:val="008B257A"/>
    <w:rsid w:val="008B3AC0"/>
    <w:rsid w:val="008B3C3D"/>
    <w:rsid w:val="008B59EF"/>
    <w:rsid w:val="008B6A3C"/>
    <w:rsid w:val="008B7BCE"/>
    <w:rsid w:val="008B7EF9"/>
    <w:rsid w:val="008C03E2"/>
    <w:rsid w:val="008C1304"/>
    <w:rsid w:val="008C360E"/>
    <w:rsid w:val="008C366C"/>
    <w:rsid w:val="008C40DC"/>
    <w:rsid w:val="008C57CA"/>
    <w:rsid w:val="008D1148"/>
    <w:rsid w:val="008D129C"/>
    <w:rsid w:val="008D390B"/>
    <w:rsid w:val="008D4843"/>
    <w:rsid w:val="008D6FB6"/>
    <w:rsid w:val="008E2D69"/>
    <w:rsid w:val="008E329E"/>
    <w:rsid w:val="008E3666"/>
    <w:rsid w:val="008E4D8E"/>
    <w:rsid w:val="008E53C2"/>
    <w:rsid w:val="008E652D"/>
    <w:rsid w:val="008F0BFC"/>
    <w:rsid w:val="008F0C93"/>
    <w:rsid w:val="008F1FCF"/>
    <w:rsid w:val="008F2AD7"/>
    <w:rsid w:val="008F2F3B"/>
    <w:rsid w:val="008F35A6"/>
    <w:rsid w:val="008F5562"/>
    <w:rsid w:val="008F5ADA"/>
    <w:rsid w:val="008F6C2C"/>
    <w:rsid w:val="00903E7A"/>
    <w:rsid w:val="00904EF2"/>
    <w:rsid w:val="00905463"/>
    <w:rsid w:val="00906E8D"/>
    <w:rsid w:val="0091307F"/>
    <w:rsid w:val="0091462E"/>
    <w:rsid w:val="00914FE3"/>
    <w:rsid w:val="00920B56"/>
    <w:rsid w:val="00926D84"/>
    <w:rsid w:val="009277E3"/>
    <w:rsid w:val="0093019F"/>
    <w:rsid w:val="00930CB3"/>
    <w:rsid w:val="00933EF4"/>
    <w:rsid w:val="0093574D"/>
    <w:rsid w:val="0093651E"/>
    <w:rsid w:val="0093786E"/>
    <w:rsid w:val="00941607"/>
    <w:rsid w:val="00941676"/>
    <w:rsid w:val="00946FB3"/>
    <w:rsid w:val="00947193"/>
    <w:rsid w:val="0094738B"/>
    <w:rsid w:val="00961060"/>
    <w:rsid w:val="00961BD6"/>
    <w:rsid w:val="00965C19"/>
    <w:rsid w:val="00967A94"/>
    <w:rsid w:val="0097278E"/>
    <w:rsid w:val="009727DF"/>
    <w:rsid w:val="00972A34"/>
    <w:rsid w:val="009744A0"/>
    <w:rsid w:val="00975847"/>
    <w:rsid w:val="00976781"/>
    <w:rsid w:val="00980A0E"/>
    <w:rsid w:val="00980D2E"/>
    <w:rsid w:val="00983E93"/>
    <w:rsid w:val="009857BB"/>
    <w:rsid w:val="009860EA"/>
    <w:rsid w:val="00986270"/>
    <w:rsid w:val="00986490"/>
    <w:rsid w:val="00986B05"/>
    <w:rsid w:val="00990CAE"/>
    <w:rsid w:val="009927EA"/>
    <w:rsid w:val="0099493D"/>
    <w:rsid w:val="00995284"/>
    <w:rsid w:val="00997C50"/>
    <w:rsid w:val="009A20C0"/>
    <w:rsid w:val="009A3450"/>
    <w:rsid w:val="009A4904"/>
    <w:rsid w:val="009A4E8E"/>
    <w:rsid w:val="009B0135"/>
    <w:rsid w:val="009B0743"/>
    <w:rsid w:val="009B0977"/>
    <w:rsid w:val="009B60DA"/>
    <w:rsid w:val="009B66C8"/>
    <w:rsid w:val="009B6779"/>
    <w:rsid w:val="009B798A"/>
    <w:rsid w:val="009C018D"/>
    <w:rsid w:val="009C0635"/>
    <w:rsid w:val="009C21B3"/>
    <w:rsid w:val="009C2C42"/>
    <w:rsid w:val="009C3057"/>
    <w:rsid w:val="009C46D2"/>
    <w:rsid w:val="009C4928"/>
    <w:rsid w:val="009C4FB9"/>
    <w:rsid w:val="009C7920"/>
    <w:rsid w:val="009D1D91"/>
    <w:rsid w:val="009D2FAE"/>
    <w:rsid w:val="009D685D"/>
    <w:rsid w:val="009D7E16"/>
    <w:rsid w:val="009E0EE9"/>
    <w:rsid w:val="009E3239"/>
    <w:rsid w:val="009E3D4E"/>
    <w:rsid w:val="009E57F9"/>
    <w:rsid w:val="009E6A28"/>
    <w:rsid w:val="009E6B76"/>
    <w:rsid w:val="009F1B3F"/>
    <w:rsid w:val="009F1C5E"/>
    <w:rsid w:val="009F220E"/>
    <w:rsid w:val="009F47A0"/>
    <w:rsid w:val="009F4A0E"/>
    <w:rsid w:val="009F6D1F"/>
    <w:rsid w:val="00A000A0"/>
    <w:rsid w:val="00A042FB"/>
    <w:rsid w:val="00A046BA"/>
    <w:rsid w:val="00A052A4"/>
    <w:rsid w:val="00A05787"/>
    <w:rsid w:val="00A05F47"/>
    <w:rsid w:val="00A117D2"/>
    <w:rsid w:val="00A12A93"/>
    <w:rsid w:val="00A13540"/>
    <w:rsid w:val="00A17D86"/>
    <w:rsid w:val="00A23107"/>
    <w:rsid w:val="00A239A7"/>
    <w:rsid w:val="00A25B31"/>
    <w:rsid w:val="00A26423"/>
    <w:rsid w:val="00A310E6"/>
    <w:rsid w:val="00A36B64"/>
    <w:rsid w:val="00A37869"/>
    <w:rsid w:val="00A43A9B"/>
    <w:rsid w:val="00A443AE"/>
    <w:rsid w:val="00A449C7"/>
    <w:rsid w:val="00A44A88"/>
    <w:rsid w:val="00A454D3"/>
    <w:rsid w:val="00A46D56"/>
    <w:rsid w:val="00A502F9"/>
    <w:rsid w:val="00A517D0"/>
    <w:rsid w:val="00A53A8A"/>
    <w:rsid w:val="00A53AC9"/>
    <w:rsid w:val="00A5427A"/>
    <w:rsid w:val="00A61582"/>
    <w:rsid w:val="00A63739"/>
    <w:rsid w:val="00A6452F"/>
    <w:rsid w:val="00A67B02"/>
    <w:rsid w:val="00A7199E"/>
    <w:rsid w:val="00A72122"/>
    <w:rsid w:val="00A733DB"/>
    <w:rsid w:val="00A740DD"/>
    <w:rsid w:val="00A74259"/>
    <w:rsid w:val="00A74752"/>
    <w:rsid w:val="00A7486A"/>
    <w:rsid w:val="00A749E1"/>
    <w:rsid w:val="00A8045D"/>
    <w:rsid w:val="00A80997"/>
    <w:rsid w:val="00A81465"/>
    <w:rsid w:val="00A81B6C"/>
    <w:rsid w:val="00A824A3"/>
    <w:rsid w:val="00A82CAA"/>
    <w:rsid w:val="00A82D15"/>
    <w:rsid w:val="00A85340"/>
    <w:rsid w:val="00A85A35"/>
    <w:rsid w:val="00A914CA"/>
    <w:rsid w:val="00A91CCF"/>
    <w:rsid w:val="00A936C6"/>
    <w:rsid w:val="00A94775"/>
    <w:rsid w:val="00A96DDE"/>
    <w:rsid w:val="00A96E16"/>
    <w:rsid w:val="00AA083A"/>
    <w:rsid w:val="00AA088E"/>
    <w:rsid w:val="00AA2392"/>
    <w:rsid w:val="00AA351A"/>
    <w:rsid w:val="00AA5771"/>
    <w:rsid w:val="00AA63FF"/>
    <w:rsid w:val="00AB2DB9"/>
    <w:rsid w:val="00AB443F"/>
    <w:rsid w:val="00AB5C82"/>
    <w:rsid w:val="00AB5E84"/>
    <w:rsid w:val="00AB75B4"/>
    <w:rsid w:val="00AB7F65"/>
    <w:rsid w:val="00AC05F2"/>
    <w:rsid w:val="00AC0A8C"/>
    <w:rsid w:val="00AC3715"/>
    <w:rsid w:val="00AC41E8"/>
    <w:rsid w:val="00AC6CBB"/>
    <w:rsid w:val="00AC7F43"/>
    <w:rsid w:val="00AD0477"/>
    <w:rsid w:val="00AD1A79"/>
    <w:rsid w:val="00AD22D4"/>
    <w:rsid w:val="00AD2E68"/>
    <w:rsid w:val="00AD3BD7"/>
    <w:rsid w:val="00AD3C29"/>
    <w:rsid w:val="00AD4944"/>
    <w:rsid w:val="00AD7CC8"/>
    <w:rsid w:val="00AE0B88"/>
    <w:rsid w:val="00AE2D8D"/>
    <w:rsid w:val="00AE355C"/>
    <w:rsid w:val="00AE3E4C"/>
    <w:rsid w:val="00AE6E25"/>
    <w:rsid w:val="00AE7107"/>
    <w:rsid w:val="00AF026D"/>
    <w:rsid w:val="00AF1CF8"/>
    <w:rsid w:val="00AF2293"/>
    <w:rsid w:val="00AF404A"/>
    <w:rsid w:val="00AF4B99"/>
    <w:rsid w:val="00AF55F1"/>
    <w:rsid w:val="00AF5646"/>
    <w:rsid w:val="00AF5CF3"/>
    <w:rsid w:val="00AF6B3A"/>
    <w:rsid w:val="00AF7739"/>
    <w:rsid w:val="00AF7AC8"/>
    <w:rsid w:val="00AF7B17"/>
    <w:rsid w:val="00B0045C"/>
    <w:rsid w:val="00B005AE"/>
    <w:rsid w:val="00B00D03"/>
    <w:rsid w:val="00B04AD1"/>
    <w:rsid w:val="00B055B1"/>
    <w:rsid w:val="00B05735"/>
    <w:rsid w:val="00B0578C"/>
    <w:rsid w:val="00B05A9E"/>
    <w:rsid w:val="00B06940"/>
    <w:rsid w:val="00B108AE"/>
    <w:rsid w:val="00B1092F"/>
    <w:rsid w:val="00B119F0"/>
    <w:rsid w:val="00B13C9D"/>
    <w:rsid w:val="00B15303"/>
    <w:rsid w:val="00B15E6B"/>
    <w:rsid w:val="00B16BBB"/>
    <w:rsid w:val="00B17571"/>
    <w:rsid w:val="00B23B66"/>
    <w:rsid w:val="00B2426C"/>
    <w:rsid w:val="00B24433"/>
    <w:rsid w:val="00B247C3"/>
    <w:rsid w:val="00B2624B"/>
    <w:rsid w:val="00B26262"/>
    <w:rsid w:val="00B264C2"/>
    <w:rsid w:val="00B267F4"/>
    <w:rsid w:val="00B272DF"/>
    <w:rsid w:val="00B30014"/>
    <w:rsid w:val="00B33A39"/>
    <w:rsid w:val="00B33B40"/>
    <w:rsid w:val="00B34532"/>
    <w:rsid w:val="00B40E49"/>
    <w:rsid w:val="00B428BB"/>
    <w:rsid w:val="00B447B5"/>
    <w:rsid w:val="00B45CBD"/>
    <w:rsid w:val="00B460B0"/>
    <w:rsid w:val="00B50D60"/>
    <w:rsid w:val="00B5154C"/>
    <w:rsid w:val="00B52A01"/>
    <w:rsid w:val="00B54754"/>
    <w:rsid w:val="00B549E7"/>
    <w:rsid w:val="00B54A7F"/>
    <w:rsid w:val="00B55537"/>
    <w:rsid w:val="00B56528"/>
    <w:rsid w:val="00B578BA"/>
    <w:rsid w:val="00B602B8"/>
    <w:rsid w:val="00B62FB1"/>
    <w:rsid w:val="00B6309A"/>
    <w:rsid w:val="00B66BFF"/>
    <w:rsid w:val="00B71430"/>
    <w:rsid w:val="00B732F9"/>
    <w:rsid w:val="00B7540C"/>
    <w:rsid w:val="00B759E8"/>
    <w:rsid w:val="00B7695F"/>
    <w:rsid w:val="00B7717D"/>
    <w:rsid w:val="00B77DB0"/>
    <w:rsid w:val="00B83285"/>
    <w:rsid w:val="00B83BD1"/>
    <w:rsid w:val="00B84789"/>
    <w:rsid w:val="00B85769"/>
    <w:rsid w:val="00B85E69"/>
    <w:rsid w:val="00B861F7"/>
    <w:rsid w:val="00B87F00"/>
    <w:rsid w:val="00B90B07"/>
    <w:rsid w:val="00B91EEF"/>
    <w:rsid w:val="00B93318"/>
    <w:rsid w:val="00B96022"/>
    <w:rsid w:val="00BA00C5"/>
    <w:rsid w:val="00BA1EEC"/>
    <w:rsid w:val="00BA2CAD"/>
    <w:rsid w:val="00BA3245"/>
    <w:rsid w:val="00BA4119"/>
    <w:rsid w:val="00BA72C9"/>
    <w:rsid w:val="00BB001C"/>
    <w:rsid w:val="00BB24F3"/>
    <w:rsid w:val="00BB3547"/>
    <w:rsid w:val="00BB4475"/>
    <w:rsid w:val="00BB58D8"/>
    <w:rsid w:val="00BB6B61"/>
    <w:rsid w:val="00BB7330"/>
    <w:rsid w:val="00BB73FA"/>
    <w:rsid w:val="00BC476A"/>
    <w:rsid w:val="00BC71FF"/>
    <w:rsid w:val="00BD0FFD"/>
    <w:rsid w:val="00BD137A"/>
    <w:rsid w:val="00BD4162"/>
    <w:rsid w:val="00BD6A03"/>
    <w:rsid w:val="00BE1B4A"/>
    <w:rsid w:val="00BE1BAC"/>
    <w:rsid w:val="00BE273D"/>
    <w:rsid w:val="00BE27B4"/>
    <w:rsid w:val="00BE3BBC"/>
    <w:rsid w:val="00BE4CAF"/>
    <w:rsid w:val="00BE52BF"/>
    <w:rsid w:val="00BE6A22"/>
    <w:rsid w:val="00BF2054"/>
    <w:rsid w:val="00BF49BA"/>
    <w:rsid w:val="00C00BB8"/>
    <w:rsid w:val="00C01B01"/>
    <w:rsid w:val="00C02233"/>
    <w:rsid w:val="00C025B1"/>
    <w:rsid w:val="00C03E78"/>
    <w:rsid w:val="00C0548A"/>
    <w:rsid w:val="00C05BED"/>
    <w:rsid w:val="00C06191"/>
    <w:rsid w:val="00C106C2"/>
    <w:rsid w:val="00C12D14"/>
    <w:rsid w:val="00C15121"/>
    <w:rsid w:val="00C171FF"/>
    <w:rsid w:val="00C21009"/>
    <w:rsid w:val="00C21363"/>
    <w:rsid w:val="00C235A2"/>
    <w:rsid w:val="00C2366E"/>
    <w:rsid w:val="00C2460C"/>
    <w:rsid w:val="00C25A15"/>
    <w:rsid w:val="00C25E90"/>
    <w:rsid w:val="00C273E7"/>
    <w:rsid w:val="00C274BB"/>
    <w:rsid w:val="00C31354"/>
    <w:rsid w:val="00C33A74"/>
    <w:rsid w:val="00C33F8B"/>
    <w:rsid w:val="00C3441F"/>
    <w:rsid w:val="00C35D7F"/>
    <w:rsid w:val="00C37129"/>
    <w:rsid w:val="00C403E4"/>
    <w:rsid w:val="00C444C3"/>
    <w:rsid w:val="00C448FA"/>
    <w:rsid w:val="00C44D27"/>
    <w:rsid w:val="00C45BD6"/>
    <w:rsid w:val="00C477B0"/>
    <w:rsid w:val="00C47A56"/>
    <w:rsid w:val="00C52FC2"/>
    <w:rsid w:val="00C54F48"/>
    <w:rsid w:val="00C56C59"/>
    <w:rsid w:val="00C56D47"/>
    <w:rsid w:val="00C60E39"/>
    <w:rsid w:val="00C63F8A"/>
    <w:rsid w:val="00C6413C"/>
    <w:rsid w:val="00C67CE0"/>
    <w:rsid w:val="00C70CDB"/>
    <w:rsid w:val="00C71834"/>
    <w:rsid w:val="00C73EC2"/>
    <w:rsid w:val="00C74F11"/>
    <w:rsid w:val="00C76E10"/>
    <w:rsid w:val="00C77125"/>
    <w:rsid w:val="00C778F8"/>
    <w:rsid w:val="00C80B77"/>
    <w:rsid w:val="00C82891"/>
    <w:rsid w:val="00C84232"/>
    <w:rsid w:val="00C848BB"/>
    <w:rsid w:val="00C86369"/>
    <w:rsid w:val="00C86E14"/>
    <w:rsid w:val="00C87A78"/>
    <w:rsid w:val="00C92C62"/>
    <w:rsid w:val="00C945B7"/>
    <w:rsid w:val="00C95E5D"/>
    <w:rsid w:val="00C9617F"/>
    <w:rsid w:val="00CA1AFA"/>
    <w:rsid w:val="00CA1CC1"/>
    <w:rsid w:val="00CA37BA"/>
    <w:rsid w:val="00CA56A4"/>
    <w:rsid w:val="00CA58AD"/>
    <w:rsid w:val="00CA67B3"/>
    <w:rsid w:val="00CA680C"/>
    <w:rsid w:val="00CA70DE"/>
    <w:rsid w:val="00CB0359"/>
    <w:rsid w:val="00CB3724"/>
    <w:rsid w:val="00CB524F"/>
    <w:rsid w:val="00CB5D78"/>
    <w:rsid w:val="00CB6B43"/>
    <w:rsid w:val="00CB6B4A"/>
    <w:rsid w:val="00CB6EBD"/>
    <w:rsid w:val="00CB7063"/>
    <w:rsid w:val="00CC10DD"/>
    <w:rsid w:val="00CC1EDE"/>
    <w:rsid w:val="00CC3763"/>
    <w:rsid w:val="00CC52D4"/>
    <w:rsid w:val="00CC5434"/>
    <w:rsid w:val="00CC58F8"/>
    <w:rsid w:val="00CC64C5"/>
    <w:rsid w:val="00CC7A1F"/>
    <w:rsid w:val="00CC7C30"/>
    <w:rsid w:val="00CD0A35"/>
    <w:rsid w:val="00CD2205"/>
    <w:rsid w:val="00CD3265"/>
    <w:rsid w:val="00CD430A"/>
    <w:rsid w:val="00CD5F91"/>
    <w:rsid w:val="00CE0B40"/>
    <w:rsid w:val="00CE19E5"/>
    <w:rsid w:val="00CE2D27"/>
    <w:rsid w:val="00CE4765"/>
    <w:rsid w:val="00CE689F"/>
    <w:rsid w:val="00CE7059"/>
    <w:rsid w:val="00CE75AF"/>
    <w:rsid w:val="00CF0C1C"/>
    <w:rsid w:val="00CF22E2"/>
    <w:rsid w:val="00CF2434"/>
    <w:rsid w:val="00CF2FB3"/>
    <w:rsid w:val="00CF5A48"/>
    <w:rsid w:val="00CF5C6F"/>
    <w:rsid w:val="00D01350"/>
    <w:rsid w:val="00D01519"/>
    <w:rsid w:val="00D03187"/>
    <w:rsid w:val="00D05B1F"/>
    <w:rsid w:val="00D05E91"/>
    <w:rsid w:val="00D114C9"/>
    <w:rsid w:val="00D11E76"/>
    <w:rsid w:val="00D1206A"/>
    <w:rsid w:val="00D14E56"/>
    <w:rsid w:val="00D14E7F"/>
    <w:rsid w:val="00D16998"/>
    <w:rsid w:val="00D204CA"/>
    <w:rsid w:val="00D20B00"/>
    <w:rsid w:val="00D21499"/>
    <w:rsid w:val="00D21685"/>
    <w:rsid w:val="00D2632C"/>
    <w:rsid w:val="00D2734D"/>
    <w:rsid w:val="00D2771E"/>
    <w:rsid w:val="00D27D8F"/>
    <w:rsid w:val="00D326DC"/>
    <w:rsid w:val="00D34C57"/>
    <w:rsid w:val="00D354E8"/>
    <w:rsid w:val="00D4125F"/>
    <w:rsid w:val="00D41724"/>
    <w:rsid w:val="00D41FC5"/>
    <w:rsid w:val="00D4219F"/>
    <w:rsid w:val="00D43CD8"/>
    <w:rsid w:val="00D44122"/>
    <w:rsid w:val="00D50411"/>
    <w:rsid w:val="00D50B12"/>
    <w:rsid w:val="00D52E34"/>
    <w:rsid w:val="00D53A7A"/>
    <w:rsid w:val="00D55086"/>
    <w:rsid w:val="00D554DA"/>
    <w:rsid w:val="00D560A1"/>
    <w:rsid w:val="00D60504"/>
    <w:rsid w:val="00D60BFC"/>
    <w:rsid w:val="00D60FF3"/>
    <w:rsid w:val="00D61BA7"/>
    <w:rsid w:val="00D62066"/>
    <w:rsid w:val="00D62A94"/>
    <w:rsid w:val="00D63317"/>
    <w:rsid w:val="00D63EFA"/>
    <w:rsid w:val="00D6435A"/>
    <w:rsid w:val="00D65323"/>
    <w:rsid w:val="00D655F5"/>
    <w:rsid w:val="00D67C46"/>
    <w:rsid w:val="00D70591"/>
    <w:rsid w:val="00D7126E"/>
    <w:rsid w:val="00D72751"/>
    <w:rsid w:val="00D75029"/>
    <w:rsid w:val="00D75A79"/>
    <w:rsid w:val="00D8098F"/>
    <w:rsid w:val="00D814D9"/>
    <w:rsid w:val="00D81B02"/>
    <w:rsid w:val="00D83522"/>
    <w:rsid w:val="00D8399D"/>
    <w:rsid w:val="00D845C7"/>
    <w:rsid w:val="00D85CCF"/>
    <w:rsid w:val="00D8726C"/>
    <w:rsid w:val="00D875D8"/>
    <w:rsid w:val="00D907A2"/>
    <w:rsid w:val="00D922F9"/>
    <w:rsid w:val="00D93474"/>
    <w:rsid w:val="00D93C00"/>
    <w:rsid w:val="00D93ECA"/>
    <w:rsid w:val="00D94969"/>
    <w:rsid w:val="00D9560C"/>
    <w:rsid w:val="00DA1424"/>
    <w:rsid w:val="00DA145B"/>
    <w:rsid w:val="00DA20B6"/>
    <w:rsid w:val="00DA4066"/>
    <w:rsid w:val="00DA44D3"/>
    <w:rsid w:val="00DA6116"/>
    <w:rsid w:val="00DA7E3C"/>
    <w:rsid w:val="00DB07E6"/>
    <w:rsid w:val="00DB17C0"/>
    <w:rsid w:val="00DB1C84"/>
    <w:rsid w:val="00DB1E2F"/>
    <w:rsid w:val="00DB37DE"/>
    <w:rsid w:val="00DB5757"/>
    <w:rsid w:val="00DB7B6F"/>
    <w:rsid w:val="00DC27FD"/>
    <w:rsid w:val="00DC480F"/>
    <w:rsid w:val="00DC5254"/>
    <w:rsid w:val="00DC598D"/>
    <w:rsid w:val="00DC5C52"/>
    <w:rsid w:val="00DC727C"/>
    <w:rsid w:val="00DD15DC"/>
    <w:rsid w:val="00DD25D0"/>
    <w:rsid w:val="00DD4BB7"/>
    <w:rsid w:val="00DE01A0"/>
    <w:rsid w:val="00DE0699"/>
    <w:rsid w:val="00DE0896"/>
    <w:rsid w:val="00DE255D"/>
    <w:rsid w:val="00DE4B88"/>
    <w:rsid w:val="00DE4C60"/>
    <w:rsid w:val="00DF0FDD"/>
    <w:rsid w:val="00DF21DF"/>
    <w:rsid w:val="00DF4CC2"/>
    <w:rsid w:val="00DF648D"/>
    <w:rsid w:val="00DF6966"/>
    <w:rsid w:val="00DF78A9"/>
    <w:rsid w:val="00E020D7"/>
    <w:rsid w:val="00E0216F"/>
    <w:rsid w:val="00E04222"/>
    <w:rsid w:val="00E05C9A"/>
    <w:rsid w:val="00E05F4A"/>
    <w:rsid w:val="00E074A9"/>
    <w:rsid w:val="00E07820"/>
    <w:rsid w:val="00E07B06"/>
    <w:rsid w:val="00E07E36"/>
    <w:rsid w:val="00E1281F"/>
    <w:rsid w:val="00E13CEF"/>
    <w:rsid w:val="00E14E13"/>
    <w:rsid w:val="00E1674F"/>
    <w:rsid w:val="00E21F4E"/>
    <w:rsid w:val="00E24777"/>
    <w:rsid w:val="00E2493A"/>
    <w:rsid w:val="00E26075"/>
    <w:rsid w:val="00E262B2"/>
    <w:rsid w:val="00E2644D"/>
    <w:rsid w:val="00E307C4"/>
    <w:rsid w:val="00E35A04"/>
    <w:rsid w:val="00E35FB0"/>
    <w:rsid w:val="00E36977"/>
    <w:rsid w:val="00E369B9"/>
    <w:rsid w:val="00E373BF"/>
    <w:rsid w:val="00E43975"/>
    <w:rsid w:val="00E44747"/>
    <w:rsid w:val="00E4556A"/>
    <w:rsid w:val="00E4561A"/>
    <w:rsid w:val="00E4755C"/>
    <w:rsid w:val="00E51CCC"/>
    <w:rsid w:val="00E535B4"/>
    <w:rsid w:val="00E53BE7"/>
    <w:rsid w:val="00E54FD9"/>
    <w:rsid w:val="00E60282"/>
    <w:rsid w:val="00E61CD8"/>
    <w:rsid w:val="00E63313"/>
    <w:rsid w:val="00E64B36"/>
    <w:rsid w:val="00E65333"/>
    <w:rsid w:val="00E660F1"/>
    <w:rsid w:val="00E66E08"/>
    <w:rsid w:val="00E67515"/>
    <w:rsid w:val="00E67A08"/>
    <w:rsid w:val="00E70661"/>
    <w:rsid w:val="00E71992"/>
    <w:rsid w:val="00E7204F"/>
    <w:rsid w:val="00E729C4"/>
    <w:rsid w:val="00E72FF8"/>
    <w:rsid w:val="00E73A67"/>
    <w:rsid w:val="00E74CC5"/>
    <w:rsid w:val="00E7533D"/>
    <w:rsid w:val="00E76B00"/>
    <w:rsid w:val="00E8008F"/>
    <w:rsid w:val="00E80BB8"/>
    <w:rsid w:val="00E82C8A"/>
    <w:rsid w:val="00E8367D"/>
    <w:rsid w:val="00E85DB1"/>
    <w:rsid w:val="00E87E49"/>
    <w:rsid w:val="00E905C4"/>
    <w:rsid w:val="00E946E7"/>
    <w:rsid w:val="00EA0E11"/>
    <w:rsid w:val="00EA434B"/>
    <w:rsid w:val="00EA47C4"/>
    <w:rsid w:val="00EA6323"/>
    <w:rsid w:val="00EB0782"/>
    <w:rsid w:val="00EB0B75"/>
    <w:rsid w:val="00EB0DEC"/>
    <w:rsid w:val="00EB44F5"/>
    <w:rsid w:val="00EB63FE"/>
    <w:rsid w:val="00EB669A"/>
    <w:rsid w:val="00EB7E0B"/>
    <w:rsid w:val="00EC042F"/>
    <w:rsid w:val="00EC0DA8"/>
    <w:rsid w:val="00EC13FB"/>
    <w:rsid w:val="00EC15FA"/>
    <w:rsid w:val="00EC37DD"/>
    <w:rsid w:val="00EC3B65"/>
    <w:rsid w:val="00EC48D4"/>
    <w:rsid w:val="00EC7931"/>
    <w:rsid w:val="00EC79F3"/>
    <w:rsid w:val="00EC7C36"/>
    <w:rsid w:val="00ED20A6"/>
    <w:rsid w:val="00ED3422"/>
    <w:rsid w:val="00ED4556"/>
    <w:rsid w:val="00ED5226"/>
    <w:rsid w:val="00ED5683"/>
    <w:rsid w:val="00EE0F1A"/>
    <w:rsid w:val="00EE2AA0"/>
    <w:rsid w:val="00EE3596"/>
    <w:rsid w:val="00EE3DD8"/>
    <w:rsid w:val="00EE4B30"/>
    <w:rsid w:val="00EE6713"/>
    <w:rsid w:val="00EF1554"/>
    <w:rsid w:val="00EF1AC2"/>
    <w:rsid w:val="00EF2B54"/>
    <w:rsid w:val="00EF305D"/>
    <w:rsid w:val="00EF4238"/>
    <w:rsid w:val="00EF68ED"/>
    <w:rsid w:val="00EF6A36"/>
    <w:rsid w:val="00F0367F"/>
    <w:rsid w:val="00F049C5"/>
    <w:rsid w:val="00F05594"/>
    <w:rsid w:val="00F0724E"/>
    <w:rsid w:val="00F101AD"/>
    <w:rsid w:val="00F11DD5"/>
    <w:rsid w:val="00F15E93"/>
    <w:rsid w:val="00F16513"/>
    <w:rsid w:val="00F1733A"/>
    <w:rsid w:val="00F17B5F"/>
    <w:rsid w:val="00F20A0C"/>
    <w:rsid w:val="00F258AF"/>
    <w:rsid w:val="00F273FA"/>
    <w:rsid w:val="00F308B7"/>
    <w:rsid w:val="00F35B79"/>
    <w:rsid w:val="00F362C7"/>
    <w:rsid w:val="00F36E24"/>
    <w:rsid w:val="00F4193B"/>
    <w:rsid w:val="00F45181"/>
    <w:rsid w:val="00F45972"/>
    <w:rsid w:val="00F52126"/>
    <w:rsid w:val="00F52AD0"/>
    <w:rsid w:val="00F52F57"/>
    <w:rsid w:val="00F53236"/>
    <w:rsid w:val="00F53574"/>
    <w:rsid w:val="00F5386B"/>
    <w:rsid w:val="00F55A6A"/>
    <w:rsid w:val="00F56917"/>
    <w:rsid w:val="00F576F6"/>
    <w:rsid w:val="00F61E46"/>
    <w:rsid w:val="00F62E0C"/>
    <w:rsid w:val="00F63070"/>
    <w:rsid w:val="00F65A00"/>
    <w:rsid w:val="00F66AD6"/>
    <w:rsid w:val="00F67A60"/>
    <w:rsid w:val="00F70314"/>
    <w:rsid w:val="00F705BC"/>
    <w:rsid w:val="00F74DD5"/>
    <w:rsid w:val="00F7582B"/>
    <w:rsid w:val="00F77333"/>
    <w:rsid w:val="00F806F6"/>
    <w:rsid w:val="00F815E5"/>
    <w:rsid w:val="00F8347C"/>
    <w:rsid w:val="00F879AC"/>
    <w:rsid w:val="00F91F3F"/>
    <w:rsid w:val="00F9554B"/>
    <w:rsid w:val="00F963D4"/>
    <w:rsid w:val="00FA13BA"/>
    <w:rsid w:val="00FA2007"/>
    <w:rsid w:val="00FA4548"/>
    <w:rsid w:val="00FA56EC"/>
    <w:rsid w:val="00FA5B02"/>
    <w:rsid w:val="00FB0CC2"/>
    <w:rsid w:val="00FB0E69"/>
    <w:rsid w:val="00FB5C21"/>
    <w:rsid w:val="00FB646A"/>
    <w:rsid w:val="00FB674C"/>
    <w:rsid w:val="00FC1EC2"/>
    <w:rsid w:val="00FC2607"/>
    <w:rsid w:val="00FC298F"/>
    <w:rsid w:val="00FC2A67"/>
    <w:rsid w:val="00FC3574"/>
    <w:rsid w:val="00FC69CC"/>
    <w:rsid w:val="00FC6D31"/>
    <w:rsid w:val="00FC7F96"/>
    <w:rsid w:val="00FD1831"/>
    <w:rsid w:val="00FD341D"/>
    <w:rsid w:val="00FD4419"/>
    <w:rsid w:val="00FD7D38"/>
    <w:rsid w:val="00FE0CDD"/>
    <w:rsid w:val="00FE1AA6"/>
    <w:rsid w:val="00FE26B7"/>
    <w:rsid w:val="00FE372D"/>
    <w:rsid w:val="00FE4BDF"/>
    <w:rsid w:val="00FE4D76"/>
    <w:rsid w:val="00FF5D0D"/>
    <w:rsid w:val="00FF6727"/>
    <w:rsid w:val="00FF6E41"/>
    <w:rsid w:val="00FF70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5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link w:val="regparChar"/>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LetterheadBOI">
    <w:name w:val="Letterhead BOI"/>
    <w:basedOn w:val="regpar"/>
    <w:link w:val="LetterheadBOIChar"/>
    <w:qFormat/>
    <w:rsid w:val="0094738B"/>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94738B"/>
    <w:pPr>
      <w:spacing w:line="300" w:lineRule="atLeast"/>
      <w:ind w:firstLine="0"/>
      <w:jc w:val="center"/>
    </w:pPr>
    <w:rPr>
      <w:rFonts w:ascii="Times New Roman" w:hAnsi="Times New Roman" w:cs="Times New Roman"/>
      <w:sz w:val="26"/>
      <w:szCs w:val="26"/>
    </w:rPr>
  </w:style>
  <w:style w:type="character" w:customStyle="1" w:styleId="regparChar">
    <w:name w:val="regpar Char"/>
    <w:basedOn w:val="a0"/>
    <w:link w:val="regpar"/>
    <w:rsid w:val="0094738B"/>
    <w:rPr>
      <w:rFonts w:ascii="Times" w:hAnsi="Times" w:cs="Times"/>
      <w:sz w:val="24"/>
      <w:szCs w:val="24"/>
    </w:rPr>
  </w:style>
  <w:style w:type="character" w:customStyle="1" w:styleId="LetterheadBOIChar">
    <w:name w:val="Letterhead BOI Char"/>
    <w:basedOn w:val="regparChar"/>
    <w:link w:val="LetterheadBOI"/>
    <w:rsid w:val="0094738B"/>
    <w:rPr>
      <w:rFonts w:ascii="Times" w:hAnsi="Times" w:cs="David"/>
      <w:b/>
      <w:sz w:val="24"/>
      <w:szCs w:val="24"/>
    </w:rPr>
  </w:style>
  <w:style w:type="paragraph" w:customStyle="1" w:styleId="PressReleaseTitle">
    <w:name w:val="Press Release Title"/>
    <w:basedOn w:val="a"/>
    <w:link w:val="PressReleaseTitleChar"/>
    <w:qFormat/>
    <w:rsid w:val="0094738B"/>
    <w:pPr>
      <w:tabs>
        <w:tab w:val="center" w:pos="4156"/>
        <w:tab w:val="right" w:pos="8312"/>
      </w:tabs>
      <w:bidi w:val="0"/>
      <w:jc w:val="center"/>
    </w:pPr>
    <w:rPr>
      <w:rFonts w:cs="David"/>
      <w:b/>
      <w:bCs/>
      <w:sz w:val="26"/>
      <w:szCs w:val="26"/>
    </w:rPr>
  </w:style>
  <w:style w:type="character" w:customStyle="1" w:styleId="Letterhead2Char">
    <w:name w:val="Letterhead 2 Char"/>
    <w:basedOn w:val="regparChar"/>
    <w:link w:val="Letterhead2"/>
    <w:rsid w:val="0094738B"/>
    <w:rPr>
      <w:rFonts w:ascii="Times" w:hAnsi="Times" w:cs="Times"/>
      <w:sz w:val="26"/>
      <w:szCs w:val="26"/>
    </w:rPr>
  </w:style>
  <w:style w:type="paragraph" w:customStyle="1" w:styleId="Pressreleaseheading2">
    <w:name w:val="Press release heading 2"/>
    <w:basedOn w:val="PressReleaseTitle"/>
    <w:link w:val="Pressreleaseheading2Char"/>
    <w:qFormat/>
    <w:rsid w:val="0094738B"/>
    <w:rPr>
      <w:b w:val="0"/>
      <w:bCs w:val="0"/>
    </w:rPr>
  </w:style>
  <w:style w:type="character" w:customStyle="1" w:styleId="PressReleaseTitleChar">
    <w:name w:val="Press Release Title Char"/>
    <w:basedOn w:val="a0"/>
    <w:link w:val="PressReleaseTitle"/>
    <w:rsid w:val="0094738B"/>
    <w:rPr>
      <w:rFonts w:cs="David"/>
      <w:b/>
      <w:bCs/>
      <w:sz w:val="26"/>
      <w:szCs w:val="26"/>
    </w:rPr>
  </w:style>
  <w:style w:type="character" w:customStyle="1" w:styleId="Pressreleaseheading2Char">
    <w:name w:val="Press release heading 2 Char"/>
    <w:basedOn w:val="PressReleaseTitleChar"/>
    <w:link w:val="Pressreleaseheading2"/>
    <w:rsid w:val="0094738B"/>
    <w:rPr>
      <w:rFonts w:cs="David"/>
      <w:b w:val="0"/>
      <w:bCs w:val="0"/>
      <w:sz w:val="26"/>
      <w:szCs w:val="26"/>
    </w:rPr>
  </w:style>
  <w:style w:type="character" w:styleId="ae">
    <w:name w:val="annotation reference"/>
    <w:basedOn w:val="a0"/>
    <w:rsid w:val="00833AF3"/>
    <w:rPr>
      <w:sz w:val="16"/>
      <w:szCs w:val="16"/>
    </w:rPr>
  </w:style>
  <w:style w:type="paragraph" w:styleId="af">
    <w:name w:val="annotation text"/>
    <w:basedOn w:val="a"/>
    <w:link w:val="af0"/>
    <w:rsid w:val="00833AF3"/>
    <w:rPr>
      <w:sz w:val="20"/>
      <w:szCs w:val="20"/>
    </w:rPr>
  </w:style>
  <w:style w:type="character" w:customStyle="1" w:styleId="af0">
    <w:name w:val="טקסט הערה תו"/>
    <w:basedOn w:val="a0"/>
    <w:link w:val="af"/>
    <w:rsid w:val="00833AF3"/>
  </w:style>
  <w:style w:type="paragraph" w:styleId="af1">
    <w:name w:val="annotation subject"/>
    <w:basedOn w:val="af"/>
    <w:next w:val="af"/>
    <w:link w:val="af2"/>
    <w:rsid w:val="00833AF3"/>
    <w:rPr>
      <w:b/>
      <w:bCs/>
    </w:rPr>
  </w:style>
  <w:style w:type="character" w:customStyle="1" w:styleId="af2">
    <w:name w:val="נושא הערה תו"/>
    <w:basedOn w:val="af0"/>
    <w:link w:val="af1"/>
    <w:rsid w:val="00833AF3"/>
    <w:rPr>
      <w:b/>
      <w:bCs/>
    </w:rPr>
  </w:style>
  <w:style w:type="paragraph" w:customStyle="1" w:styleId="af3">
    <w:name w:val="כותרת לוח"/>
    <w:basedOn w:val="af4"/>
    <w:link w:val="af5"/>
    <w:qFormat/>
    <w:rsid w:val="00903E7A"/>
    <w:pPr>
      <w:pBdr>
        <w:bottom w:val="none" w:sz="0" w:space="0" w:color="auto"/>
      </w:pBdr>
      <w:spacing w:before="240" w:after="60"/>
      <w:contextualSpacing w:val="0"/>
      <w:jc w:val="center"/>
      <w:outlineLvl w:val="0"/>
    </w:pPr>
    <w:rPr>
      <w:rFonts w:cs="David"/>
      <w:b/>
      <w:bCs/>
      <w:sz w:val="24"/>
      <w:szCs w:val="24"/>
      <w:u w:val="single"/>
      <w:lang w:eastAsia="he-IL"/>
    </w:rPr>
  </w:style>
  <w:style w:type="character" w:customStyle="1" w:styleId="af5">
    <w:name w:val="כותרת לוח תו"/>
    <w:basedOn w:val="af6"/>
    <w:link w:val="af3"/>
    <w:rsid w:val="00903E7A"/>
    <w:rPr>
      <w:rFonts w:asciiTheme="majorHAnsi" w:eastAsiaTheme="majorEastAsia" w:hAnsiTheme="majorHAnsi" w:cs="David"/>
      <w:b/>
      <w:bCs/>
      <w:color w:val="17365D" w:themeColor="text2" w:themeShade="BF"/>
      <w:spacing w:val="5"/>
      <w:kern w:val="28"/>
      <w:sz w:val="24"/>
      <w:szCs w:val="24"/>
      <w:u w:val="single"/>
      <w:lang w:eastAsia="he-IL"/>
    </w:rPr>
  </w:style>
  <w:style w:type="paragraph" w:styleId="af4">
    <w:name w:val="Title"/>
    <w:basedOn w:val="a"/>
    <w:next w:val="a"/>
    <w:link w:val="af6"/>
    <w:qFormat/>
    <w:rsid w:val="00903E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כותרת טקסט תו"/>
    <w:basedOn w:val="a0"/>
    <w:link w:val="af4"/>
    <w:rsid w:val="00903E7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bankisrael.gov.il/deptdata/pik_mth/pikmth_e.ht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44F27-B472-400D-9E33-925004DA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1254</Words>
  <Characters>6670</Characters>
  <Application>Microsoft Office Word</Application>
  <DocSecurity>4</DocSecurity>
  <Lines>55</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7909</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2025-03-25T11:15:00Z</dcterms:created>
  <dcterms:modified xsi:type="dcterms:W3CDTF">2025-03-25T11:15:00Z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