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D5923" w:rsidRPr="00DB1CBC" w:rsidTr="00D87676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D8767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D5923" w:rsidRDefault="00DD5923" w:rsidP="00D87676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DD5923" w:rsidRDefault="00DD5923" w:rsidP="00D87676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2D6A652" wp14:editId="6FB77393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923" w:rsidRDefault="00DD5923" w:rsidP="006717BA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 w:rsidR="00826810">
              <w:rPr>
                <w:rFonts w:cs="David" w:hint="cs"/>
                <w:sz w:val="24"/>
                <w:szCs w:val="24"/>
                <w:rtl/>
              </w:rPr>
              <w:t xml:space="preserve">ירושלים, </w:t>
            </w:r>
            <w:r w:rsidR="006717BA">
              <w:rPr>
                <w:rFonts w:cs="David" w:hint="cs"/>
                <w:sz w:val="24"/>
                <w:szCs w:val="24"/>
                <w:rtl/>
              </w:rPr>
              <w:t>ט</w:t>
            </w:r>
            <w:r w:rsidR="00AA7ED7">
              <w:rPr>
                <w:rFonts w:cs="David" w:hint="cs"/>
                <w:sz w:val="24"/>
                <w:szCs w:val="24"/>
                <w:rtl/>
              </w:rPr>
              <w:t>"</w:t>
            </w:r>
            <w:r w:rsidR="006717BA">
              <w:rPr>
                <w:rFonts w:cs="David" w:hint="cs"/>
                <w:sz w:val="24"/>
                <w:szCs w:val="24"/>
                <w:rtl/>
              </w:rPr>
              <w:t>ז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בכסלו</w:t>
            </w:r>
            <w:r w:rsidR="004625EB">
              <w:rPr>
                <w:rFonts w:cs="David"/>
                <w:sz w:val="24"/>
                <w:szCs w:val="24"/>
                <w:rtl/>
              </w:rPr>
              <w:t xml:space="preserve"> </w:t>
            </w:r>
            <w:proofErr w:type="spellStart"/>
            <w:r w:rsidR="00614095">
              <w:rPr>
                <w:rFonts w:cs="David" w:hint="cs"/>
                <w:sz w:val="24"/>
                <w:szCs w:val="24"/>
                <w:rtl/>
              </w:rPr>
              <w:t>ה</w:t>
            </w:r>
            <w:r w:rsidR="004625EB">
              <w:rPr>
                <w:rFonts w:cs="David"/>
                <w:sz w:val="24"/>
                <w:szCs w:val="24"/>
                <w:rtl/>
              </w:rPr>
              <w:t>תשע"</w:t>
            </w:r>
            <w:r w:rsidR="004625EB">
              <w:rPr>
                <w:rFonts w:cs="David" w:hint="cs"/>
                <w:sz w:val="24"/>
                <w:szCs w:val="24"/>
                <w:rtl/>
              </w:rPr>
              <w:t>ד</w:t>
            </w:r>
            <w:proofErr w:type="spellEnd"/>
          </w:p>
          <w:p w:rsidR="00DD5923" w:rsidRPr="00DF107C" w:rsidRDefault="00DD5923" w:rsidP="006717BA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AA7ED7">
              <w:rPr>
                <w:rFonts w:cs="David" w:hint="cs"/>
                <w:sz w:val="24"/>
                <w:szCs w:val="24"/>
                <w:rtl/>
              </w:rPr>
              <w:t>1</w:t>
            </w:r>
            <w:r w:rsidR="006717BA">
              <w:rPr>
                <w:rFonts w:cs="David" w:hint="cs"/>
                <w:sz w:val="24"/>
                <w:szCs w:val="24"/>
                <w:rtl/>
              </w:rPr>
              <w:t>9</w:t>
            </w:r>
            <w:r w:rsidR="00A57161">
              <w:rPr>
                <w:rFonts w:cs="David" w:hint="cs"/>
                <w:sz w:val="24"/>
                <w:szCs w:val="24"/>
                <w:rtl/>
              </w:rPr>
              <w:t xml:space="preserve"> בנובמבר</w:t>
            </w:r>
            <w:r>
              <w:rPr>
                <w:rFonts w:cs="David"/>
                <w:sz w:val="24"/>
                <w:szCs w:val="24"/>
                <w:rtl/>
              </w:rPr>
              <w:t xml:space="preserve"> 2013</w:t>
            </w:r>
          </w:p>
        </w:tc>
      </w:tr>
    </w:tbl>
    <w:p w:rsidR="00FE034E" w:rsidRDefault="00FE034E" w:rsidP="007E18EE">
      <w:pPr>
        <w:bidi/>
        <w:rPr>
          <w:rtl/>
        </w:rPr>
      </w:pPr>
    </w:p>
    <w:p w:rsidR="007E18EE" w:rsidRDefault="007E18EE" w:rsidP="007E18EE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C04A6B" w:rsidRDefault="00C04A6B" w:rsidP="00C04A6B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</w:p>
    <w:p w:rsidR="006717BA" w:rsidRPr="00331A87" w:rsidRDefault="006717BA" w:rsidP="009F5C5A">
      <w:pPr>
        <w:bidi/>
        <w:spacing w:line="360" w:lineRule="auto"/>
        <w:ind w:left="-199" w:right="-284"/>
        <w:jc w:val="center"/>
        <w:rPr>
          <w:rFonts w:cs="David"/>
          <w:b/>
          <w:bCs/>
          <w:sz w:val="24"/>
          <w:szCs w:val="24"/>
        </w:rPr>
      </w:pPr>
      <w:r w:rsidRPr="00331A87">
        <w:rPr>
          <w:rFonts w:cs="David"/>
          <w:b/>
          <w:bCs/>
          <w:sz w:val="24"/>
          <w:szCs w:val="24"/>
          <w:u w:val="single"/>
          <w:rtl/>
        </w:rPr>
        <w:t>המפקח על הבנקים מפרסם את ההוראה הסופית בנושא מדיניות תגמול בתאגיד בנקאי</w:t>
      </w:r>
      <w:r w:rsidR="009F5C5A">
        <w:rPr>
          <w:rFonts w:cs="David" w:hint="cs"/>
          <w:b/>
          <w:bCs/>
          <w:sz w:val="24"/>
          <w:szCs w:val="24"/>
          <w:u w:val="single"/>
          <w:rtl/>
        </w:rPr>
        <w:t>.</w:t>
      </w:r>
    </w:p>
    <w:p w:rsidR="006717BA" w:rsidRPr="00331A87" w:rsidRDefault="006717BA" w:rsidP="006717BA">
      <w:pPr>
        <w:bidi/>
        <w:spacing w:line="360" w:lineRule="auto"/>
        <w:ind w:left="-199" w:right="-284"/>
        <w:jc w:val="both"/>
        <w:rPr>
          <w:rFonts w:cs="David"/>
          <w:b/>
          <w:bCs/>
          <w:sz w:val="24"/>
          <w:szCs w:val="24"/>
          <w:rtl/>
        </w:rPr>
      </w:pPr>
    </w:p>
    <w:p w:rsidR="006717BA" w:rsidRDefault="006717BA" w:rsidP="007E142F">
      <w:pPr>
        <w:bidi/>
        <w:spacing w:line="360" w:lineRule="auto"/>
        <w:ind w:left="-199" w:right="-284"/>
        <w:jc w:val="both"/>
        <w:rPr>
          <w:rFonts w:cs="David"/>
          <w:sz w:val="24"/>
          <w:szCs w:val="24"/>
          <w:rtl/>
        </w:rPr>
      </w:pPr>
      <w:r w:rsidRPr="00331A87">
        <w:rPr>
          <w:rFonts w:cs="David"/>
          <w:sz w:val="24"/>
          <w:szCs w:val="24"/>
          <w:rtl/>
        </w:rPr>
        <w:t xml:space="preserve">המפקח על הבנקים, דוד זקן, </w:t>
      </w:r>
      <w:r w:rsidR="007E142F" w:rsidRPr="00331A87">
        <w:rPr>
          <w:rFonts w:cs="David" w:hint="cs"/>
          <w:sz w:val="24"/>
          <w:szCs w:val="24"/>
          <w:rtl/>
        </w:rPr>
        <w:t>פרסם</w:t>
      </w:r>
      <w:r w:rsidRPr="00331A87">
        <w:rPr>
          <w:rFonts w:cs="David"/>
          <w:sz w:val="24"/>
          <w:szCs w:val="24"/>
          <w:rtl/>
        </w:rPr>
        <w:t xml:space="preserve"> היום נוסח סופי</w:t>
      </w:r>
      <w:r>
        <w:rPr>
          <w:rFonts w:cs="David" w:hint="cs"/>
          <w:color w:val="0070C0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של </w:t>
      </w:r>
      <w:r w:rsidRPr="00331A87">
        <w:rPr>
          <w:rFonts w:cs="David"/>
          <w:sz w:val="24"/>
          <w:szCs w:val="24"/>
          <w:rtl/>
        </w:rPr>
        <w:t xml:space="preserve">הוראת נוהל בנקאי תקין </w:t>
      </w:r>
      <w:r>
        <w:rPr>
          <w:rFonts w:cs="David" w:hint="cs"/>
          <w:sz w:val="24"/>
          <w:szCs w:val="24"/>
          <w:rtl/>
        </w:rPr>
        <w:t xml:space="preserve">חדשה </w:t>
      </w:r>
      <w:r w:rsidRPr="00331A87">
        <w:rPr>
          <w:rFonts w:cs="David"/>
          <w:sz w:val="24"/>
          <w:szCs w:val="24"/>
          <w:rtl/>
        </w:rPr>
        <w:t xml:space="preserve">בעניין מדיניות התגמול בתאגידים הבנקאיים, אשר </w:t>
      </w:r>
      <w:hyperlink r:id="rId8" w:history="1">
        <w:r w:rsidRPr="00EE6404">
          <w:rPr>
            <w:rStyle w:val="Hyperlink"/>
            <w:rFonts w:cs="David"/>
            <w:sz w:val="24"/>
            <w:szCs w:val="24"/>
            <w:rtl/>
          </w:rPr>
          <w:t>טיוטה</w:t>
        </w:r>
      </w:hyperlink>
      <w:r w:rsidRPr="00331A87">
        <w:rPr>
          <w:rFonts w:cs="David"/>
          <w:sz w:val="24"/>
          <w:szCs w:val="24"/>
          <w:rtl/>
        </w:rPr>
        <w:t xml:space="preserve"> שלה פורסמה ב-27.8.2013. ההוראה מאמצת </w:t>
      </w:r>
      <w:r>
        <w:rPr>
          <w:rFonts w:cs="David" w:hint="cs"/>
          <w:sz w:val="24"/>
          <w:szCs w:val="24"/>
          <w:rtl/>
        </w:rPr>
        <w:t xml:space="preserve">הנחיות בינלאומיות עדכניות בהקשר זה, לרבות </w:t>
      </w:r>
      <w:r w:rsidRPr="00331A87">
        <w:rPr>
          <w:rFonts w:cs="David"/>
          <w:sz w:val="24"/>
          <w:szCs w:val="24"/>
          <w:rtl/>
        </w:rPr>
        <w:t>את עיקרי הדירקטיבה האירופית לעניין תגמול בבנקים</w:t>
      </w:r>
      <w:r>
        <w:rPr>
          <w:rFonts w:cs="David" w:hint="cs"/>
          <w:sz w:val="24"/>
          <w:szCs w:val="24"/>
          <w:rtl/>
        </w:rPr>
        <w:t>, בהתאמה לישראל.</w:t>
      </w:r>
      <w:r w:rsidRPr="00331A87">
        <w:rPr>
          <w:rFonts w:cs="David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בהוראה נקבע, בין היתר, </w:t>
      </w:r>
      <w:r w:rsidRPr="00331A87">
        <w:rPr>
          <w:rFonts w:cs="David"/>
          <w:sz w:val="24"/>
          <w:szCs w:val="24"/>
          <w:rtl/>
        </w:rPr>
        <w:t>כי התגמול המשתנה לא יעלה, למעט במקרים חריגים, על 100% מהתגמול הקבוע. ה</w:t>
      </w:r>
      <w:bookmarkStart w:id="0" w:name="_GoBack"/>
      <w:bookmarkEnd w:id="0"/>
      <w:r w:rsidRPr="00331A87">
        <w:rPr>
          <w:rFonts w:cs="David"/>
          <w:sz w:val="24"/>
          <w:szCs w:val="24"/>
          <w:rtl/>
        </w:rPr>
        <w:t xml:space="preserve">מפקח הסביר כי מטרת ההוראה היא לוודא שמערכת התמריצים </w:t>
      </w:r>
      <w:r>
        <w:rPr>
          <w:rFonts w:cs="David" w:hint="cs"/>
          <w:sz w:val="24"/>
          <w:szCs w:val="24"/>
          <w:rtl/>
        </w:rPr>
        <w:t xml:space="preserve">במערכת הבנקאית </w:t>
      </w:r>
      <w:r w:rsidRPr="00331A87">
        <w:rPr>
          <w:rFonts w:cs="David"/>
          <w:sz w:val="24"/>
          <w:szCs w:val="24"/>
          <w:rtl/>
        </w:rPr>
        <w:t xml:space="preserve">מעודדת תגמול הוגן, אשר מתמרץ את המצוינות אך אינו מעודד לקיחת סיכונים </w:t>
      </w:r>
      <w:r>
        <w:rPr>
          <w:rFonts w:cs="David" w:hint="cs"/>
          <w:sz w:val="24"/>
          <w:szCs w:val="24"/>
          <w:rtl/>
        </w:rPr>
        <w:t>עודפים</w:t>
      </w:r>
      <w:r w:rsidRPr="00331A87">
        <w:rPr>
          <w:rFonts w:cs="David"/>
          <w:sz w:val="24"/>
          <w:szCs w:val="24"/>
          <w:rtl/>
        </w:rPr>
        <w:t xml:space="preserve">. המפקח הדגיש </w:t>
      </w:r>
      <w:r>
        <w:rPr>
          <w:rFonts w:cs="David" w:hint="cs"/>
          <w:sz w:val="24"/>
          <w:szCs w:val="24"/>
          <w:rtl/>
        </w:rPr>
        <w:t xml:space="preserve">בנוסף </w:t>
      </w:r>
      <w:r w:rsidRPr="00331A87">
        <w:rPr>
          <w:rFonts w:cs="David"/>
          <w:sz w:val="24"/>
          <w:szCs w:val="24"/>
          <w:rtl/>
        </w:rPr>
        <w:t xml:space="preserve">כי ההוראה תואמת את המגמה בקרב רשויות פיקוח בעולם, לפיה נושא התגמול הוא נדבך חשוב במסגרת ניהול סיכונים וממשל תאגידי תקין של </w:t>
      </w:r>
      <w:r>
        <w:rPr>
          <w:rFonts w:cs="David" w:hint="cs"/>
          <w:sz w:val="24"/>
          <w:szCs w:val="24"/>
          <w:rtl/>
        </w:rPr>
        <w:t>בנקים</w:t>
      </w:r>
      <w:r w:rsidRPr="00331A87">
        <w:rPr>
          <w:rFonts w:cs="David"/>
          <w:sz w:val="24"/>
          <w:szCs w:val="24"/>
          <w:rtl/>
        </w:rPr>
        <w:t xml:space="preserve">. ההוראה נועדה לחזק את מנגנוני הבקרה </w:t>
      </w:r>
      <w:r>
        <w:rPr>
          <w:rFonts w:cs="David" w:hint="cs"/>
          <w:sz w:val="24"/>
          <w:szCs w:val="24"/>
          <w:rtl/>
        </w:rPr>
        <w:t xml:space="preserve">בתאגידים הבנקאיים </w:t>
      </w:r>
      <w:r w:rsidRPr="00331A87">
        <w:rPr>
          <w:rFonts w:cs="David"/>
          <w:sz w:val="24"/>
          <w:szCs w:val="24"/>
          <w:rtl/>
        </w:rPr>
        <w:t>ולהבטיח כי הסדרי התגמול יהיו עקביים עם המטרות ארוכות הטווח שלה</w:t>
      </w:r>
      <w:r>
        <w:rPr>
          <w:rFonts w:cs="David" w:hint="cs"/>
          <w:sz w:val="24"/>
          <w:szCs w:val="24"/>
          <w:rtl/>
        </w:rPr>
        <w:t>ם</w:t>
      </w:r>
      <w:r w:rsidRPr="00331A87">
        <w:rPr>
          <w:rFonts w:cs="David"/>
          <w:sz w:val="24"/>
          <w:szCs w:val="24"/>
          <w:rtl/>
        </w:rPr>
        <w:t xml:space="preserve">. </w:t>
      </w:r>
    </w:p>
    <w:p w:rsidR="006717BA" w:rsidRPr="00331A87" w:rsidRDefault="006717BA" w:rsidP="006717BA">
      <w:pPr>
        <w:bidi/>
        <w:spacing w:line="360" w:lineRule="auto"/>
        <w:ind w:left="-199" w:right="-284"/>
        <w:jc w:val="both"/>
        <w:rPr>
          <w:rFonts w:cs="David"/>
          <w:sz w:val="24"/>
          <w:szCs w:val="24"/>
          <w:rtl/>
        </w:rPr>
      </w:pPr>
    </w:p>
    <w:p w:rsidR="006717BA" w:rsidRDefault="006717BA" w:rsidP="006717BA">
      <w:pPr>
        <w:bidi/>
        <w:spacing w:line="360" w:lineRule="auto"/>
        <w:ind w:left="-199" w:right="-284"/>
        <w:jc w:val="both"/>
        <w:rPr>
          <w:rFonts w:cs="David"/>
          <w:sz w:val="24"/>
          <w:szCs w:val="24"/>
          <w:rtl/>
        </w:rPr>
      </w:pPr>
      <w:r w:rsidRPr="00331A87">
        <w:rPr>
          <w:rFonts w:cs="David"/>
          <w:sz w:val="24"/>
          <w:szCs w:val="24"/>
          <w:rtl/>
        </w:rPr>
        <w:t>שר האוצר, יאיר לפיד</w:t>
      </w:r>
      <w:r>
        <w:rPr>
          <w:rFonts w:cs="David" w:hint="cs"/>
          <w:sz w:val="24"/>
          <w:szCs w:val="24"/>
          <w:rtl/>
        </w:rPr>
        <w:t>: "</w:t>
      </w:r>
      <w:r w:rsidRPr="00EE6404">
        <w:rPr>
          <w:rFonts w:cs="David"/>
          <w:sz w:val="24"/>
          <w:szCs w:val="24"/>
          <w:rtl/>
        </w:rPr>
        <w:t>יש לדאוג לכך שהשכר במערכת הבנקאית יהיה הוגן ואחראי. שכר הבכירים צריך לעמוד בנורמות דומות לאלו שבמדינות מפותחות.</w:t>
      </w:r>
      <w:r>
        <w:rPr>
          <w:rFonts w:cs="David" w:hint="cs"/>
          <w:sz w:val="24"/>
          <w:szCs w:val="24"/>
          <w:rtl/>
        </w:rPr>
        <w:t xml:space="preserve"> </w:t>
      </w:r>
      <w:r w:rsidRPr="00EE6404">
        <w:rPr>
          <w:rFonts w:cs="David"/>
          <w:sz w:val="24"/>
          <w:szCs w:val="24"/>
          <w:rtl/>
        </w:rPr>
        <w:t>לצד הטיפול בשכר הבכירים במערכת הבנקאית נפעל כי נורמות אלו יתרחבו לסקטורים נוספים</w:t>
      </w:r>
      <w:r>
        <w:rPr>
          <w:rFonts w:cs="David" w:hint="cs"/>
          <w:sz w:val="24"/>
          <w:szCs w:val="24"/>
          <w:rtl/>
        </w:rPr>
        <w:t>"</w:t>
      </w:r>
      <w:r w:rsidRPr="00EE6404">
        <w:rPr>
          <w:rFonts w:cs="David"/>
          <w:sz w:val="24"/>
          <w:szCs w:val="24"/>
          <w:rtl/>
        </w:rPr>
        <w:t>.</w:t>
      </w:r>
    </w:p>
    <w:p w:rsidR="006717BA" w:rsidRPr="000D6DD4" w:rsidRDefault="006717BA" w:rsidP="006717BA">
      <w:pPr>
        <w:bidi/>
        <w:spacing w:line="360" w:lineRule="auto"/>
        <w:ind w:left="-199" w:right="-284"/>
        <w:jc w:val="both"/>
        <w:rPr>
          <w:rFonts w:cs="David"/>
          <w:sz w:val="24"/>
          <w:szCs w:val="24"/>
          <w:rtl/>
        </w:rPr>
      </w:pPr>
    </w:p>
    <w:p w:rsidR="006717BA" w:rsidRPr="00331A87" w:rsidRDefault="006717BA" w:rsidP="006717BA">
      <w:pPr>
        <w:bidi/>
        <w:spacing w:line="360" w:lineRule="auto"/>
        <w:ind w:left="-199" w:right="-284"/>
        <w:jc w:val="both"/>
        <w:rPr>
          <w:rFonts w:cs="David"/>
          <w:sz w:val="24"/>
          <w:szCs w:val="24"/>
          <w:rtl/>
        </w:rPr>
      </w:pPr>
      <w:r w:rsidRPr="00331A87">
        <w:rPr>
          <w:rFonts w:cs="David"/>
          <w:sz w:val="24"/>
          <w:szCs w:val="24"/>
          <w:rtl/>
        </w:rPr>
        <w:t xml:space="preserve">נגידת בנק ישראל, ד"ר קרנית </w:t>
      </w:r>
      <w:proofErr w:type="spellStart"/>
      <w:r w:rsidRPr="00331A87">
        <w:rPr>
          <w:rFonts w:cs="David"/>
          <w:sz w:val="24"/>
          <w:szCs w:val="24"/>
          <w:rtl/>
        </w:rPr>
        <w:t>פלוג</w:t>
      </w:r>
      <w:proofErr w:type="spellEnd"/>
      <w:r w:rsidRPr="00331A87">
        <w:rPr>
          <w:rFonts w:cs="David"/>
          <w:sz w:val="24"/>
          <w:szCs w:val="24"/>
          <w:rtl/>
        </w:rPr>
        <w:t xml:space="preserve">: </w:t>
      </w:r>
      <w:r>
        <w:rPr>
          <w:rFonts w:cs="David" w:hint="cs"/>
          <w:sz w:val="24"/>
          <w:szCs w:val="24"/>
          <w:rtl/>
        </w:rPr>
        <w:t>"</w:t>
      </w:r>
      <w:r w:rsidRPr="00331A87">
        <w:rPr>
          <w:rFonts w:cs="David"/>
          <w:sz w:val="24"/>
          <w:szCs w:val="24"/>
          <w:rtl/>
        </w:rPr>
        <w:t>מדיניות תגמול הוגנת וסבירה, אשר איננה מעודדת לקיחת סיכונים מיותרים ואשר מחזקת את אמון הציבור בבנקים, הנה נדבך חשוב ב</w:t>
      </w:r>
      <w:r>
        <w:rPr>
          <w:rFonts w:cs="David"/>
          <w:sz w:val="24"/>
          <w:szCs w:val="24"/>
          <w:rtl/>
        </w:rPr>
        <w:t>יציבות המערכת הבנקאית והפיננסית</w:t>
      </w:r>
      <w:r>
        <w:rPr>
          <w:rFonts w:cs="David" w:hint="cs"/>
          <w:sz w:val="24"/>
          <w:szCs w:val="24"/>
          <w:rtl/>
        </w:rPr>
        <w:t>".</w:t>
      </w:r>
    </w:p>
    <w:p w:rsidR="006717BA" w:rsidRPr="007E18EE" w:rsidRDefault="006717BA" w:rsidP="006717BA">
      <w:pPr>
        <w:bidi/>
        <w:spacing w:line="360" w:lineRule="auto"/>
        <w:ind w:right="-101"/>
        <w:rPr>
          <w:rFonts w:cs="David"/>
          <w:sz w:val="24"/>
          <w:szCs w:val="24"/>
        </w:rPr>
      </w:pPr>
    </w:p>
    <w:sectPr w:rsidR="006717BA" w:rsidRPr="007E18EE" w:rsidSect="00AE5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6B" w:rsidRDefault="00C04A6B" w:rsidP="00C04A6B">
      <w:r>
        <w:separator/>
      </w:r>
    </w:p>
  </w:endnote>
  <w:endnote w:type="continuationSeparator" w:id="0">
    <w:p w:rsidR="00C04A6B" w:rsidRDefault="00C04A6B" w:rsidP="00C0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</w:rPr>
      <w:id w:val="1001085329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cs="David"/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2438E2" w:rsidRPr="002438E2" w:rsidRDefault="002438E2" w:rsidP="00FD4DC2">
            <w:pPr>
              <w:pStyle w:val="a7"/>
              <w:tabs>
                <w:tab w:val="clear" w:pos="8306"/>
                <w:tab w:val="right" w:pos="8873"/>
              </w:tabs>
              <w:bidi/>
              <w:ind w:left="-625"/>
              <w:jc w:val="right"/>
              <w:rPr>
                <w:rFonts w:cs="David"/>
                <w:rtl/>
                <w:cs/>
              </w:rPr>
            </w:pPr>
            <w:r>
              <w:rPr>
                <w:rFonts w:cs="David" w:hint="cs"/>
                <w:rtl/>
                <w:cs/>
                <w:lang w:val="he-IL"/>
              </w:rPr>
              <w:tab/>
            </w:r>
            <w:r>
              <w:rPr>
                <w:rFonts w:cs="David" w:hint="cs"/>
                <w:rtl/>
                <w:cs/>
                <w:lang w:val="he-IL"/>
              </w:rPr>
              <w:tab/>
            </w:r>
            <w:r w:rsidRPr="002438E2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2438E2">
              <w:rPr>
                <w:rFonts w:cs="David"/>
                <w:b/>
                <w:bCs/>
              </w:rPr>
              <w:fldChar w:fldCharType="begin"/>
            </w:r>
            <w:r w:rsidRPr="002438E2">
              <w:rPr>
                <w:rFonts w:cs="David"/>
                <w:b/>
                <w:bCs/>
                <w:rtl/>
                <w:cs/>
              </w:rPr>
              <w:instrText>PAGE</w:instrText>
            </w:r>
            <w:r w:rsidRPr="002438E2">
              <w:rPr>
                <w:rFonts w:cs="David"/>
                <w:b/>
                <w:bCs/>
              </w:rPr>
              <w:fldChar w:fldCharType="separate"/>
            </w:r>
            <w:r w:rsidR="007E142F">
              <w:rPr>
                <w:rFonts w:cs="David"/>
                <w:b/>
                <w:bCs/>
                <w:noProof/>
                <w:rtl/>
              </w:rPr>
              <w:t>1</w:t>
            </w:r>
            <w:r w:rsidRPr="002438E2">
              <w:rPr>
                <w:rFonts w:cs="David"/>
                <w:b/>
                <w:bCs/>
              </w:rPr>
              <w:fldChar w:fldCharType="end"/>
            </w:r>
            <w:r w:rsidRPr="002438E2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2438E2">
              <w:rPr>
                <w:rFonts w:cs="David"/>
                <w:b/>
                <w:bCs/>
              </w:rPr>
              <w:fldChar w:fldCharType="begin"/>
            </w:r>
            <w:r w:rsidRPr="002438E2">
              <w:rPr>
                <w:rFonts w:cs="David"/>
                <w:b/>
                <w:bCs/>
                <w:rtl/>
                <w:cs/>
              </w:rPr>
              <w:instrText>NUMPAGES</w:instrText>
            </w:r>
            <w:r w:rsidRPr="002438E2">
              <w:rPr>
                <w:rFonts w:cs="David"/>
                <w:b/>
                <w:bCs/>
              </w:rPr>
              <w:fldChar w:fldCharType="separate"/>
            </w:r>
            <w:r w:rsidR="007E142F">
              <w:rPr>
                <w:rFonts w:cs="David"/>
                <w:b/>
                <w:bCs/>
                <w:noProof/>
                <w:rtl/>
              </w:rPr>
              <w:t>1</w:t>
            </w:r>
            <w:r w:rsidRPr="002438E2">
              <w:rPr>
                <w:rFonts w:cs="David"/>
                <w:b/>
                <w:bCs/>
              </w:rPr>
              <w:fldChar w:fldCharType="end"/>
            </w:r>
          </w:p>
        </w:sdtContent>
      </w:sdt>
    </w:sdtContent>
  </w:sdt>
  <w:p w:rsidR="00C04A6B" w:rsidRDefault="00C04A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6B" w:rsidRDefault="00C04A6B" w:rsidP="00C04A6B">
      <w:r>
        <w:separator/>
      </w:r>
    </w:p>
  </w:footnote>
  <w:footnote w:type="continuationSeparator" w:id="0">
    <w:p w:rsidR="00C04A6B" w:rsidRDefault="00C04A6B" w:rsidP="00C04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3"/>
    <w:rsid w:val="00016D86"/>
    <w:rsid w:val="00115A82"/>
    <w:rsid w:val="00177686"/>
    <w:rsid w:val="00180E8A"/>
    <w:rsid w:val="001D7646"/>
    <w:rsid w:val="001E5A00"/>
    <w:rsid w:val="002438E2"/>
    <w:rsid w:val="002B3FB0"/>
    <w:rsid w:val="003537B9"/>
    <w:rsid w:val="003901E0"/>
    <w:rsid w:val="00420F93"/>
    <w:rsid w:val="0044713E"/>
    <w:rsid w:val="004625EB"/>
    <w:rsid w:val="004B5D8D"/>
    <w:rsid w:val="004F06E0"/>
    <w:rsid w:val="00502068"/>
    <w:rsid w:val="00614095"/>
    <w:rsid w:val="006717BA"/>
    <w:rsid w:val="006C01FB"/>
    <w:rsid w:val="00762D5A"/>
    <w:rsid w:val="007E142F"/>
    <w:rsid w:val="007E18EE"/>
    <w:rsid w:val="00826810"/>
    <w:rsid w:val="00852D44"/>
    <w:rsid w:val="0086330B"/>
    <w:rsid w:val="00881EF7"/>
    <w:rsid w:val="008B55E9"/>
    <w:rsid w:val="00961EFC"/>
    <w:rsid w:val="009818C2"/>
    <w:rsid w:val="009C16BD"/>
    <w:rsid w:val="009F5C5A"/>
    <w:rsid w:val="00A57161"/>
    <w:rsid w:val="00AA51B0"/>
    <w:rsid w:val="00AA7ED7"/>
    <w:rsid w:val="00AB409F"/>
    <w:rsid w:val="00AD759C"/>
    <w:rsid w:val="00AE591E"/>
    <w:rsid w:val="00B058F3"/>
    <w:rsid w:val="00B2503D"/>
    <w:rsid w:val="00B84BD7"/>
    <w:rsid w:val="00BA1466"/>
    <w:rsid w:val="00BE235C"/>
    <w:rsid w:val="00BE49A2"/>
    <w:rsid w:val="00C04A6B"/>
    <w:rsid w:val="00C25C1C"/>
    <w:rsid w:val="00C45C9C"/>
    <w:rsid w:val="00C656C3"/>
    <w:rsid w:val="00C84B20"/>
    <w:rsid w:val="00CB1B2B"/>
    <w:rsid w:val="00D3721C"/>
    <w:rsid w:val="00D87DC1"/>
    <w:rsid w:val="00DD5923"/>
    <w:rsid w:val="00E85E11"/>
    <w:rsid w:val="00ED153D"/>
    <w:rsid w:val="00F96916"/>
    <w:rsid w:val="00FD4DC2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6717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23"/>
    <w:pPr>
      <w:spacing w:after="0" w:line="240" w:lineRule="auto"/>
    </w:pPr>
    <w:rPr>
      <w:rFonts w:ascii="Times New Roman" w:eastAsia="Times New Roman" w:hAnsi="Times New Roman" w:cs="Miriam"/>
      <w:sz w:val="20"/>
      <w:szCs w:val="20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923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DD5923"/>
    <w:rPr>
      <w:rFonts w:ascii="Tahoma" w:eastAsia="Times New Roman" w:hAnsi="Tahoma" w:cs="Tahoma"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paragraph" w:styleId="a7">
    <w:name w:val="footer"/>
    <w:basedOn w:val="a"/>
    <w:link w:val="a8"/>
    <w:uiPriority w:val="99"/>
    <w:unhideWhenUsed/>
    <w:rsid w:val="00C04A6B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C04A6B"/>
    <w:rPr>
      <w:rFonts w:ascii="Times New Roman" w:eastAsia="Times New Roman" w:hAnsi="Times New Roman" w:cs="Miriam"/>
      <w:sz w:val="20"/>
      <w:szCs w:val="20"/>
      <w:lang w:eastAsia="he-IL"/>
    </w:rPr>
  </w:style>
  <w:style w:type="character" w:styleId="Hyperlink">
    <w:name w:val="Hyperlink"/>
    <w:basedOn w:val="a0"/>
    <w:uiPriority w:val="99"/>
    <w:unhideWhenUsed/>
    <w:rsid w:val="006717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boi.org.il/he/NewsAndPublications/PressReleases/Pages/27-08-2013-Tagmul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0F72C9-9CB2-4408-AFBA-9F1CBA2AE777}"/>
</file>

<file path=customXml/itemProps2.xml><?xml version="1.0" encoding="utf-8"?>
<ds:datastoreItem xmlns:ds="http://schemas.openxmlformats.org/officeDocument/2006/customXml" ds:itemID="{94BA1AEB-0AC5-42DE-9928-B3DEFFB33189}"/>
</file>

<file path=customXml/itemProps3.xml><?xml version="1.0" encoding="utf-8"?>
<ds:datastoreItem xmlns:ds="http://schemas.openxmlformats.org/officeDocument/2006/customXml" ds:itemID="{8F43BA13-28B0-46FF-8CC3-D434ADAAE6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2013-11-19T11:31:00Z</dcterms:created>
  <dcterms:modified xsi:type="dcterms:W3CDTF">2013-11-19T11:50:00Z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