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B73760" w:rsidRPr="00611CC0" w14:paraId="790F68BC" w14:textId="77777777" w:rsidTr="00C20CE9">
        <w:tc>
          <w:tcPr>
            <w:tcW w:w="3343" w:type="dxa"/>
            <w:tcBorders>
              <w:top w:val="nil"/>
              <w:left w:val="nil"/>
              <w:bottom w:val="nil"/>
              <w:right w:val="nil"/>
            </w:tcBorders>
            <w:vAlign w:val="center"/>
          </w:tcPr>
          <w:p w14:paraId="0DD40AAF" w14:textId="77777777" w:rsidR="00B73760" w:rsidRPr="00611CC0" w:rsidRDefault="00B73760" w:rsidP="00C20CE9">
            <w:pPr>
              <w:pStyle w:val="af1"/>
              <w:spacing w:line="360" w:lineRule="auto"/>
              <w:ind w:left="501"/>
              <w:jc w:val="center"/>
              <w:rPr>
                <w:rFonts w:ascii="Calibri" w:hAnsi="Calibri" w:cs="Calibri"/>
                <w:b/>
                <w:bCs/>
                <w:sz w:val="28"/>
                <w:szCs w:val="28"/>
              </w:rPr>
            </w:pPr>
            <w:r w:rsidRPr="00611CC0">
              <w:rPr>
                <w:rFonts w:ascii="Calibri" w:hAnsi="Calibri" w:cs="Calibri"/>
                <w:b/>
                <w:bCs/>
                <w:sz w:val="28"/>
                <w:szCs w:val="28"/>
                <w:rtl/>
              </w:rPr>
              <w:t>בנק ישראל</w:t>
            </w:r>
          </w:p>
          <w:p w14:paraId="1AAAA442" w14:textId="77777777" w:rsidR="00B73760" w:rsidRPr="00611CC0" w:rsidRDefault="00B73760" w:rsidP="00C20CE9">
            <w:pPr>
              <w:pStyle w:val="af1"/>
              <w:spacing w:line="360" w:lineRule="auto"/>
              <w:ind w:left="501" w:right="-101"/>
              <w:jc w:val="center"/>
              <w:rPr>
                <w:rFonts w:ascii="Calibri" w:hAnsi="Calibri" w:cs="Calibri"/>
              </w:rPr>
            </w:pPr>
            <w:r w:rsidRPr="00611CC0">
              <w:rPr>
                <w:rFonts w:ascii="Calibri" w:hAnsi="Calibri" w:cs="Calibri"/>
                <w:sz w:val="24"/>
                <w:szCs w:val="24"/>
                <w:rtl/>
              </w:rPr>
              <w:t>דוברות והסברה כלכלית</w:t>
            </w:r>
          </w:p>
        </w:tc>
        <w:tc>
          <w:tcPr>
            <w:tcW w:w="2596" w:type="dxa"/>
            <w:tcBorders>
              <w:top w:val="nil"/>
              <w:left w:val="nil"/>
              <w:bottom w:val="nil"/>
              <w:right w:val="nil"/>
            </w:tcBorders>
            <w:shd w:val="clear" w:color="auto" w:fill="FFFFFF"/>
          </w:tcPr>
          <w:p w14:paraId="1F6C32CC" w14:textId="77777777" w:rsidR="00B73760" w:rsidRPr="00611CC0" w:rsidRDefault="00B73760" w:rsidP="00C20CE9">
            <w:pPr>
              <w:jc w:val="center"/>
              <w:rPr>
                <w:rFonts w:ascii="Calibri" w:hAnsi="Calibri" w:cs="Calibri"/>
              </w:rPr>
            </w:pPr>
            <w:r w:rsidRPr="00611CC0">
              <w:rPr>
                <w:rFonts w:ascii="Calibri" w:hAnsi="Calibri" w:cs="Calibri"/>
                <w:noProof/>
              </w:rPr>
              <w:drawing>
                <wp:inline distT="0" distB="0" distL="0" distR="0" wp14:anchorId="5F31E690" wp14:editId="1866FC4E">
                  <wp:extent cx="842645" cy="842645"/>
                  <wp:effectExtent l="0" t="0" r="0" b="0"/>
                  <wp:docPr id="1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inline>
              </w:drawing>
            </w:r>
          </w:p>
        </w:tc>
        <w:tc>
          <w:tcPr>
            <w:tcW w:w="3591" w:type="dxa"/>
            <w:tcBorders>
              <w:top w:val="nil"/>
              <w:left w:val="nil"/>
              <w:bottom w:val="nil"/>
              <w:right w:val="nil"/>
            </w:tcBorders>
            <w:vAlign w:val="center"/>
          </w:tcPr>
          <w:p w14:paraId="14E58624" w14:textId="77777777" w:rsidR="00B73760" w:rsidRPr="00611CC0" w:rsidRDefault="00B73760" w:rsidP="00C20CE9">
            <w:pPr>
              <w:spacing w:line="480" w:lineRule="auto"/>
              <w:jc w:val="right"/>
              <w:rPr>
                <w:rFonts w:ascii="Calibri" w:hAnsi="Calibri" w:cs="Calibri"/>
              </w:rPr>
            </w:pPr>
            <w:r w:rsidRPr="00611CC0">
              <w:rPr>
                <w:rFonts w:ascii="Calibri" w:hAnsi="Calibri" w:cs="Calibri"/>
                <w:rtl/>
              </w:rPr>
              <w:t>‏ירושלים,‏ ד' באייר, תשפ"ד</w:t>
            </w:r>
          </w:p>
          <w:p w14:paraId="4457D83D" w14:textId="77777777" w:rsidR="00B73760" w:rsidRPr="00611CC0" w:rsidRDefault="00B73760" w:rsidP="00C20CE9">
            <w:pPr>
              <w:spacing w:line="480" w:lineRule="auto"/>
              <w:jc w:val="right"/>
              <w:rPr>
                <w:rFonts w:ascii="Calibri" w:hAnsi="Calibri" w:cs="Calibri"/>
              </w:rPr>
            </w:pPr>
            <w:r w:rsidRPr="00611CC0">
              <w:rPr>
                <w:rFonts w:ascii="Calibri" w:hAnsi="Calibri" w:cs="Calibri"/>
                <w:rtl/>
              </w:rPr>
              <w:t>‏‏12 מאי, 2024</w:t>
            </w:r>
          </w:p>
        </w:tc>
      </w:tr>
    </w:tbl>
    <w:p w14:paraId="69CAA30A" w14:textId="41E9F595" w:rsidR="00F3360A" w:rsidRPr="00B73760" w:rsidRDefault="00F3360A" w:rsidP="00F3360A">
      <w:pPr>
        <w:spacing w:line="360" w:lineRule="auto"/>
        <w:rPr>
          <w:rFonts w:ascii="Calibri" w:hAnsi="Calibri" w:cs="Calibri"/>
          <w:b/>
          <w:bCs/>
          <w:sz w:val="28"/>
          <w:szCs w:val="28"/>
          <w:rtl/>
        </w:rPr>
      </w:pPr>
      <w:r w:rsidRPr="00B73760">
        <w:rPr>
          <w:rFonts w:ascii="Calibri" w:hAnsi="Calibri" w:cs="Calibri"/>
          <w:b/>
          <w:bCs/>
          <w:sz w:val="28"/>
          <w:szCs w:val="28"/>
          <w:rtl/>
        </w:rPr>
        <w:t xml:space="preserve">הודעה לעיתונות: </w:t>
      </w:r>
    </w:p>
    <w:p w14:paraId="4A2534E3" w14:textId="5D5036C2" w:rsidR="00FA1BC8" w:rsidRPr="00AF733B" w:rsidRDefault="00814D95" w:rsidP="00AF733B">
      <w:pPr>
        <w:spacing w:line="360" w:lineRule="auto"/>
        <w:jc w:val="center"/>
        <w:rPr>
          <w:rFonts w:ascii="Calibri" w:hAnsi="Calibri" w:cs="Calibri"/>
          <w:b/>
          <w:bCs/>
          <w:sz w:val="28"/>
          <w:szCs w:val="28"/>
        </w:rPr>
      </w:pPr>
      <w:r w:rsidRPr="00B73760">
        <w:rPr>
          <w:rFonts w:ascii="Calibri" w:hAnsi="Calibri" w:cs="Calibri"/>
          <w:b/>
          <w:bCs/>
          <w:sz w:val="28"/>
          <w:szCs w:val="28"/>
          <w:rtl/>
        </w:rPr>
        <w:t xml:space="preserve">הפיקוח על הבנקים הטיל עיצום כספי </w:t>
      </w:r>
      <w:r w:rsidR="00C760A2" w:rsidRPr="00B73760">
        <w:rPr>
          <w:rFonts w:ascii="Calibri" w:hAnsi="Calibri" w:cs="Calibri"/>
          <w:b/>
          <w:bCs/>
          <w:sz w:val="28"/>
          <w:szCs w:val="28"/>
          <w:rtl/>
        </w:rPr>
        <w:t xml:space="preserve">בסך 700,000 ש"ח </w:t>
      </w:r>
      <w:r w:rsidRPr="00B73760">
        <w:rPr>
          <w:rFonts w:ascii="Calibri" w:hAnsi="Calibri" w:cs="Calibri"/>
          <w:b/>
          <w:bCs/>
          <w:sz w:val="28"/>
          <w:szCs w:val="28"/>
          <w:rtl/>
        </w:rPr>
        <w:t>על חברת ישראכרט בשל</w:t>
      </w:r>
      <w:r w:rsidR="00FA1BC8" w:rsidRPr="00B73760">
        <w:rPr>
          <w:rFonts w:ascii="Calibri" w:hAnsi="Calibri" w:cs="Calibri"/>
          <w:b/>
          <w:bCs/>
          <w:sz w:val="28"/>
          <w:szCs w:val="28"/>
          <w:rtl/>
        </w:rPr>
        <w:t xml:space="preserve"> שימוש בטכנולוגיה לזיהוי ואימות </w:t>
      </w:r>
      <w:r w:rsidR="007465E5" w:rsidRPr="00B73760">
        <w:rPr>
          <w:rFonts w:ascii="Calibri" w:hAnsi="Calibri" w:cs="Calibri"/>
          <w:b/>
          <w:bCs/>
          <w:sz w:val="28"/>
          <w:szCs w:val="28"/>
          <w:rtl/>
        </w:rPr>
        <w:t xml:space="preserve">חזותיים </w:t>
      </w:r>
      <w:r w:rsidR="00FA1BC8" w:rsidRPr="00B73760">
        <w:rPr>
          <w:rFonts w:ascii="Calibri" w:hAnsi="Calibri" w:cs="Calibri"/>
          <w:b/>
          <w:bCs/>
          <w:sz w:val="28"/>
          <w:szCs w:val="28"/>
          <w:rtl/>
        </w:rPr>
        <w:t>מרחוק לפתיחת חשבון מקוון, ללא קבלת היתר מהפיקוח על הבנקים</w:t>
      </w:r>
    </w:p>
    <w:p w14:paraId="1E9FBB18" w14:textId="22B18015" w:rsidR="00C760A2" w:rsidRPr="00B73760" w:rsidRDefault="00C760A2" w:rsidP="00F3360A">
      <w:pPr>
        <w:spacing w:line="360" w:lineRule="auto"/>
        <w:jc w:val="both"/>
        <w:rPr>
          <w:rFonts w:ascii="Calibri" w:hAnsi="Calibri" w:cs="Calibri"/>
          <w:sz w:val="24"/>
          <w:szCs w:val="24"/>
          <w:rtl/>
        </w:rPr>
      </w:pPr>
      <w:r w:rsidRPr="00B73760">
        <w:rPr>
          <w:rFonts w:ascii="Calibri" w:hAnsi="Calibri" w:cs="Calibri"/>
          <w:sz w:val="24"/>
          <w:szCs w:val="24"/>
          <w:rtl/>
        </w:rPr>
        <w:t xml:space="preserve">בבדיקת הפיקוח על הבנקים עלה, כי חברת ישראכרט עושה שימוש בטכנולוגיה לזיהוי ואימות חזותיים מרחוק, לצורך פתיחת חשבון מקוון לצורך מתן הלוואות ולצורך מתן שירותי סליקה לעוסקים מורשים, מבלי שהודיעה לפיקוח על הבנקים כנדרש בסעיף </w:t>
      </w:r>
      <w:r w:rsidRPr="00B73760">
        <w:rPr>
          <w:rStyle w:val="af0"/>
          <w:rFonts w:ascii="Calibri" w:hAnsi="Calibri" w:cs="Calibri"/>
          <w:sz w:val="24"/>
          <w:szCs w:val="24"/>
          <w:rtl/>
        </w:rPr>
        <w:footnoteReference w:id="1"/>
      </w:r>
      <w:r w:rsidRPr="00B73760">
        <w:rPr>
          <w:rFonts w:ascii="Calibri" w:hAnsi="Calibri" w:cs="Calibri"/>
          <w:sz w:val="24"/>
          <w:szCs w:val="24"/>
          <w:rtl/>
        </w:rPr>
        <w:t xml:space="preserve">76 להוראת ניהול בנקאי תקין 367 וממילא מבלי שקיבלה אישורו, כאמור בהוראה. </w:t>
      </w:r>
      <w:r w:rsidRPr="00B73760">
        <w:rPr>
          <w:rFonts w:ascii="Calibri" w:hAnsi="Calibri" w:cs="Calibri"/>
          <w:b/>
          <w:bCs/>
          <w:sz w:val="24"/>
          <w:szCs w:val="24"/>
          <w:rtl/>
        </w:rPr>
        <w:t>לאור זאת, החליט הפיקוח על הבנקים להטיל על חברת ישראכרט עיצום כספי בסך 700,000 ₪</w:t>
      </w:r>
      <w:r w:rsidR="00012EFE" w:rsidRPr="00B73760">
        <w:rPr>
          <w:rStyle w:val="af0"/>
          <w:rFonts w:ascii="Calibri" w:hAnsi="Calibri" w:cs="Calibri"/>
          <w:b/>
          <w:bCs/>
          <w:sz w:val="24"/>
          <w:szCs w:val="24"/>
          <w:rtl/>
        </w:rPr>
        <w:footnoteReference w:id="2"/>
      </w:r>
      <w:r w:rsidRPr="00B73760">
        <w:rPr>
          <w:rFonts w:ascii="Calibri" w:hAnsi="Calibri" w:cs="Calibri"/>
          <w:b/>
          <w:bCs/>
          <w:sz w:val="24"/>
          <w:szCs w:val="24"/>
          <w:rtl/>
        </w:rPr>
        <w:t xml:space="preserve">. </w:t>
      </w:r>
    </w:p>
    <w:p w14:paraId="106AC9E0" w14:textId="145238A4" w:rsidR="0070196D" w:rsidRPr="00B73760" w:rsidRDefault="0070196D" w:rsidP="00F3360A">
      <w:pPr>
        <w:spacing w:line="360" w:lineRule="auto"/>
        <w:jc w:val="both"/>
        <w:rPr>
          <w:rFonts w:ascii="Calibri" w:hAnsi="Calibri" w:cs="Calibri"/>
          <w:sz w:val="24"/>
          <w:szCs w:val="24"/>
          <w:rtl/>
        </w:rPr>
      </w:pPr>
      <w:r w:rsidRPr="00B73760">
        <w:rPr>
          <w:rFonts w:ascii="Calibri" w:hAnsi="Calibri" w:cs="Calibri"/>
          <w:sz w:val="24"/>
          <w:szCs w:val="24"/>
          <w:rtl/>
        </w:rPr>
        <w:t>הפיקוח על הבנקים רואה חשיבות רבה בשימוש בעולם הבנקאות באמצעים דיגיטליים חדשנ</w:t>
      </w:r>
      <w:r w:rsidR="00F3360A" w:rsidRPr="00B73760">
        <w:rPr>
          <w:rFonts w:ascii="Calibri" w:hAnsi="Calibri" w:cs="Calibri"/>
          <w:sz w:val="24"/>
          <w:szCs w:val="24"/>
          <w:rtl/>
        </w:rPr>
        <w:t>י</w:t>
      </w:r>
      <w:r w:rsidRPr="00B73760">
        <w:rPr>
          <w:rFonts w:ascii="Calibri" w:hAnsi="Calibri" w:cs="Calibri"/>
          <w:sz w:val="24"/>
          <w:szCs w:val="24"/>
          <w:rtl/>
        </w:rPr>
        <w:t>ים ובטכנולוגיה מתקדמת, תוך בקרות נאותות למניעת ניצול הטכנולוגיה לביצוע הונאות</w:t>
      </w:r>
      <w:r w:rsidR="00F3360A" w:rsidRPr="00B73760">
        <w:rPr>
          <w:rFonts w:ascii="Calibri" w:hAnsi="Calibri" w:cs="Calibri"/>
          <w:sz w:val="24"/>
          <w:szCs w:val="24"/>
          <w:rtl/>
        </w:rPr>
        <w:t xml:space="preserve">, </w:t>
      </w:r>
      <w:r w:rsidRPr="00B73760">
        <w:rPr>
          <w:rFonts w:ascii="Calibri" w:hAnsi="Calibri" w:cs="Calibri"/>
          <w:sz w:val="24"/>
          <w:szCs w:val="24"/>
          <w:rtl/>
        </w:rPr>
        <w:t>התחזות, ועמידה בחוקים ה</w:t>
      </w:r>
      <w:r w:rsidR="00CB5774" w:rsidRPr="00B73760">
        <w:rPr>
          <w:rFonts w:ascii="Calibri" w:hAnsi="Calibri" w:cs="Calibri"/>
          <w:sz w:val="24"/>
          <w:szCs w:val="24"/>
          <w:rtl/>
        </w:rPr>
        <w:t>מוטמעים בתהליכי העבודה</w:t>
      </w:r>
      <w:r w:rsidRPr="00B73760">
        <w:rPr>
          <w:rFonts w:ascii="Calibri" w:hAnsi="Calibri" w:cs="Calibri"/>
          <w:sz w:val="24"/>
          <w:szCs w:val="24"/>
          <w:rtl/>
        </w:rPr>
        <w:t xml:space="preserve"> בעולם </w:t>
      </w:r>
      <w:r w:rsidR="00CB5774" w:rsidRPr="00B73760">
        <w:rPr>
          <w:rFonts w:ascii="Calibri" w:hAnsi="Calibri" w:cs="Calibri"/>
          <w:sz w:val="24"/>
          <w:szCs w:val="24"/>
          <w:rtl/>
        </w:rPr>
        <w:t>שאינו מקוון</w:t>
      </w:r>
      <w:r w:rsidRPr="00B73760">
        <w:rPr>
          <w:rFonts w:ascii="Calibri" w:hAnsi="Calibri" w:cs="Calibri"/>
          <w:sz w:val="24"/>
          <w:szCs w:val="24"/>
          <w:rtl/>
        </w:rPr>
        <w:t>, לרבות עמידה בצו איסור הלבנת הון</w:t>
      </w:r>
      <w:r w:rsidR="00846F39" w:rsidRPr="00B73760">
        <w:rPr>
          <w:rFonts w:ascii="Calibri" w:hAnsi="Calibri" w:cs="Calibri"/>
          <w:sz w:val="24"/>
          <w:szCs w:val="24"/>
          <w:rtl/>
        </w:rPr>
        <w:t xml:space="preserve"> וקיום תיעוד נאות</w:t>
      </w:r>
      <w:r w:rsidRPr="00B73760">
        <w:rPr>
          <w:rFonts w:ascii="Calibri" w:hAnsi="Calibri" w:cs="Calibri"/>
          <w:sz w:val="24"/>
          <w:szCs w:val="24"/>
          <w:rtl/>
        </w:rPr>
        <w:t xml:space="preserve">.   </w:t>
      </w:r>
    </w:p>
    <w:p w14:paraId="6BCF4EF2" w14:textId="1F20B579" w:rsidR="00090B71" w:rsidRPr="00B73760" w:rsidRDefault="002B7743" w:rsidP="00F3360A">
      <w:pPr>
        <w:spacing w:line="360" w:lineRule="auto"/>
        <w:jc w:val="both"/>
        <w:rPr>
          <w:rFonts w:ascii="Calibri" w:hAnsi="Calibri" w:cs="Calibri"/>
          <w:sz w:val="24"/>
          <w:szCs w:val="24"/>
          <w:rtl/>
        </w:rPr>
      </w:pPr>
      <w:r w:rsidRPr="00B73760">
        <w:rPr>
          <w:rFonts w:ascii="Calibri" w:hAnsi="Calibri" w:cs="Calibri"/>
          <w:sz w:val="24"/>
          <w:szCs w:val="24"/>
          <w:rtl/>
        </w:rPr>
        <w:t xml:space="preserve">לצורך כך, ומתוך מטרה </w:t>
      </w:r>
      <w:r w:rsidR="0072396D" w:rsidRPr="00B73760">
        <w:rPr>
          <w:rFonts w:ascii="Calibri" w:hAnsi="Calibri" w:cs="Calibri"/>
          <w:sz w:val="24"/>
          <w:szCs w:val="24"/>
          <w:rtl/>
        </w:rPr>
        <w:t>ו</w:t>
      </w:r>
      <w:r w:rsidRPr="00B73760">
        <w:rPr>
          <w:rFonts w:ascii="Calibri" w:hAnsi="Calibri" w:cs="Calibri"/>
          <w:sz w:val="24"/>
          <w:szCs w:val="24"/>
          <w:rtl/>
        </w:rPr>
        <w:t xml:space="preserve">רצון לפשט את תהליך הזיהוי והאימות בפתיחת חשבון מקוון ככל שניתן, קידם הפיקוח על הבנקים בשנת 2018 </w:t>
      </w:r>
      <w:r w:rsidR="00090B71" w:rsidRPr="00B73760">
        <w:rPr>
          <w:rFonts w:ascii="Calibri" w:hAnsi="Calibri" w:cs="Calibri"/>
          <w:sz w:val="24"/>
          <w:szCs w:val="24"/>
          <w:rtl/>
        </w:rPr>
        <w:t>תיקון להוראת ניהול בנקאי תקין מס' 367 "בנקאות בתקשורת", בנושא פתיחת חשבון מקוון</w:t>
      </w:r>
      <w:r w:rsidRPr="00B73760">
        <w:rPr>
          <w:rFonts w:ascii="Calibri" w:hAnsi="Calibri" w:cs="Calibri"/>
          <w:sz w:val="24"/>
          <w:szCs w:val="24"/>
          <w:rtl/>
        </w:rPr>
        <w:t xml:space="preserve"> ה</w:t>
      </w:r>
      <w:r w:rsidR="00090B71" w:rsidRPr="00B73760">
        <w:rPr>
          <w:rFonts w:ascii="Calibri" w:hAnsi="Calibri" w:cs="Calibri"/>
          <w:sz w:val="24"/>
          <w:szCs w:val="24"/>
          <w:rtl/>
        </w:rPr>
        <w:t>מאפשר לתאגידים הבנקאיים פתיחת חשבונות מקוונים תוך שימוש בטכנולוגיה לזיהוי ואימות חזותיים מרחוק</w:t>
      </w:r>
      <w:r w:rsidRPr="00B73760">
        <w:rPr>
          <w:rFonts w:ascii="Calibri" w:hAnsi="Calibri" w:cs="Calibri"/>
          <w:sz w:val="24"/>
          <w:szCs w:val="24"/>
          <w:rtl/>
        </w:rPr>
        <w:t>,</w:t>
      </w:r>
      <w:r w:rsidR="00090B71" w:rsidRPr="00B73760">
        <w:rPr>
          <w:rFonts w:ascii="Calibri" w:hAnsi="Calibri" w:cs="Calibri"/>
          <w:sz w:val="24"/>
          <w:szCs w:val="24"/>
          <w:rtl/>
        </w:rPr>
        <w:t xml:space="preserve"> בכפוף לבקרות מתאימות</w:t>
      </w:r>
      <w:r w:rsidR="00C7236D" w:rsidRPr="00B73760">
        <w:rPr>
          <w:rFonts w:ascii="Calibri" w:hAnsi="Calibri" w:cs="Calibri"/>
          <w:sz w:val="24"/>
          <w:szCs w:val="24"/>
          <w:rtl/>
        </w:rPr>
        <w:t xml:space="preserve"> ובאישור מראש של הפיקוח על הבנקים</w:t>
      </w:r>
      <w:r w:rsidR="00C760A2" w:rsidRPr="00B73760">
        <w:rPr>
          <w:rFonts w:ascii="Calibri" w:hAnsi="Calibri" w:cs="Calibri"/>
          <w:sz w:val="24"/>
          <w:szCs w:val="24"/>
          <w:rtl/>
        </w:rPr>
        <w:t xml:space="preserve"> לקיום הפעילות</w:t>
      </w:r>
      <w:r w:rsidR="00C61AD4" w:rsidRPr="00B73760">
        <w:rPr>
          <w:rFonts w:ascii="Calibri" w:hAnsi="Calibri" w:cs="Calibri"/>
          <w:sz w:val="24"/>
          <w:szCs w:val="24"/>
          <w:rtl/>
        </w:rPr>
        <w:t>, לאחר וידוא כי מתקיימות הבקרות והעמידה בחוקים כאמור</w:t>
      </w:r>
      <w:r w:rsidR="00C7236D" w:rsidRPr="00B73760">
        <w:rPr>
          <w:rFonts w:ascii="Calibri" w:hAnsi="Calibri" w:cs="Calibri"/>
          <w:sz w:val="24"/>
          <w:szCs w:val="24"/>
          <w:rtl/>
        </w:rPr>
        <w:t>.</w:t>
      </w:r>
      <w:r w:rsidR="00090B71" w:rsidRPr="00B73760">
        <w:rPr>
          <w:rFonts w:ascii="Calibri" w:hAnsi="Calibri" w:cs="Calibri"/>
          <w:sz w:val="24"/>
          <w:szCs w:val="24"/>
          <w:rtl/>
        </w:rPr>
        <w:t xml:space="preserve"> </w:t>
      </w:r>
    </w:p>
    <w:p w14:paraId="59E50A63" w14:textId="5ACD04BE" w:rsidR="004F4447" w:rsidRPr="00B73760" w:rsidRDefault="00D12280" w:rsidP="004946E4">
      <w:pPr>
        <w:spacing w:line="360" w:lineRule="auto"/>
        <w:jc w:val="both"/>
        <w:rPr>
          <w:rFonts w:ascii="Calibri" w:hAnsi="Calibri" w:cs="Calibri"/>
          <w:b/>
          <w:bCs/>
          <w:sz w:val="24"/>
          <w:szCs w:val="24"/>
        </w:rPr>
      </w:pPr>
      <w:r w:rsidRPr="00B73760">
        <w:rPr>
          <w:rFonts w:ascii="Calibri" w:hAnsi="Calibri" w:cs="Calibri"/>
          <w:sz w:val="24"/>
          <w:szCs w:val="24"/>
          <w:rtl/>
        </w:rPr>
        <w:t>מר דני</w:t>
      </w:r>
      <w:r w:rsidR="00090B71" w:rsidRPr="00B73760">
        <w:rPr>
          <w:rFonts w:ascii="Calibri" w:hAnsi="Calibri" w:cs="Calibri"/>
          <w:sz w:val="24"/>
          <w:szCs w:val="24"/>
          <w:rtl/>
        </w:rPr>
        <w:t>אל</w:t>
      </w:r>
      <w:r w:rsidRPr="00B73760">
        <w:rPr>
          <w:rFonts w:ascii="Calibri" w:hAnsi="Calibri" w:cs="Calibri"/>
          <w:sz w:val="24"/>
          <w:szCs w:val="24"/>
          <w:rtl/>
        </w:rPr>
        <w:t xml:space="preserve"> </w:t>
      </w:r>
      <w:r w:rsidR="00F3360A" w:rsidRPr="00B73760">
        <w:rPr>
          <w:rFonts w:ascii="Calibri" w:hAnsi="Calibri" w:cs="Calibri"/>
          <w:sz w:val="24"/>
          <w:szCs w:val="24"/>
          <w:rtl/>
        </w:rPr>
        <w:t>חחיאשוילי</w:t>
      </w:r>
      <w:r w:rsidRPr="00B73760">
        <w:rPr>
          <w:rFonts w:ascii="Calibri" w:hAnsi="Calibri" w:cs="Calibri"/>
          <w:sz w:val="24"/>
          <w:szCs w:val="24"/>
          <w:rtl/>
        </w:rPr>
        <w:t>, המפקח על הבנקים</w:t>
      </w:r>
      <w:r w:rsidRPr="00B73760">
        <w:rPr>
          <w:rFonts w:ascii="Calibri" w:hAnsi="Calibri" w:cs="Calibri"/>
          <w:b/>
          <w:bCs/>
          <w:sz w:val="24"/>
          <w:szCs w:val="24"/>
          <w:rtl/>
        </w:rPr>
        <w:t xml:space="preserve">: " </w:t>
      </w:r>
      <w:r w:rsidR="004946E4" w:rsidRPr="00B73760">
        <w:rPr>
          <w:rFonts w:ascii="Calibri" w:hAnsi="Calibri" w:cs="Calibri"/>
          <w:b/>
          <w:bCs/>
          <w:sz w:val="24"/>
          <w:szCs w:val="24"/>
          <w:rtl/>
        </w:rPr>
        <w:t>הליך ה</w:t>
      </w:r>
      <w:r w:rsidRPr="00B73760">
        <w:rPr>
          <w:rFonts w:ascii="Calibri" w:hAnsi="Calibri" w:cs="Calibri"/>
          <w:b/>
          <w:bCs/>
          <w:sz w:val="24"/>
          <w:szCs w:val="24"/>
          <w:rtl/>
        </w:rPr>
        <w:t xml:space="preserve">דיגיטציה של מערכת הבנקאות בישראל </w:t>
      </w:r>
      <w:r w:rsidR="004946E4" w:rsidRPr="00B73760">
        <w:rPr>
          <w:rFonts w:ascii="Calibri" w:hAnsi="Calibri" w:cs="Calibri"/>
          <w:b/>
          <w:bCs/>
          <w:sz w:val="24"/>
          <w:szCs w:val="24"/>
          <w:rtl/>
        </w:rPr>
        <w:t xml:space="preserve">הינו הליך חשוב ומשמעותי, </w:t>
      </w:r>
      <w:r w:rsidRPr="00B73760">
        <w:rPr>
          <w:rFonts w:ascii="Calibri" w:hAnsi="Calibri" w:cs="Calibri"/>
          <w:b/>
          <w:bCs/>
          <w:sz w:val="24"/>
          <w:szCs w:val="24"/>
          <w:rtl/>
        </w:rPr>
        <w:t>הבא לידי ביטוי, בין היתר, בשיפור השירות ללקוח. יחד עם זאת</w:t>
      </w:r>
      <w:r w:rsidR="004946E4" w:rsidRPr="00B73760">
        <w:rPr>
          <w:rFonts w:ascii="Calibri" w:hAnsi="Calibri" w:cs="Calibri"/>
          <w:b/>
          <w:bCs/>
          <w:sz w:val="24"/>
          <w:szCs w:val="24"/>
          <w:rtl/>
        </w:rPr>
        <w:t>,</w:t>
      </w:r>
      <w:r w:rsidRPr="00B73760">
        <w:rPr>
          <w:rFonts w:ascii="Calibri" w:hAnsi="Calibri" w:cs="Calibri"/>
          <w:b/>
          <w:bCs/>
          <w:sz w:val="24"/>
          <w:szCs w:val="24"/>
          <w:rtl/>
        </w:rPr>
        <w:t xml:space="preserve"> </w:t>
      </w:r>
      <w:r w:rsidR="004946E4" w:rsidRPr="00B73760">
        <w:rPr>
          <w:rFonts w:ascii="Calibri" w:hAnsi="Calibri" w:cs="Calibri"/>
          <w:b/>
          <w:bCs/>
          <w:sz w:val="24"/>
          <w:szCs w:val="24"/>
          <w:rtl/>
        </w:rPr>
        <w:t xml:space="preserve">על </w:t>
      </w:r>
      <w:r w:rsidRPr="00B73760">
        <w:rPr>
          <w:rFonts w:ascii="Calibri" w:hAnsi="Calibri" w:cs="Calibri"/>
          <w:b/>
          <w:bCs/>
          <w:sz w:val="24"/>
          <w:szCs w:val="24"/>
          <w:rtl/>
        </w:rPr>
        <w:lastRenderedPageBreak/>
        <w:t xml:space="preserve">התאגידים הבנקאיים המשתמשים בטכנולוגיות חדשניות </w:t>
      </w:r>
      <w:r w:rsidR="004946E4" w:rsidRPr="00B73760">
        <w:rPr>
          <w:rFonts w:ascii="Calibri" w:hAnsi="Calibri" w:cs="Calibri"/>
          <w:b/>
          <w:bCs/>
          <w:sz w:val="24"/>
          <w:szCs w:val="24"/>
          <w:rtl/>
        </w:rPr>
        <w:t xml:space="preserve">להקפיד על עמידה </w:t>
      </w:r>
      <w:r w:rsidRPr="00B73760">
        <w:rPr>
          <w:rFonts w:ascii="Calibri" w:hAnsi="Calibri" w:cs="Calibri"/>
          <w:b/>
          <w:bCs/>
          <w:sz w:val="24"/>
          <w:szCs w:val="24"/>
          <w:rtl/>
        </w:rPr>
        <w:t xml:space="preserve">בהוראות החקיקה </w:t>
      </w:r>
      <w:r w:rsidR="004946E4" w:rsidRPr="00B73760">
        <w:rPr>
          <w:rFonts w:ascii="Calibri" w:hAnsi="Calibri" w:cs="Calibri"/>
          <w:b/>
          <w:bCs/>
          <w:sz w:val="24"/>
          <w:szCs w:val="24"/>
          <w:rtl/>
        </w:rPr>
        <w:t>והרגולציה, הבאות להבטיח, בין היתר, שימוש בטוח ב</w:t>
      </w:r>
      <w:r w:rsidRPr="00B73760">
        <w:rPr>
          <w:rFonts w:ascii="Calibri" w:hAnsi="Calibri" w:cs="Calibri"/>
          <w:b/>
          <w:bCs/>
          <w:sz w:val="24"/>
          <w:szCs w:val="24"/>
          <w:rtl/>
        </w:rPr>
        <w:t>טכנולוגיות אלה".</w:t>
      </w:r>
    </w:p>
    <w:p w14:paraId="121062CE" w14:textId="77777777" w:rsidR="003973E5" w:rsidRPr="00154AE9" w:rsidRDefault="003973E5" w:rsidP="003973E5">
      <w:pPr>
        <w:spacing w:line="360" w:lineRule="auto"/>
        <w:jc w:val="both"/>
        <w:rPr>
          <w:rFonts w:ascii="Calibri" w:hAnsi="Calibri" w:cs="Calibri"/>
          <w:b/>
          <w:bCs/>
          <w:color w:val="FF0000"/>
          <w:sz w:val="24"/>
          <w:szCs w:val="24"/>
        </w:rPr>
      </w:pPr>
      <w:hyperlink r:id="rId8" w:history="1">
        <w:r w:rsidRPr="005B41C9">
          <w:rPr>
            <w:rStyle w:val="Hyperlink"/>
            <w:rFonts w:ascii="Calibri" w:hAnsi="Calibri" w:cs="Calibri" w:hint="cs"/>
            <w:b/>
            <w:bCs/>
            <w:sz w:val="24"/>
            <w:szCs w:val="24"/>
            <w:rtl/>
          </w:rPr>
          <w:t>למידע רחב על הונאות פיננסיות בעולם הדיגיטלי מאתר בנק ישראל</w:t>
        </w:r>
      </w:hyperlink>
    </w:p>
    <w:p w14:paraId="42CC588C" w14:textId="52368EC8" w:rsidR="00F3360A" w:rsidRPr="003973E5" w:rsidRDefault="00F3360A" w:rsidP="003973E5">
      <w:pPr>
        <w:spacing w:line="360" w:lineRule="auto"/>
        <w:jc w:val="both"/>
        <w:rPr>
          <w:rFonts w:ascii="Calibri" w:hAnsi="Calibri" w:cs="Calibri"/>
          <w:b/>
          <w:bCs/>
          <w:color w:val="FF0000"/>
          <w:sz w:val="24"/>
          <w:szCs w:val="24"/>
        </w:rPr>
      </w:pPr>
      <w:bookmarkStart w:id="0" w:name="_GoBack"/>
      <w:bookmarkEnd w:id="0"/>
    </w:p>
    <w:sectPr w:rsidR="00F3360A" w:rsidRPr="003973E5" w:rsidSect="001E7E33">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A4697" w14:textId="77777777" w:rsidR="003F3825" w:rsidRDefault="003F3825" w:rsidP="00814D95">
      <w:pPr>
        <w:spacing w:after="0" w:line="240" w:lineRule="auto"/>
      </w:pPr>
      <w:r>
        <w:separator/>
      </w:r>
    </w:p>
  </w:endnote>
  <w:endnote w:type="continuationSeparator" w:id="0">
    <w:p w14:paraId="7EB58431" w14:textId="77777777" w:rsidR="003F3825" w:rsidRDefault="003F3825" w:rsidP="0081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1401" w14:textId="478BF6EF" w:rsidR="00814D95" w:rsidRDefault="00B73760" w:rsidP="00B73760">
    <w:pPr>
      <w:tabs>
        <w:tab w:val="center" w:pos="4153"/>
        <w:tab w:val="right" w:pos="8306"/>
      </w:tabs>
      <w:bidi w:val="0"/>
      <w:spacing w:after="0" w:line="240" w:lineRule="auto"/>
    </w:pPr>
    <w:r w:rsidRPr="00D06C46">
      <w:rPr>
        <w:rFonts w:cs="Calibri"/>
        <w:noProof/>
        <w:rtl/>
      </w:rPr>
      <w:drawing>
        <wp:anchor distT="0" distB="0" distL="114300" distR="114300" simplePos="0" relativeHeight="251664384" behindDoc="0" locked="0" layoutInCell="1" allowOverlap="1" wp14:anchorId="0CC313AC" wp14:editId="32D6763E">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46">
      <w:rPr>
        <w:noProof/>
      </w:rPr>
      <w:drawing>
        <wp:anchor distT="0" distB="0" distL="114300" distR="114300" simplePos="0" relativeHeight="251661312" behindDoc="0" locked="0" layoutInCell="1" allowOverlap="1" wp14:anchorId="6882EA4F" wp14:editId="0163C4FA">
          <wp:simplePos x="0" y="0"/>
          <wp:positionH relativeFrom="column">
            <wp:posOffset>4231257</wp:posOffset>
          </wp:positionH>
          <wp:positionV relativeFrom="paragraph">
            <wp:posOffset>-127468</wp:posOffset>
          </wp:positionV>
          <wp:extent cx="241539" cy="241539"/>
          <wp:effectExtent l="0" t="0" r="6350" b="635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5408" behindDoc="0" locked="0" layoutInCell="1" allowOverlap="1" wp14:anchorId="6B8849FD" wp14:editId="668B5E54">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6432" behindDoc="0" locked="0" layoutInCell="1" allowOverlap="1" wp14:anchorId="0BAEA5CB" wp14:editId="461B1817">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D06C46">
      <w:rPr>
        <w:noProof/>
      </w:rPr>
      <mc:AlternateContent>
        <mc:Choice Requires="wps">
          <w:drawing>
            <wp:anchor distT="0" distB="0" distL="114300" distR="114300" simplePos="0" relativeHeight="251662336" behindDoc="0" locked="0" layoutInCell="1" allowOverlap="1" wp14:anchorId="1877FECD" wp14:editId="4E76CD26">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0F0E6CA8" w14:textId="77777777" w:rsidR="00B73760" w:rsidRPr="00B677DC" w:rsidRDefault="00B73760" w:rsidP="00B73760">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7FECD"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14:paraId="0F0E6CA8" w14:textId="77777777" w:rsidR="00B73760" w:rsidRPr="00B677DC" w:rsidRDefault="00B73760" w:rsidP="00B73760">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D06C46">
      <w:rPr>
        <w:noProof/>
      </w:rPr>
      <mc:AlternateContent>
        <mc:Choice Requires="wps">
          <w:drawing>
            <wp:anchor distT="0" distB="0" distL="114300" distR="114300" simplePos="0" relativeHeight="251667456" behindDoc="0" locked="0" layoutInCell="1" allowOverlap="1" wp14:anchorId="3EA8FA01" wp14:editId="738BD1FA">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231A79EF" w14:textId="77777777" w:rsidR="00B73760" w:rsidRPr="00F20046" w:rsidRDefault="00B73760" w:rsidP="00B73760">
                          <w:pPr>
                            <w:jc w:val="center"/>
                            <w:rPr>
                              <w:rFonts w:cs="Calibri"/>
                              <w:noProof/>
                              <w:sz w:val="16"/>
                              <w:szCs w:val="16"/>
                              <w:rtl/>
                            </w:rPr>
                          </w:pPr>
                          <w:r w:rsidRPr="00397D52">
                            <w:rPr>
                              <w:rFonts w:cs="Calibri" w:hint="cs"/>
                              <w:b/>
                              <w:bCs/>
                              <w:noProof/>
                              <w:sz w:val="16"/>
                              <w:szCs w:val="16"/>
                              <w:rtl/>
                            </w:rPr>
                            <w:t>לערוץ היוטיוב של בנק ישראל</w:t>
                          </w:r>
                          <w:r w:rsidRPr="00397D52">
                            <w:rPr>
                              <w:rFonts w:cs="Calibri"/>
                              <w:b/>
                              <w:bCs/>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FA01"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14:paraId="231A79EF" w14:textId="77777777" w:rsidR="00B73760" w:rsidRPr="00F20046" w:rsidRDefault="00B73760" w:rsidP="00B73760">
                    <w:pPr>
                      <w:jc w:val="center"/>
                      <w:rPr>
                        <w:rFonts w:cs="Calibri"/>
                        <w:noProof/>
                        <w:sz w:val="16"/>
                        <w:szCs w:val="16"/>
                        <w:rtl/>
                      </w:rPr>
                    </w:pPr>
                    <w:r w:rsidRPr="00397D52">
                      <w:rPr>
                        <w:rFonts w:cs="Calibri" w:hint="cs"/>
                        <w:b/>
                        <w:bCs/>
                        <w:noProof/>
                        <w:sz w:val="16"/>
                        <w:szCs w:val="16"/>
                        <w:rtl/>
                      </w:rPr>
                      <w:t>לערוץ היוטיוב של בנק ישראל</w:t>
                    </w:r>
                    <w:r w:rsidRPr="00397D52">
                      <w:rPr>
                        <w:rFonts w:cs="Calibri"/>
                        <w:b/>
                        <w:bCs/>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D06C46">
      <w:rPr>
        <w:noProof/>
      </w:rPr>
      <mc:AlternateContent>
        <mc:Choice Requires="wps">
          <w:drawing>
            <wp:anchor distT="0" distB="0" distL="114300" distR="114300" simplePos="0" relativeHeight="251660288" behindDoc="0" locked="0" layoutInCell="1" allowOverlap="1" wp14:anchorId="560346F3" wp14:editId="56C5BE1B">
              <wp:simplePos x="0" y="0"/>
              <wp:positionH relativeFrom="column">
                <wp:posOffset>3257861</wp:posOffset>
              </wp:positionH>
              <wp:positionV relativeFrom="paragraph">
                <wp:posOffset>89750</wp:posOffset>
              </wp:positionV>
              <wp:extent cx="2181860" cy="4572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164DD885" w14:textId="77777777" w:rsidR="00B73760" w:rsidRPr="00B677DC" w:rsidRDefault="00B73760" w:rsidP="00B73760">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0346F3" id="תיבת טקסט 6"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yiPIkUC&#10;AABhBAAADgAAAAAAAAAAAAAAAAAuAgAAZHJzL2Uyb0RvYy54bWxQSwECLQAUAAYACAAAACEA87VM&#10;cuAAAAAJAQAADwAAAAAAAAAAAAAAAACfBAAAZHJzL2Rvd25yZXYueG1sUEsFBgAAAAAEAAQA8wAA&#10;AKwFAAAAAA==&#10;" filled="f" stroked="f" strokeweight=".5pt">
              <v:textbox>
                <w:txbxContent>
                  <w:p w14:paraId="164DD885" w14:textId="77777777" w:rsidR="00B73760" w:rsidRPr="00B677DC" w:rsidRDefault="00B73760" w:rsidP="00B73760">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sidRPr="00D06C46">
      <w:rPr>
        <w:noProof/>
      </w:rPr>
      <mc:AlternateContent>
        <mc:Choice Requires="wps">
          <w:drawing>
            <wp:anchor distT="0" distB="0" distL="114300" distR="114300" simplePos="0" relativeHeight="251659264" behindDoc="0" locked="0" layoutInCell="1" allowOverlap="1" wp14:anchorId="7B1AE5E0" wp14:editId="51F1BAEF">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739EBA1A" w14:textId="77777777" w:rsidR="00B73760" w:rsidRPr="00B677DC" w:rsidRDefault="00B73760" w:rsidP="00B73760">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1AE5E0"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14:paraId="739EBA1A" w14:textId="77777777" w:rsidR="00B73760" w:rsidRPr="00B677DC" w:rsidRDefault="00B73760" w:rsidP="00B73760">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D06C46">
      <w:rPr>
        <w:noProof/>
      </w:rPr>
      <mc:AlternateContent>
        <mc:Choice Requires="wps">
          <w:drawing>
            <wp:anchor distT="0" distB="0" distL="114300" distR="114300" simplePos="0" relativeHeight="251663360" behindDoc="0" locked="0" layoutInCell="1" allowOverlap="1" wp14:anchorId="419D46B4" wp14:editId="49AE461A">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89205C4"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09AAB" w14:textId="77777777" w:rsidR="003F3825" w:rsidRDefault="003F3825" w:rsidP="00814D95">
      <w:pPr>
        <w:spacing w:after="0" w:line="240" w:lineRule="auto"/>
      </w:pPr>
      <w:r>
        <w:separator/>
      </w:r>
    </w:p>
  </w:footnote>
  <w:footnote w:type="continuationSeparator" w:id="0">
    <w:p w14:paraId="3CA10E8F" w14:textId="77777777" w:rsidR="003F3825" w:rsidRDefault="003F3825" w:rsidP="00814D95">
      <w:pPr>
        <w:spacing w:after="0" w:line="240" w:lineRule="auto"/>
      </w:pPr>
      <w:r>
        <w:continuationSeparator/>
      </w:r>
    </w:p>
  </w:footnote>
  <w:footnote w:id="1">
    <w:p w14:paraId="53C33685" w14:textId="77777777" w:rsidR="00C760A2" w:rsidRPr="00A641AE" w:rsidRDefault="00C760A2" w:rsidP="00C760A2">
      <w:pPr>
        <w:pStyle w:val="ae"/>
        <w:jc w:val="both"/>
        <w:rPr>
          <w:rFonts w:cstheme="minorHAnsi"/>
          <w:sz w:val="22"/>
          <w:szCs w:val="22"/>
          <w:rtl/>
        </w:rPr>
      </w:pPr>
      <w:r w:rsidRPr="00A641AE">
        <w:rPr>
          <w:rStyle w:val="af0"/>
          <w:rFonts w:cstheme="minorHAnsi"/>
          <w:sz w:val="22"/>
          <w:szCs w:val="22"/>
        </w:rPr>
        <w:footnoteRef/>
      </w:r>
      <w:r w:rsidRPr="00A641AE">
        <w:rPr>
          <w:rFonts w:cstheme="minorHAnsi"/>
          <w:sz w:val="22"/>
          <w:szCs w:val="22"/>
          <w:rtl/>
        </w:rPr>
        <w:t xml:space="preserve"> "תאגיד בנקאי המבקש ליישם טכנולוגיה לזיהוי ואימות חזותיים מרחוק לצורך פתיחת חשבון מקוון ..., יודיע מראש לפיקוח על הבנקים, תוך הצגת מכלול הסיכונים והדרכים שינקוט לניהולם, ויקבל את אישור הפיקוח על הבנקים לכך".</w:t>
      </w:r>
    </w:p>
  </w:footnote>
  <w:footnote w:id="2">
    <w:p w14:paraId="070EBC7B" w14:textId="01467522" w:rsidR="00012EFE" w:rsidRPr="00A641AE" w:rsidRDefault="00012EFE" w:rsidP="002D3B4D">
      <w:pPr>
        <w:spacing w:line="360" w:lineRule="auto"/>
        <w:jc w:val="both"/>
        <w:rPr>
          <w:rFonts w:cstheme="minorHAnsi"/>
          <w:rtl/>
        </w:rPr>
      </w:pPr>
      <w:r w:rsidRPr="00A641AE">
        <w:rPr>
          <w:rStyle w:val="af0"/>
          <w:rFonts w:cstheme="minorHAnsi"/>
        </w:rPr>
        <w:footnoteRef/>
      </w:r>
      <w:r w:rsidRPr="00A641AE">
        <w:rPr>
          <w:rFonts w:cstheme="minorHAnsi"/>
          <w:rtl/>
        </w:rPr>
        <w:t xml:space="preserve"> בהתאם לחוק, סכום העיצום הכספי המקסימלי שניתן להטיל בגין הפרה מסוג זה הינו   1,000,000 ₪ אולם הואיל והפיקוח על הבנקים מצא כי חברת ישראכרט הפסיקה את השימוש בה מרגע שהונחתה לכך על ידי  הפיקוח על הבנקים, ופעלה לתיקון הליקויים ולקבלת היתר כנדרש, הוחלט להפחית את סכום העיצום בשיעור של 30%, וזאת בהתאם לכללי הבנקאות (שיעורי הפחתה מרביים של סכומי העיצום הכספי) תשע"א-2011.</w:t>
      </w:r>
    </w:p>
    <w:p w14:paraId="0E8B71C3" w14:textId="5E62C440" w:rsidR="00012EFE" w:rsidRDefault="00012EFE">
      <w:pPr>
        <w:pStyle w:val="a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97"/>
    <w:rsid w:val="000071CF"/>
    <w:rsid w:val="00012EFE"/>
    <w:rsid w:val="000236ED"/>
    <w:rsid w:val="00041F57"/>
    <w:rsid w:val="0004642A"/>
    <w:rsid w:val="00047FEE"/>
    <w:rsid w:val="00090B71"/>
    <w:rsid w:val="000C4AD3"/>
    <w:rsid w:val="000D16B7"/>
    <w:rsid w:val="000F1A01"/>
    <w:rsid w:val="00135CFC"/>
    <w:rsid w:val="00140FA8"/>
    <w:rsid w:val="00141978"/>
    <w:rsid w:val="0014770A"/>
    <w:rsid w:val="00154AE9"/>
    <w:rsid w:val="00166B38"/>
    <w:rsid w:val="001A7CD3"/>
    <w:rsid w:val="001B1214"/>
    <w:rsid w:val="001E57A8"/>
    <w:rsid w:val="001E7E33"/>
    <w:rsid w:val="001F566C"/>
    <w:rsid w:val="00207345"/>
    <w:rsid w:val="00221231"/>
    <w:rsid w:val="002244B6"/>
    <w:rsid w:val="00232B0A"/>
    <w:rsid w:val="00234F08"/>
    <w:rsid w:val="00236D1F"/>
    <w:rsid w:val="00270C3D"/>
    <w:rsid w:val="00273E36"/>
    <w:rsid w:val="002936B3"/>
    <w:rsid w:val="002A1B91"/>
    <w:rsid w:val="002B7743"/>
    <w:rsid w:val="002D1CD2"/>
    <w:rsid w:val="002D3B4D"/>
    <w:rsid w:val="002F17CF"/>
    <w:rsid w:val="00325E88"/>
    <w:rsid w:val="00334F65"/>
    <w:rsid w:val="00352ECF"/>
    <w:rsid w:val="00361711"/>
    <w:rsid w:val="003973E5"/>
    <w:rsid w:val="003A48EA"/>
    <w:rsid w:val="003B70E3"/>
    <w:rsid w:val="003F3825"/>
    <w:rsid w:val="0041702C"/>
    <w:rsid w:val="00423939"/>
    <w:rsid w:val="0043314A"/>
    <w:rsid w:val="00433A6F"/>
    <w:rsid w:val="00460128"/>
    <w:rsid w:val="004946E4"/>
    <w:rsid w:val="004B1C93"/>
    <w:rsid w:val="004F4447"/>
    <w:rsid w:val="005505F7"/>
    <w:rsid w:val="005515B9"/>
    <w:rsid w:val="00557731"/>
    <w:rsid w:val="0056498A"/>
    <w:rsid w:val="005918A9"/>
    <w:rsid w:val="005A114A"/>
    <w:rsid w:val="005A50F2"/>
    <w:rsid w:val="005B61B8"/>
    <w:rsid w:val="005D623D"/>
    <w:rsid w:val="00612B04"/>
    <w:rsid w:val="00634441"/>
    <w:rsid w:val="006373E7"/>
    <w:rsid w:val="00667D1C"/>
    <w:rsid w:val="00682DE9"/>
    <w:rsid w:val="006B55A5"/>
    <w:rsid w:val="006D298F"/>
    <w:rsid w:val="006E13FD"/>
    <w:rsid w:val="006F0529"/>
    <w:rsid w:val="0070196D"/>
    <w:rsid w:val="00711FF2"/>
    <w:rsid w:val="0072396D"/>
    <w:rsid w:val="007315CF"/>
    <w:rsid w:val="007465E5"/>
    <w:rsid w:val="00777CCD"/>
    <w:rsid w:val="00777F1E"/>
    <w:rsid w:val="0078130F"/>
    <w:rsid w:val="00787889"/>
    <w:rsid w:val="007A35E4"/>
    <w:rsid w:val="007B6051"/>
    <w:rsid w:val="007C672E"/>
    <w:rsid w:val="007F207D"/>
    <w:rsid w:val="00801791"/>
    <w:rsid w:val="00807F70"/>
    <w:rsid w:val="008139C1"/>
    <w:rsid w:val="00814D95"/>
    <w:rsid w:val="00833BE0"/>
    <w:rsid w:val="00845E78"/>
    <w:rsid w:val="00846F39"/>
    <w:rsid w:val="0084779A"/>
    <w:rsid w:val="00861A0E"/>
    <w:rsid w:val="008A2F21"/>
    <w:rsid w:val="008C2A3E"/>
    <w:rsid w:val="008D2E10"/>
    <w:rsid w:val="008F1E3B"/>
    <w:rsid w:val="00903088"/>
    <w:rsid w:val="00914526"/>
    <w:rsid w:val="00923515"/>
    <w:rsid w:val="00944504"/>
    <w:rsid w:val="009507D5"/>
    <w:rsid w:val="00973854"/>
    <w:rsid w:val="00973EA9"/>
    <w:rsid w:val="00990B5D"/>
    <w:rsid w:val="009B7580"/>
    <w:rsid w:val="009D73CA"/>
    <w:rsid w:val="009D7F75"/>
    <w:rsid w:val="009E43FC"/>
    <w:rsid w:val="009F10D1"/>
    <w:rsid w:val="00A07142"/>
    <w:rsid w:val="00A11150"/>
    <w:rsid w:val="00A1153B"/>
    <w:rsid w:val="00A1178C"/>
    <w:rsid w:val="00A32923"/>
    <w:rsid w:val="00A4666A"/>
    <w:rsid w:val="00A641AE"/>
    <w:rsid w:val="00AA224E"/>
    <w:rsid w:val="00AA5266"/>
    <w:rsid w:val="00AC4330"/>
    <w:rsid w:val="00AD35B4"/>
    <w:rsid w:val="00AD43BB"/>
    <w:rsid w:val="00AF733B"/>
    <w:rsid w:val="00B220E8"/>
    <w:rsid w:val="00B41C29"/>
    <w:rsid w:val="00B73760"/>
    <w:rsid w:val="00B80029"/>
    <w:rsid w:val="00B80297"/>
    <w:rsid w:val="00B8124B"/>
    <w:rsid w:val="00B87A35"/>
    <w:rsid w:val="00BA7A07"/>
    <w:rsid w:val="00BC1D07"/>
    <w:rsid w:val="00BE550E"/>
    <w:rsid w:val="00BE7847"/>
    <w:rsid w:val="00C06A2D"/>
    <w:rsid w:val="00C429CB"/>
    <w:rsid w:val="00C51D6E"/>
    <w:rsid w:val="00C61AD4"/>
    <w:rsid w:val="00C630F9"/>
    <w:rsid w:val="00C63153"/>
    <w:rsid w:val="00C7236D"/>
    <w:rsid w:val="00C760A2"/>
    <w:rsid w:val="00CB33DB"/>
    <w:rsid w:val="00CB5774"/>
    <w:rsid w:val="00CD0A6F"/>
    <w:rsid w:val="00CE515C"/>
    <w:rsid w:val="00CF41F7"/>
    <w:rsid w:val="00D10A39"/>
    <w:rsid w:val="00D12280"/>
    <w:rsid w:val="00D279EF"/>
    <w:rsid w:val="00D512CA"/>
    <w:rsid w:val="00D5404B"/>
    <w:rsid w:val="00D61B5B"/>
    <w:rsid w:val="00D6793B"/>
    <w:rsid w:val="00D73591"/>
    <w:rsid w:val="00D847BB"/>
    <w:rsid w:val="00DB226D"/>
    <w:rsid w:val="00DB511E"/>
    <w:rsid w:val="00DC02FD"/>
    <w:rsid w:val="00DD08A5"/>
    <w:rsid w:val="00DD5A45"/>
    <w:rsid w:val="00DF1FC1"/>
    <w:rsid w:val="00E028F9"/>
    <w:rsid w:val="00E0344C"/>
    <w:rsid w:val="00E37AFA"/>
    <w:rsid w:val="00E90D58"/>
    <w:rsid w:val="00EC7ABE"/>
    <w:rsid w:val="00ED1108"/>
    <w:rsid w:val="00EE5D3E"/>
    <w:rsid w:val="00F3360A"/>
    <w:rsid w:val="00F4156E"/>
    <w:rsid w:val="00F43853"/>
    <w:rsid w:val="00F45878"/>
    <w:rsid w:val="00F57BD5"/>
    <w:rsid w:val="00F91623"/>
    <w:rsid w:val="00FA1BC8"/>
    <w:rsid w:val="00FA4C6F"/>
    <w:rsid w:val="00FC69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F297"/>
  <w15:chartTrackingRefBased/>
  <w15:docId w15:val="{F2CEC474-4078-4E5B-B5C1-EB60137A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80297"/>
    <w:rPr>
      <w:color w:val="0563C1" w:themeColor="hyperlink"/>
      <w:u w:val="single"/>
    </w:rPr>
  </w:style>
  <w:style w:type="paragraph" w:styleId="a3">
    <w:name w:val="Balloon Text"/>
    <w:basedOn w:val="a"/>
    <w:link w:val="a4"/>
    <w:uiPriority w:val="99"/>
    <w:semiHidden/>
    <w:unhideWhenUsed/>
    <w:rsid w:val="00634441"/>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634441"/>
    <w:rPr>
      <w:rFonts w:ascii="Tahoma" w:hAnsi="Tahoma" w:cs="Tahoma"/>
      <w:sz w:val="18"/>
      <w:szCs w:val="18"/>
    </w:rPr>
  </w:style>
  <w:style w:type="paragraph" w:styleId="a5">
    <w:name w:val="header"/>
    <w:basedOn w:val="a"/>
    <w:link w:val="a6"/>
    <w:uiPriority w:val="99"/>
    <w:unhideWhenUsed/>
    <w:rsid w:val="00814D95"/>
    <w:pPr>
      <w:tabs>
        <w:tab w:val="center" w:pos="4153"/>
        <w:tab w:val="right" w:pos="8306"/>
      </w:tabs>
      <w:spacing w:after="0" w:line="240" w:lineRule="auto"/>
    </w:pPr>
  </w:style>
  <w:style w:type="character" w:customStyle="1" w:styleId="a6">
    <w:name w:val="כותרת עליונה תו"/>
    <w:basedOn w:val="a0"/>
    <w:link w:val="a5"/>
    <w:uiPriority w:val="99"/>
    <w:rsid w:val="00814D95"/>
  </w:style>
  <w:style w:type="paragraph" w:styleId="a7">
    <w:name w:val="footer"/>
    <w:basedOn w:val="a"/>
    <w:link w:val="a8"/>
    <w:uiPriority w:val="99"/>
    <w:unhideWhenUsed/>
    <w:rsid w:val="00814D95"/>
    <w:pPr>
      <w:tabs>
        <w:tab w:val="center" w:pos="4153"/>
        <w:tab w:val="right" w:pos="8306"/>
      </w:tabs>
      <w:spacing w:after="0" w:line="240" w:lineRule="auto"/>
    </w:pPr>
  </w:style>
  <w:style w:type="character" w:customStyle="1" w:styleId="a8">
    <w:name w:val="כותרת תחתונה תו"/>
    <w:basedOn w:val="a0"/>
    <w:link w:val="a7"/>
    <w:uiPriority w:val="99"/>
    <w:rsid w:val="00814D95"/>
  </w:style>
  <w:style w:type="character" w:styleId="a9">
    <w:name w:val="annotation reference"/>
    <w:basedOn w:val="a0"/>
    <w:uiPriority w:val="99"/>
    <w:semiHidden/>
    <w:unhideWhenUsed/>
    <w:rsid w:val="00846F39"/>
    <w:rPr>
      <w:sz w:val="16"/>
      <w:szCs w:val="16"/>
    </w:rPr>
  </w:style>
  <w:style w:type="paragraph" w:styleId="aa">
    <w:name w:val="annotation text"/>
    <w:basedOn w:val="a"/>
    <w:link w:val="ab"/>
    <w:uiPriority w:val="99"/>
    <w:semiHidden/>
    <w:unhideWhenUsed/>
    <w:rsid w:val="00846F39"/>
    <w:pPr>
      <w:spacing w:line="240" w:lineRule="auto"/>
    </w:pPr>
    <w:rPr>
      <w:sz w:val="20"/>
      <w:szCs w:val="20"/>
    </w:rPr>
  </w:style>
  <w:style w:type="character" w:customStyle="1" w:styleId="ab">
    <w:name w:val="טקסט הערה תו"/>
    <w:basedOn w:val="a0"/>
    <w:link w:val="aa"/>
    <w:uiPriority w:val="99"/>
    <w:semiHidden/>
    <w:rsid w:val="00846F39"/>
    <w:rPr>
      <w:sz w:val="20"/>
      <w:szCs w:val="20"/>
    </w:rPr>
  </w:style>
  <w:style w:type="paragraph" w:styleId="ac">
    <w:name w:val="annotation subject"/>
    <w:basedOn w:val="aa"/>
    <w:next w:val="aa"/>
    <w:link w:val="ad"/>
    <w:uiPriority w:val="99"/>
    <w:semiHidden/>
    <w:unhideWhenUsed/>
    <w:rsid w:val="00846F39"/>
    <w:rPr>
      <w:b/>
      <w:bCs/>
    </w:rPr>
  </w:style>
  <w:style w:type="character" w:customStyle="1" w:styleId="ad">
    <w:name w:val="נושא הערה תו"/>
    <w:basedOn w:val="ab"/>
    <w:link w:val="ac"/>
    <w:uiPriority w:val="99"/>
    <w:semiHidden/>
    <w:rsid w:val="00846F39"/>
    <w:rPr>
      <w:b/>
      <w:bCs/>
      <w:sz w:val="20"/>
      <w:szCs w:val="20"/>
    </w:rPr>
  </w:style>
  <w:style w:type="paragraph" w:styleId="ae">
    <w:name w:val="footnote text"/>
    <w:basedOn w:val="a"/>
    <w:link w:val="af"/>
    <w:uiPriority w:val="99"/>
    <w:semiHidden/>
    <w:unhideWhenUsed/>
    <w:rsid w:val="00090B71"/>
    <w:pPr>
      <w:spacing w:after="0" w:line="240" w:lineRule="auto"/>
    </w:pPr>
    <w:rPr>
      <w:sz w:val="20"/>
      <w:szCs w:val="20"/>
    </w:rPr>
  </w:style>
  <w:style w:type="character" w:customStyle="1" w:styleId="af">
    <w:name w:val="טקסט הערת שוליים תו"/>
    <w:basedOn w:val="a0"/>
    <w:link w:val="ae"/>
    <w:uiPriority w:val="99"/>
    <w:semiHidden/>
    <w:rsid w:val="00090B71"/>
    <w:rPr>
      <w:sz w:val="20"/>
      <w:szCs w:val="20"/>
    </w:rPr>
  </w:style>
  <w:style w:type="character" w:styleId="af0">
    <w:name w:val="footnote reference"/>
    <w:basedOn w:val="a0"/>
    <w:uiPriority w:val="99"/>
    <w:semiHidden/>
    <w:unhideWhenUsed/>
    <w:rsid w:val="00090B71"/>
    <w:rPr>
      <w:vertAlign w:val="superscript"/>
    </w:rPr>
  </w:style>
  <w:style w:type="paragraph" w:styleId="af1">
    <w:name w:val="List Paragraph"/>
    <w:aliases w:val="פיסקת רשימה12,פיסקת רשימה121,פיסקת רשימה2,פיסקת רשימה11"/>
    <w:basedOn w:val="a"/>
    <w:link w:val="af2"/>
    <w:uiPriority w:val="34"/>
    <w:qFormat/>
    <w:rsid w:val="00B73760"/>
    <w:pPr>
      <w:bidi w:val="0"/>
      <w:spacing w:after="200" w:line="276" w:lineRule="auto"/>
      <w:ind w:left="720"/>
      <w:contextualSpacing/>
    </w:pPr>
  </w:style>
  <w:style w:type="character" w:customStyle="1" w:styleId="af2">
    <w:name w:val="פיסקת רשימה תו"/>
    <w:aliases w:val="פיסקת רשימה12 תו,פיסקת רשימה121 תו,פיסקת רשימה2 תו,פיסקת רשימה11 תו"/>
    <w:basedOn w:val="a0"/>
    <w:link w:val="af1"/>
    <w:uiPriority w:val="34"/>
    <w:locked/>
    <w:rsid w:val="00B7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06185">
      <w:bodyDiv w:val="1"/>
      <w:marLeft w:val="0"/>
      <w:marRight w:val="0"/>
      <w:marTop w:val="0"/>
      <w:marBottom w:val="0"/>
      <w:divBdr>
        <w:top w:val="none" w:sz="0" w:space="0" w:color="auto"/>
        <w:left w:val="none" w:sz="0" w:space="0" w:color="auto"/>
        <w:bottom w:val="none" w:sz="0" w:space="0" w:color="auto"/>
        <w:right w:val="none" w:sz="0" w:space="0" w:color="auto"/>
      </w:divBdr>
      <w:divsChild>
        <w:div w:id="1434668918">
          <w:marLeft w:val="0"/>
          <w:marRight w:val="0"/>
          <w:marTop w:val="0"/>
          <w:marBottom w:val="0"/>
          <w:divBdr>
            <w:top w:val="none" w:sz="0" w:space="0" w:color="auto"/>
            <w:left w:val="none" w:sz="0" w:space="0" w:color="auto"/>
            <w:bottom w:val="none" w:sz="0" w:space="0" w:color="auto"/>
            <w:right w:val="none" w:sz="0" w:space="0" w:color="auto"/>
          </w:divBdr>
          <w:divsChild>
            <w:div w:id="36592133">
              <w:marLeft w:val="0"/>
              <w:marRight w:val="0"/>
              <w:marTop w:val="0"/>
              <w:marBottom w:val="0"/>
              <w:divBdr>
                <w:top w:val="none" w:sz="0" w:space="0" w:color="auto"/>
                <w:left w:val="none" w:sz="0" w:space="0" w:color="auto"/>
                <w:bottom w:val="none" w:sz="0" w:space="0" w:color="auto"/>
                <w:right w:val="none" w:sz="0" w:space="0" w:color="auto"/>
              </w:divBdr>
            </w:div>
            <w:div w:id="629478877">
              <w:marLeft w:val="0"/>
              <w:marRight w:val="0"/>
              <w:marTop w:val="0"/>
              <w:marBottom w:val="0"/>
              <w:divBdr>
                <w:top w:val="single" w:sz="12" w:space="0" w:color="E3E7EE"/>
                <w:left w:val="none" w:sz="0" w:space="0" w:color="auto"/>
                <w:bottom w:val="single" w:sz="12" w:space="0" w:color="E3E7EE"/>
                <w:right w:val="none" w:sz="0" w:space="0" w:color="auto"/>
              </w:divBdr>
              <w:divsChild>
                <w:div w:id="3695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4380">
          <w:marLeft w:val="0"/>
          <w:marRight w:val="0"/>
          <w:marTop w:val="0"/>
          <w:marBottom w:val="0"/>
          <w:divBdr>
            <w:top w:val="none" w:sz="0" w:space="0" w:color="auto"/>
            <w:left w:val="none" w:sz="0" w:space="0" w:color="auto"/>
            <w:bottom w:val="none" w:sz="0" w:space="0" w:color="auto"/>
            <w:right w:val="none" w:sz="0" w:space="0" w:color="auto"/>
          </w:divBdr>
          <w:divsChild>
            <w:div w:id="208029313">
              <w:marLeft w:val="0"/>
              <w:marRight w:val="0"/>
              <w:marTop w:val="0"/>
              <w:marBottom w:val="0"/>
              <w:divBdr>
                <w:top w:val="none" w:sz="0" w:space="0" w:color="auto"/>
                <w:left w:val="none" w:sz="0" w:space="0" w:color="auto"/>
                <w:bottom w:val="none" w:sz="0" w:space="0" w:color="auto"/>
                <w:right w:val="none" w:sz="0" w:space="0" w:color="auto"/>
              </w:divBdr>
              <w:divsChild>
                <w:div w:id="1739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7699">
      <w:bodyDiv w:val="1"/>
      <w:marLeft w:val="0"/>
      <w:marRight w:val="0"/>
      <w:marTop w:val="0"/>
      <w:marBottom w:val="0"/>
      <w:divBdr>
        <w:top w:val="none" w:sz="0" w:space="0" w:color="auto"/>
        <w:left w:val="none" w:sz="0" w:space="0" w:color="auto"/>
        <w:bottom w:val="none" w:sz="0" w:space="0" w:color="auto"/>
        <w:right w:val="none" w:sz="0" w:space="0" w:color="auto"/>
      </w:divBdr>
      <w:divsChild>
        <w:div w:id="977688740">
          <w:marLeft w:val="0"/>
          <w:marRight w:val="0"/>
          <w:marTop w:val="0"/>
          <w:marBottom w:val="0"/>
          <w:divBdr>
            <w:top w:val="none" w:sz="0" w:space="0" w:color="auto"/>
            <w:left w:val="none" w:sz="0" w:space="0" w:color="auto"/>
            <w:bottom w:val="none" w:sz="0" w:space="0" w:color="auto"/>
            <w:right w:val="none" w:sz="0" w:space="0" w:color="auto"/>
          </w:divBdr>
          <w:divsChild>
            <w:div w:id="1435246610">
              <w:marLeft w:val="0"/>
              <w:marRight w:val="0"/>
              <w:marTop w:val="0"/>
              <w:marBottom w:val="0"/>
              <w:divBdr>
                <w:top w:val="none" w:sz="0" w:space="0" w:color="auto"/>
                <w:left w:val="none" w:sz="0" w:space="0" w:color="auto"/>
                <w:bottom w:val="none" w:sz="0" w:space="0" w:color="auto"/>
                <w:right w:val="none" w:sz="0" w:space="0" w:color="auto"/>
              </w:divBdr>
            </w:div>
            <w:div w:id="1443572764">
              <w:marLeft w:val="0"/>
              <w:marRight w:val="0"/>
              <w:marTop w:val="0"/>
              <w:marBottom w:val="0"/>
              <w:divBdr>
                <w:top w:val="single" w:sz="12" w:space="0" w:color="E3E7EE"/>
                <w:left w:val="none" w:sz="0" w:space="0" w:color="auto"/>
                <w:bottom w:val="single" w:sz="12" w:space="0" w:color="E3E7EE"/>
                <w:right w:val="none" w:sz="0" w:space="0" w:color="auto"/>
              </w:divBdr>
              <w:divsChild>
                <w:div w:id="16945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8915">
          <w:marLeft w:val="0"/>
          <w:marRight w:val="0"/>
          <w:marTop w:val="0"/>
          <w:marBottom w:val="0"/>
          <w:divBdr>
            <w:top w:val="none" w:sz="0" w:space="0" w:color="auto"/>
            <w:left w:val="none" w:sz="0" w:space="0" w:color="auto"/>
            <w:bottom w:val="none" w:sz="0" w:space="0" w:color="auto"/>
            <w:right w:val="none" w:sz="0" w:space="0" w:color="auto"/>
          </w:divBdr>
          <w:divsChild>
            <w:div w:id="616714611">
              <w:marLeft w:val="0"/>
              <w:marRight w:val="0"/>
              <w:marTop w:val="0"/>
              <w:marBottom w:val="0"/>
              <w:divBdr>
                <w:top w:val="none" w:sz="0" w:space="0" w:color="auto"/>
                <w:left w:val="none" w:sz="0" w:space="0" w:color="auto"/>
                <w:bottom w:val="none" w:sz="0" w:space="0" w:color="auto"/>
                <w:right w:val="none" w:sz="0" w:space="0" w:color="auto"/>
              </w:divBdr>
              <w:divsChild>
                <w:div w:id="998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57672">
      <w:bodyDiv w:val="1"/>
      <w:marLeft w:val="0"/>
      <w:marRight w:val="0"/>
      <w:marTop w:val="0"/>
      <w:marBottom w:val="0"/>
      <w:divBdr>
        <w:top w:val="none" w:sz="0" w:space="0" w:color="auto"/>
        <w:left w:val="none" w:sz="0" w:space="0" w:color="auto"/>
        <w:bottom w:val="none" w:sz="0" w:space="0" w:color="auto"/>
        <w:right w:val="none" w:sz="0" w:space="0" w:color="auto"/>
      </w:divBdr>
      <w:divsChild>
        <w:div w:id="1524828804">
          <w:marLeft w:val="0"/>
          <w:marRight w:val="0"/>
          <w:marTop w:val="0"/>
          <w:marBottom w:val="0"/>
          <w:divBdr>
            <w:top w:val="none" w:sz="0" w:space="0" w:color="auto"/>
            <w:left w:val="none" w:sz="0" w:space="0" w:color="auto"/>
            <w:bottom w:val="none" w:sz="0" w:space="0" w:color="auto"/>
            <w:right w:val="none" w:sz="0" w:space="0" w:color="auto"/>
          </w:divBdr>
          <w:divsChild>
            <w:div w:id="442187390">
              <w:marLeft w:val="0"/>
              <w:marRight w:val="0"/>
              <w:marTop w:val="0"/>
              <w:marBottom w:val="0"/>
              <w:divBdr>
                <w:top w:val="none" w:sz="0" w:space="0" w:color="auto"/>
                <w:left w:val="none" w:sz="0" w:space="0" w:color="auto"/>
                <w:bottom w:val="none" w:sz="0" w:space="0" w:color="auto"/>
                <w:right w:val="none" w:sz="0" w:space="0" w:color="auto"/>
              </w:divBdr>
            </w:div>
            <w:div w:id="1923682918">
              <w:marLeft w:val="0"/>
              <w:marRight w:val="0"/>
              <w:marTop w:val="0"/>
              <w:marBottom w:val="0"/>
              <w:divBdr>
                <w:top w:val="single" w:sz="12" w:space="0" w:color="E3E7EE"/>
                <w:left w:val="none" w:sz="0" w:space="0" w:color="auto"/>
                <w:bottom w:val="single" w:sz="12" w:space="0" w:color="E3E7EE"/>
                <w:right w:val="none" w:sz="0" w:space="0" w:color="auto"/>
              </w:divBdr>
              <w:divsChild>
                <w:div w:id="3045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information/bank-paymnts/financial-education/campains/digital_sca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2231-C087-4971-9306-401E1BBC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300</Words>
  <Characters>1501</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 ורטמן</dc:creator>
  <cp:keywords/>
  <dc:description/>
  <cp:lastModifiedBy>לירון דהן</cp:lastModifiedBy>
  <cp:revision>13</cp:revision>
  <cp:lastPrinted>2024-05-01T13:05:00Z</cp:lastPrinted>
  <dcterms:created xsi:type="dcterms:W3CDTF">2024-05-12T07:06:00Z</dcterms:created>
  <dcterms:modified xsi:type="dcterms:W3CDTF">2024-05-12T08:18:00Z</dcterms:modified>
</cp:coreProperties>
</file>