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31"/>
        <w:bidiVisual/>
        <w:tblW w:w="9075" w:type="dxa"/>
        <w:tblLayout w:type="fixed"/>
        <w:tblLook w:val="04A0" w:firstRow="1" w:lastRow="0" w:firstColumn="1" w:lastColumn="0" w:noHBand="0" w:noVBand="1"/>
      </w:tblPr>
      <w:tblGrid>
        <w:gridCol w:w="3393"/>
        <w:gridCol w:w="2597"/>
        <w:gridCol w:w="3085"/>
      </w:tblGrid>
      <w:tr w:rsidR="00BE6FCC" w:rsidRPr="00DA1C06" w:rsidTr="006C2A68">
        <w:trPr>
          <w:cantSplit/>
        </w:trPr>
        <w:tc>
          <w:tcPr>
            <w:tcW w:w="3393" w:type="dxa"/>
            <w:vAlign w:val="center"/>
            <w:hideMark/>
          </w:tcPr>
          <w:p w:rsidR="00BE6FCC" w:rsidRPr="00DA1C06" w:rsidRDefault="00BE6FCC" w:rsidP="006C2A68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A1C06">
              <w:rPr>
                <w:rFonts w:asciiTheme="minorHAnsi" w:eastAsia="Calibri" w:hAnsiTheme="minorHAnsi" w:cstheme="minorHAnsi"/>
                <w:b/>
                <w:bCs/>
                <w:rtl/>
              </w:rPr>
              <w:t>בנק ישראל</w:t>
            </w:r>
          </w:p>
          <w:p w:rsidR="00BE6FCC" w:rsidRPr="00DA1C06" w:rsidRDefault="00BE6FCC" w:rsidP="006C2A68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ind w:right="-101"/>
              <w:jc w:val="center"/>
              <w:rPr>
                <w:rFonts w:asciiTheme="minorHAnsi" w:eastAsia="Calibri" w:hAnsiTheme="minorHAnsi" w:cstheme="minorHAnsi"/>
              </w:rPr>
            </w:pPr>
            <w:r w:rsidRPr="00DA1C06">
              <w:rPr>
                <w:rFonts w:asciiTheme="minorHAnsi" w:eastAsia="Calibri" w:hAnsiTheme="minorHAnsi" w:cstheme="minorHAnsi"/>
                <w:rtl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:rsidR="00BE6FCC" w:rsidRPr="00DA1C06" w:rsidRDefault="00BE6FCC" w:rsidP="006C2A68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jc w:val="center"/>
              <w:rPr>
                <w:rFonts w:asciiTheme="minorHAnsi" w:eastAsia="Calibri" w:hAnsiTheme="minorHAnsi" w:cstheme="minorHAnsi"/>
              </w:rPr>
            </w:pPr>
            <w:r w:rsidRPr="00DA1C06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3B51A42" wp14:editId="35BD53C8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10" name="Picture 2" descr="A logo with a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logo with a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5" w:type="dxa"/>
            <w:vAlign w:val="center"/>
            <w:hideMark/>
          </w:tcPr>
          <w:p w:rsidR="00BE6FCC" w:rsidRPr="00DA1C06" w:rsidRDefault="00BE6FCC" w:rsidP="006C2A68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jc w:val="right"/>
              <w:rPr>
                <w:rFonts w:asciiTheme="minorHAnsi" w:eastAsia="Calibri" w:hAnsiTheme="minorHAnsi" w:cstheme="minorHAnsi"/>
              </w:rPr>
            </w:pPr>
            <w:r w:rsidRPr="00DA1C06">
              <w:rPr>
                <w:rFonts w:asciiTheme="minorHAnsi" w:eastAsia="Calibri" w:hAnsiTheme="minorHAnsi" w:cstheme="minorHAnsi"/>
                <w:rtl/>
              </w:rPr>
              <w:t>‏ ירושלים, כ"</w:t>
            </w:r>
            <w:r>
              <w:rPr>
                <w:rFonts w:asciiTheme="minorHAnsi" w:eastAsia="Calibri" w:hAnsiTheme="minorHAnsi" w:cstheme="minorHAnsi" w:hint="cs"/>
                <w:rtl/>
              </w:rPr>
              <w:t>ז</w:t>
            </w:r>
            <w:r w:rsidRPr="00DA1C06">
              <w:rPr>
                <w:rFonts w:asciiTheme="minorHAnsi" w:eastAsia="Calibri" w:hAnsiTheme="minorHAnsi" w:cstheme="minorHAnsi"/>
                <w:rtl/>
              </w:rPr>
              <w:t xml:space="preserve"> בתשרי, תשפ"ד</w:t>
            </w:r>
          </w:p>
          <w:p w:rsidR="00BE6FCC" w:rsidRPr="00DA1C06" w:rsidRDefault="00BE6FCC" w:rsidP="006C2A68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jc w:val="right"/>
              <w:rPr>
                <w:rFonts w:asciiTheme="minorHAnsi" w:eastAsia="Calibri" w:hAnsiTheme="minorHAnsi" w:cstheme="minorHAnsi"/>
                <w:highlight w:val="yellow"/>
              </w:rPr>
            </w:pPr>
            <w:r w:rsidRPr="00DA1C06">
              <w:rPr>
                <w:rFonts w:asciiTheme="minorHAnsi" w:eastAsia="Calibri" w:hAnsiTheme="minorHAnsi" w:cstheme="minorHAnsi"/>
                <w:rtl/>
              </w:rPr>
              <w:t>‏‏‏‏‏‏2</w:t>
            </w:r>
            <w:r>
              <w:rPr>
                <w:rFonts w:asciiTheme="minorHAnsi" w:eastAsia="Calibri" w:hAnsiTheme="minorHAnsi" w:cstheme="minorHAnsi" w:hint="cs"/>
                <w:rtl/>
              </w:rPr>
              <w:t>9</w:t>
            </w:r>
            <w:r w:rsidRPr="00DA1C06">
              <w:rPr>
                <w:rFonts w:asciiTheme="minorHAnsi" w:eastAsia="Calibri" w:hAnsiTheme="minorHAnsi" w:cstheme="minorHAnsi"/>
                <w:rtl/>
              </w:rPr>
              <w:t xml:space="preserve"> באוקטובר, 2024</w:t>
            </w:r>
          </w:p>
        </w:tc>
      </w:tr>
    </w:tbl>
    <w:p w:rsidR="00BE6FCC" w:rsidRPr="00BE6FCC" w:rsidRDefault="00BE6FCC" w:rsidP="0075102B">
      <w:pPr>
        <w:spacing w:line="276" w:lineRule="auto"/>
        <w:jc w:val="left"/>
        <w:rPr>
          <w:rFonts w:ascii="Calibri" w:hAnsi="Calibri" w:cs="Calibri"/>
          <w:rtl/>
        </w:rPr>
      </w:pPr>
      <w:bookmarkStart w:id="0" w:name="_GoBack"/>
      <w:bookmarkEnd w:id="0"/>
    </w:p>
    <w:p w:rsidR="00C20136" w:rsidRPr="00BE6FCC" w:rsidRDefault="00C20136" w:rsidP="0075102B">
      <w:pPr>
        <w:spacing w:line="276" w:lineRule="auto"/>
        <w:jc w:val="left"/>
        <w:rPr>
          <w:rFonts w:ascii="Calibri" w:hAnsi="Calibri" w:cs="Calibri"/>
          <w:rtl/>
        </w:rPr>
      </w:pPr>
      <w:r w:rsidRPr="00BE6FCC">
        <w:rPr>
          <w:rFonts w:ascii="Calibri" w:hAnsi="Calibri" w:cs="Calibri"/>
          <w:rtl/>
        </w:rPr>
        <w:t>הודעה לעיתונות</w:t>
      </w:r>
      <w:r w:rsidR="007623A0" w:rsidRPr="00BE6FCC">
        <w:rPr>
          <w:rFonts w:ascii="Calibri" w:hAnsi="Calibri" w:cs="Calibri"/>
          <w:rtl/>
        </w:rPr>
        <w:t>:</w:t>
      </w:r>
    </w:p>
    <w:p w:rsidR="00C20136" w:rsidRPr="00BE6FCC" w:rsidRDefault="00C20136" w:rsidP="0075102B">
      <w:pPr>
        <w:spacing w:line="276" w:lineRule="auto"/>
        <w:jc w:val="center"/>
        <w:rPr>
          <w:rFonts w:ascii="Calibri" w:hAnsi="Calibri" w:cs="Calibri"/>
          <w:b/>
          <w:bCs/>
          <w:u w:val="single"/>
          <w:rtl/>
        </w:rPr>
      </w:pPr>
    </w:p>
    <w:p w:rsidR="00A30CBA" w:rsidRPr="00BE6FCC" w:rsidRDefault="00496BBF" w:rsidP="00083F92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BE6FCC">
        <w:rPr>
          <w:rFonts w:ascii="Calibri" w:hAnsi="Calibri" w:cs="Calibri"/>
          <w:b/>
          <w:bCs/>
          <w:sz w:val="28"/>
          <w:szCs w:val="28"/>
          <w:rtl/>
        </w:rPr>
        <w:t xml:space="preserve">במסגרת הגברת האכיפה הצרכנית </w:t>
      </w:r>
      <w:r w:rsidR="00147DB3" w:rsidRPr="00BE6FCC">
        <w:rPr>
          <w:rFonts w:ascii="Calibri" w:hAnsi="Calibri" w:cs="Calibri"/>
          <w:b/>
          <w:bCs/>
          <w:sz w:val="28"/>
          <w:szCs w:val="28"/>
          <w:rtl/>
        </w:rPr>
        <w:t xml:space="preserve">וביצוע בקרות </w:t>
      </w:r>
      <w:r w:rsidRPr="00BE6FCC">
        <w:rPr>
          <w:rFonts w:ascii="Calibri" w:hAnsi="Calibri" w:cs="Calibri"/>
          <w:b/>
          <w:bCs/>
          <w:sz w:val="28"/>
          <w:szCs w:val="28"/>
          <w:rtl/>
        </w:rPr>
        <w:t xml:space="preserve">הטיל </w:t>
      </w:r>
      <w:r w:rsidR="0080438A" w:rsidRPr="00BE6FCC">
        <w:rPr>
          <w:rFonts w:ascii="Calibri" w:hAnsi="Calibri" w:cs="Calibri"/>
          <w:b/>
          <w:bCs/>
          <w:sz w:val="28"/>
          <w:szCs w:val="28"/>
          <w:rtl/>
        </w:rPr>
        <w:t xml:space="preserve">הפיקוח על הבנקים </w:t>
      </w:r>
      <w:r w:rsidR="00C20136" w:rsidRPr="00BE6FCC">
        <w:rPr>
          <w:rFonts w:ascii="Calibri" w:hAnsi="Calibri" w:cs="Calibri"/>
          <w:b/>
          <w:bCs/>
          <w:sz w:val="28"/>
          <w:szCs w:val="28"/>
          <w:rtl/>
        </w:rPr>
        <w:t xml:space="preserve">עיצומים כספיים </w:t>
      </w:r>
      <w:r w:rsidR="0075102B" w:rsidRPr="00BE6FCC">
        <w:rPr>
          <w:rFonts w:ascii="Calibri" w:hAnsi="Calibri" w:cs="Calibri"/>
          <w:b/>
          <w:bCs/>
          <w:sz w:val="28"/>
          <w:szCs w:val="28"/>
          <w:rtl/>
        </w:rPr>
        <w:t xml:space="preserve">בשל הפרת הוראות </w:t>
      </w:r>
      <w:r w:rsidR="008B1122" w:rsidRPr="00BE6FCC">
        <w:rPr>
          <w:rFonts w:ascii="Calibri" w:hAnsi="Calibri" w:cs="Calibri"/>
          <w:b/>
          <w:bCs/>
          <w:sz w:val="28"/>
          <w:szCs w:val="28"/>
          <w:rtl/>
        </w:rPr>
        <w:t>הפיקוח בנושאי גביית חובות ושירות</w:t>
      </w:r>
      <w:r w:rsidR="002549AA" w:rsidRPr="00BE6FCC">
        <w:rPr>
          <w:rFonts w:ascii="Calibri" w:hAnsi="Calibri" w:cs="Calibri"/>
          <w:b/>
          <w:bCs/>
          <w:sz w:val="28"/>
          <w:szCs w:val="28"/>
          <w:rtl/>
        </w:rPr>
        <w:t xml:space="preserve"> במוקד הטלפוני</w:t>
      </w:r>
    </w:p>
    <w:p w:rsidR="00F75C74" w:rsidRPr="00BE6FCC" w:rsidRDefault="00F75C74" w:rsidP="0075102B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:rsidR="00C20136" w:rsidRPr="00BE6FCC" w:rsidRDefault="0075102B" w:rsidP="005B168E">
      <w:pPr>
        <w:spacing w:line="276" w:lineRule="auto"/>
        <w:rPr>
          <w:rFonts w:ascii="Calibri" w:hAnsi="Calibri" w:cs="Calibri"/>
          <w:rtl/>
        </w:rPr>
      </w:pPr>
      <w:r w:rsidRPr="00BE6FCC">
        <w:rPr>
          <w:rFonts w:ascii="Calibri" w:hAnsi="Calibri" w:cs="Calibri"/>
          <w:rtl/>
        </w:rPr>
        <w:t xml:space="preserve">במסגרת בקרות </w:t>
      </w:r>
      <w:r w:rsidR="008B1122" w:rsidRPr="00BE6FCC">
        <w:rPr>
          <w:rFonts w:ascii="Calibri" w:hAnsi="Calibri" w:cs="Calibri"/>
          <w:rtl/>
        </w:rPr>
        <w:t xml:space="preserve">שוטפות </w:t>
      </w:r>
      <w:r w:rsidR="00E2513C" w:rsidRPr="00BE6FCC">
        <w:rPr>
          <w:rFonts w:ascii="Calibri" w:hAnsi="Calibri" w:cs="Calibri"/>
          <w:rtl/>
        </w:rPr>
        <w:t>שביצע הפיקוח במערכת הבנקאית/בחברות כרטיסי האשראי נמצא ש</w:t>
      </w:r>
      <w:r w:rsidR="00D62614" w:rsidRPr="00BE6FCC">
        <w:rPr>
          <w:rFonts w:ascii="Calibri" w:hAnsi="Calibri" w:cs="Calibri"/>
          <w:rtl/>
        </w:rPr>
        <w:t>חברת ישראכרט (להלן: "החברה")</w:t>
      </w:r>
      <w:r w:rsidRPr="00BE6FCC">
        <w:rPr>
          <w:rFonts w:ascii="Calibri" w:hAnsi="Calibri" w:cs="Calibri"/>
          <w:rtl/>
        </w:rPr>
        <w:t xml:space="preserve"> לא פעלה בהתאם לח</w:t>
      </w:r>
      <w:r w:rsidR="000B5B2A" w:rsidRPr="00BE6FCC">
        <w:rPr>
          <w:rFonts w:ascii="Calibri" w:hAnsi="Calibri" w:cs="Calibri"/>
          <w:rtl/>
        </w:rPr>
        <w:t xml:space="preserve">ובותיה </w:t>
      </w:r>
      <w:r w:rsidR="00083F92" w:rsidRPr="00BE6FCC">
        <w:rPr>
          <w:rFonts w:ascii="Calibri" w:hAnsi="Calibri" w:cs="Calibri"/>
          <w:rtl/>
        </w:rPr>
        <w:t xml:space="preserve">ולפיכך הוטל </w:t>
      </w:r>
      <w:r w:rsidR="000B5B2A" w:rsidRPr="00BE6FCC">
        <w:rPr>
          <w:rFonts w:ascii="Calibri" w:hAnsi="Calibri" w:cs="Calibri"/>
          <w:rtl/>
        </w:rPr>
        <w:t>עיצום כספי בסך של 900,000 ש"ח</w:t>
      </w:r>
      <w:r w:rsidR="00CF4DC5" w:rsidRPr="00BE6FCC">
        <w:rPr>
          <w:rFonts w:ascii="Calibri" w:hAnsi="Calibri" w:cs="Calibri"/>
          <w:rtl/>
        </w:rPr>
        <w:t xml:space="preserve"> בגין אי</w:t>
      </w:r>
      <w:r w:rsidR="00C54091" w:rsidRPr="00BE6FCC">
        <w:rPr>
          <w:rFonts w:ascii="Calibri" w:hAnsi="Calibri" w:cs="Calibri"/>
          <w:rtl/>
        </w:rPr>
        <w:t>-</w:t>
      </w:r>
      <w:r w:rsidR="00CF4DC5" w:rsidRPr="00BE6FCC">
        <w:rPr>
          <w:rFonts w:ascii="Calibri" w:hAnsi="Calibri" w:cs="Calibri"/>
          <w:rtl/>
        </w:rPr>
        <w:t>עמידה בהורא</w:t>
      </w:r>
      <w:r w:rsidR="00C54091" w:rsidRPr="00BE6FCC">
        <w:rPr>
          <w:rFonts w:ascii="Calibri" w:hAnsi="Calibri" w:cs="Calibri"/>
          <w:rtl/>
        </w:rPr>
        <w:t>ו</w:t>
      </w:r>
      <w:r w:rsidR="00CF4DC5" w:rsidRPr="00BE6FCC">
        <w:rPr>
          <w:rFonts w:ascii="Calibri" w:hAnsi="Calibri" w:cs="Calibri"/>
          <w:rtl/>
        </w:rPr>
        <w:t>ת הפיקוח בנושא גביית חובות</w:t>
      </w:r>
      <w:r w:rsidR="00C54091" w:rsidRPr="00BE6FCC">
        <w:rPr>
          <w:rFonts w:ascii="Calibri" w:hAnsi="Calibri" w:cs="Calibri"/>
          <w:rtl/>
        </w:rPr>
        <w:t>;</w:t>
      </w:r>
      <w:r w:rsidRPr="00BE6FCC">
        <w:rPr>
          <w:rFonts w:ascii="Calibri" w:hAnsi="Calibri" w:cs="Calibri"/>
          <w:rtl/>
        </w:rPr>
        <w:t xml:space="preserve"> </w:t>
      </w:r>
      <w:r w:rsidR="00CF4DC5" w:rsidRPr="00BE6FCC">
        <w:rPr>
          <w:rFonts w:ascii="Calibri" w:hAnsi="Calibri" w:cs="Calibri"/>
          <w:rtl/>
        </w:rPr>
        <w:t>ו</w:t>
      </w:r>
      <w:r w:rsidR="000B5B2A" w:rsidRPr="00BE6FCC">
        <w:rPr>
          <w:rFonts w:ascii="Calibri" w:hAnsi="Calibri" w:cs="Calibri"/>
          <w:rtl/>
        </w:rPr>
        <w:t xml:space="preserve">עיצום כספי נוסף בסך של 50,000 ש"ח </w:t>
      </w:r>
      <w:r w:rsidR="00CF4DC5" w:rsidRPr="00BE6FCC">
        <w:rPr>
          <w:rFonts w:ascii="Calibri" w:hAnsi="Calibri" w:cs="Calibri"/>
          <w:rtl/>
        </w:rPr>
        <w:t>ב</w:t>
      </w:r>
      <w:r w:rsidR="000B5B2A" w:rsidRPr="00BE6FCC">
        <w:rPr>
          <w:rFonts w:ascii="Calibri" w:hAnsi="Calibri" w:cs="Calibri"/>
          <w:rtl/>
        </w:rPr>
        <w:t>ש</w:t>
      </w:r>
      <w:r w:rsidR="00CF4DC5" w:rsidRPr="00BE6FCC">
        <w:rPr>
          <w:rFonts w:ascii="Calibri" w:hAnsi="Calibri" w:cs="Calibri"/>
          <w:rtl/>
        </w:rPr>
        <w:t>ל קשיים בקבלת מענה אנושי במוקד הטלפוני בעת בקשה לסיום התקשרות.</w:t>
      </w:r>
    </w:p>
    <w:p w:rsidR="000B5B2A" w:rsidRPr="00BE6FCC" w:rsidRDefault="000B5B2A" w:rsidP="000B5B2A">
      <w:pPr>
        <w:spacing w:line="276" w:lineRule="auto"/>
        <w:rPr>
          <w:rFonts w:ascii="Calibri" w:hAnsi="Calibri" w:cs="Calibri"/>
          <w:rtl/>
        </w:rPr>
      </w:pPr>
    </w:p>
    <w:p w:rsidR="000B5B2A" w:rsidRPr="00BE6FCC" w:rsidRDefault="000B5B2A" w:rsidP="000B5B2A">
      <w:pPr>
        <w:spacing w:line="276" w:lineRule="auto"/>
        <w:rPr>
          <w:rFonts w:ascii="Calibri" w:hAnsi="Calibri" w:cs="Calibri"/>
          <w:rtl/>
        </w:rPr>
      </w:pPr>
      <w:r w:rsidRPr="00BE6FCC">
        <w:rPr>
          <w:rFonts w:ascii="Calibri" w:hAnsi="Calibri" w:cs="Calibri"/>
          <w:u w:val="single"/>
          <w:rtl/>
        </w:rPr>
        <w:t>להלן פירוט הליקויים בגינם הוטלו העיצומים הכספיים</w:t>
      </w:r>
      <w:r w:rsidRPr="00BE6FCC">
        <w:rPr>
          <w:rFonts w:ascii="Calibri" w:hAnsi="Calibri" w:cs="Calibri"/>
          <w:rtl/>
        </w:rPr>
        <w:t xml:space="preserve">: </w:t>
      </w:r>
    </w:p>
    <w:p w:rsidR="00CF4DC5" w:rsidRPr="00BE6FCC" w:rsidRDefault="008B1122" w:rsidP="00BF3553">
      <w:pPr>
        <w:pStyle w:val="a3"/>
        <w:numPr>
          <w:ilvl w:val="0"/>
          <w:numId w:val="4"/>
        </w:numPr>
        <w:spacing w:line="276" w:lineRule="auto"/>
        <w:rPr>
          <w:rFonts w:ascii="Calibri" w:hAnsi="Calibri" w:cs="Calibri"/>
          <w:rtl/>
        </w:rPr>
      </w:pPr>
      <w:r w:rsidRPr="00BE6FCC">
        <w:rPr>
          <w:rFonts w:ascii="Calibri" w:hAnsi="Calibri" w:cs="Calibri"/>
          <w:b/>
          <w:bCs/>
          <w:rtl/>
        </w:rPr>
        <w:t>גביית חובות</w:t>
      </w:r>
      <w:r w:rsidR="00C54091" w:rsidRPr="00BE6FCC">
        <w:rPr>
          <w:rFonts w:ascii="Calibri" w:hAnsi="Calibri" w:cs="Calibri"/>
          <w:b/>
          <w:bCs/>
          <w:rtl/>
        </w:rPr>
        <w:t xml:space="preserve"> </w:t>
      </w:r>
      <w:r w:rsidR="00C54091" w:rsidRPr="00BE6FCC">
        <w:rPr>
          <w:rFonts w:ascii="Calibri" w:hAnsi="Calibri" w:cs="Calibri"/>
          <w:rtl/>
        </w:rPr>
        <w:t>–</w:t>
      </w:r>
      <w:r w:rsidRPr="00BE6FCC">
        <w:rPr>
          <w:rFonts w:ascii="Calibri" w:hAnsi="Calibri" w:cs="Calibri"/>
          <w:rtl/>
        </w:rPr>
        <w:t xml:space="preserve"> </w:t>
      </w:r>
      <w:r w:rsidR="00CF4DC5" w:rsidRPr="00BE6FCC">
        <w:rPr>
          <w:rFonts w:ascii="Calibri" w:hAnsi="Calibri" w:cs="Calibri"/>
          <w:rtl/>
        </w:rPr>
        <w:t>במסגרת בקרה ב</w:t>
      </w:r>
      <w:r w:rsidR="000B5B2A" w:rsidRPr="00BE6FCC">
        <w:rPr>
          <w:rFonts w:ascii="Calibri" w:hAnsi="Calibri" w:cs="Calibri"/>
          <w:rtl/>
        </w:rPr>
        <w:t xml:space="preserve">נושא </w:t>
      </w:r>
      <w:r w:rsidRPr="00BE6FCC">
        <w:rPr>
          <w:rFonts w:ascii="Calibri" w:hAnsi="Calibri" w:cs="Calibri"/>
          <w:rtl/>
        </w:rPr>
        <w:t xml:space="preserve">זה </w:t>
      </w:r>
      <w:r w:rsidR="00CF4DC5" w:rsidRPr="00BE6FCC">
        <w:rPr>
          <w:rFonts w:ascii="Calibri" w:hAnsi="Calibri" w:cs="Calibri"/>
          <w:rtl/>
        </w:rPr>
        <w:t xml:space="preserve">עלו ליקויים בדיווח </w:t>
      </w:r>
      <w:r w:rsidR="000B5B2A" w:rsidRPr="00BE6FCC">
        <w:rPr>
          <w:rFonts w:ascii="Calibri" w:hAnsi="Calibri" w:cs="Calibri"/>
          <w:rtl/>
        </w:rPr>
        <w:t xml:space="preserve">באי כוח החברה </w:t>
      </w:r>
      <w:r w:rsidR="00CF4DC5" w:rsidRPr="00BE6FCC">
        <w:rPr>
          <w:rFonts w:ascii="Calibri" w:hAnsi="Calibri" w:cs="Calibri"/>
          <w:rtl/>
        </w:rPr>
        <w:t>להוצאה לפועל על תקבולים ששולמו על חשבון החוב</w:t>
      </w:r>
      <w:r w:rsidR="000B5B2A" w:rsidRPr="00BE6FCC">
        <w:rPr>
          <w:rFonts w:ascii="Calibri" w:hAnsi="Calibri" w:cs="Calibri"/>
          <w:rtl/>
        </w:rPr>
        <w:t>,</w:t>
      </w:r>
      <w:r w:rsidR="00CF4DC5" w:rsidRPr="00BE6FCC">
        <w:rPr>
          <w:rFonts w:ascii="Calibri" w:hAnsi="Calibri" w:cs="Calibri"/>
          <w:rtl/>
        </w:rPr>
        <w:t xml:space="preserve"> וכן עלו מקרים בהם </w:t>
      </w:r>
      <w:r w:rsidR="000B5B2A" w:rsidRPr="00BE6FCC">
        <w:rPr>
          <w:rFonts w:ascii="Calibri" w:hAnsi="Calibri" w:cs="Calibri"/>
          <w:rtl/>
        </w:rPr>
        <w:t>הסדרי חוב עם לקוחות</w:t>
      </w:r>
      <w:r w:rsidR="00CF4DC5" w:rsidRPr="00BE6FCC">
        <w:rPr>
          <w:rFonts w:ascii="Calibri" w:hAnsi="Calibri" w:cs="Calibri"/>
          <w:rtl/>
        </w:rPr>
        <w:t xml:space="preserve"> </w:t>
      </w:r>
      <w:r w:rsidR="000B5B2A" w:rsidRPr="00BE6FCC">
        <w:rPr>
          <w:rFonts w:ascii="Calibri" w:hAnsi="Calibri" w:cs="Calibri"/>
          <w:rtl/>
        </w:rPr>
        <w:t xml:space="preserve">דווחו </w:t>
      </w:r>
      <w:r w:rsidR="00CF4DC5" w:rsidRPr="00BE6FCC">
        <w:rPr>
          <w:rFonts w:ascii="Calibri" w:hAnsi="Calibri" w:cs="Calibri"/>
          <w:rtl/>
        </w:rPr>
        <w:t>להוצאה לפועל בזמן שאינו סביר</w:t>
      </w:r>
      <w:r w:rsidR="000B5B2A" w:rsidRPr="00BE6FCC">
        <w:rPr>
          <w:rFonts w:ascii="Calibri" w:hAnsi="Calibri" w:cs="Calibri"/>
          <w:rtl/>
        </w:rPr>
        <w:t xml:space="preserve"> על יד באי כוח החברה</w:t>
      </w:r>
      <w:r w:rsidR="00CF4DC5" w:rsidRPr="00BE6FCC">
        <w:rPr>
          <w:rFonts w:ascii="Calibri" w:hAnsi="Calibri" w:cs="Calibri"/>
          <w:rtl/>
        </w:rPr>
        <w:t>.</w:t>
      </w:r>
      <w:r w:rsidR="000B5B2A" w:rsidRPr="00BE6FCC">
        <w:rPr>
          <w:rFonts w:ascii="Calibri" w:hAnsi="Calibri" w:cs="Calibri"/>
          <w:rtl/>
        </w:rPr>
        <w:t xml:space="preserve"> </w:t>
      </w:r>
      <w:r w:rsidR="00CF4DC5" w:rsidRPr="00BE6FCC">
        <w:rPr>
          <w:rFonts w:ascii="Calibri" w:hAnsi="Calibri" w:cs="Calibri"/>
          <w:rtl/>
        </w:rPr>
        <w:t xml:space="preserve">בהתאם לחוק, סכום העיצום הכספי המקסימאלי שניתן להטיל בגין הפרות מסוג זה הינו 2,000,000 </w:t>
      </w:r>
      <w:r w:rsidR="000B5B2A" w:rsidRPr="00BE6FCC">
        <w:rPr>
          <w:rFonts w:ascii="Calibri" w:hAnsi="Calibri" w:cs="Calibri"/>
          <w:rtl/>
        </w:rPr>
        <w:t>ש"ח</w:t>
      </w:r>
      <w:r w:rsidR="00CF4DC5" w:rsidRPr="00BE6FCC">
        <w:rPr>
          <w:rFonts w:ascii="Calibri" w:hAnsi="Calibri" w:cs="Calibri"/>
          <w:rtl/>
        </w:rPr>
        <w:t>. לאור פעולות שביצעה החברה לשי</w:t>
      </w:r>
      <w:r w:rsidR="000B5B2A" w:rsidRPr="00BE6FCC">
        <w:rPr>
          <w:rFonts w:ascii="Calibri" w:hAnsi="Calibri" w:cs="Calibri"/>
          <w:rtl/>
        </w:rPr>
        <w:t>פור הליכי הגבייה בטרם מועד התערבות הפיקוח וכן ל</w:t>
      </w:r>
      <w:r w:rsidR="00CF4DC5" w:rsidRPr="00BE6FCC">
        <w:rPr>
          <w:rFonts w:ascii="Calibri" w:hAnsi="Calibri" w:cs="Calibri"/>
          <w:rtl/>
        </w:rPr>
        <w:t>אחריה, החליט הפיקוח על הבנקים להטיל על חברת 'ישראכרט' עיצום כספי מופחת בסך 90</w:t>
      </w:r>
      <w:r w:rsidR="000B5B2A" w:rsidRPr="00BE6FCC">
        <w:rPr>
          <w:rFonts w:ascii="Calibri" w:hAnsi="Calibri" w:cs="Calibri"/>
          <w:rtl/>
        </w:rPr>
        <w:t>0,000 ש"ח.</w:t>
      </w:r>
    </w:p>
    <w:p w:rsidR="000B5B2A" w:rsidRPr="00BE6FCC" w:rsidRDefault="000B5B2A" w:rsidP="0075102B">
      <w:pPr>
        <w:spacing w:line="276" w:lineRule="auto"/>
        <w:ind w:left="360"/>
        <w:rPr>
          <w:rFonts w:ascii="Calibri" w:hAnsi="Calibri" w:cs="Calibri"/>
          <w:rtl/>
        </w:rPr>
      </w:pPr>
    </w:p>
    <w:p w:rsidR="0053552B" w:rsidRPr="00BE6FCC" w:rsidRDefault="0053552B" w:rsidP="00BF3553">
      <w:pPr>
        <w:pStyle w:val="a3"/>
        <w:spacing w:line="276" w:lineRule="auto"/>
        <w:rPr>
          <w:rFonts w:ascii="Calibri" w:hAnsi="Calibri" w:cs="Calibri"/>
          <w:rtl/>
        </w:rPr>
      </w:pPr>
      <w:r w:rsidRPr="00BE6FCC">
        <w:rPr>
          <w:rFonts w:ascii="Calibri" w:hAnsi="Calibri" w:cs="Calibri"/>
          <w:rtl/>
        </w:rPr>
        <w:t xml:space="preserve">לעיון בהחלטה ופירוט ההפרות שאותרו, שיקולי ההחלטה והטעמים להטלת העיצום תוך הפחתתו ראו: </w:t>
      </w:r>
      <w:r w:rsidRPr="00BE6FCC">
        <w:rPr>
          <w:rFonts w:ascii="Calibri" w:hAnsi="Calibri" w:cs="Calibri"/>
          <w:b/>
          <w:bCs/>
          <w:rtl/>
        </w:rPr>
        <w:t>החלטה בדבר הטלת עיצום כספי בגין הפרת הוראת ניהול בנקאי תקין מס</w:t>
      </w:r>
      <w:r w:rsidR="004C4982" w:rsidRPr="00BE6FCC">
        <w:rPr>
          <w:rFonts w:ascii="Calibri" w:hAnsi="Calibri" w:cs="Calibri"/>
          <w:b/>
          <w:bCs/>
          <w:rtl/>
        </w:rPr>
        <w:t>' 450.</w:t>
      </w:r>
      <w:r w:rsidR="004C4982" w:rsidRPr="00BE6FCC">
        <w:rPr>
          <w:rFonts w:ascii="Calibri" w:hAnsi="Calibri" w:cs="Calibri"/>
          <w:rtl/>
        </w:rPr>
        <w:t xml:space="preserve"> </w:t>
      </w:r>
      <w:r w:rsidR="00CE1CB2" w:rsidRPr="00BE6FCC">
        <w:rPr>
          <w:rFonts w:ascii="Calibri" w:hAnsi="Calibri" w:cs="Calibri"/>
          <w:rtl/>
        </w:rPr>
        <w:t>עוד יצוין כי כפועל יוצא מהבקרה הרוחבית הוטלו בשנת 2023</w:t>
      </w:r>
      <w:r w:rsidR="003B5C5D" w:rsidRPr="00BE6FCC">
        <w:rPr>
          <w:rFonts w:ascii="Calibri" w:hAnsi="Calibri" w:cs="Calibri"/>
          <w:rtl/>
        </w:rPr>
        <w:t xml:space="preserve"> ובשנת 2024</w:t>
      </w:r>
      <w:r w:rsidR="00CE1CB2" w:rsidRPr="00BE6FCC">
        <w:rPr>
          <w:rFonts w:ascii="Calibri" w:hAnsi="Calibri" w:cs="Calibri"/>
          <w:rtl/>
        </w:rPr>
        <w:t xml:space="preserve"> עיצומים כספיים על </w:t>
      </w:r>
      <w:r w:rsidR="003B5C5D" w:rsidRPr="00BE6FCC">
        <w:rPr>
          <w:rFonts w:ascii="Calibri" w:hAnsi="Calibri" w:cs="Calibri"/>
          <w:rtl/>
        </w:rPr>
        <w:t>תאגידים בנקאיים</w:t>
      </w:r>
      <w:r w:rsidR="00CE1CB2" w:rsidRPr="00BE6FCC">
        <w:rPr>
          <w:rFonts w:ascii="Calibri" w:hAnsi="Calibri" w:cs="Calibri"/>
          <w:rtl/>
        </w:rPr>
        <w:t xml:space="preserve"> נוספים בגין הפרות דומות</w:t>
      </w:r>
      <w:r w:rsidR="00CE1CB2" w:rsidRPr="00BE6FCC">
        <w:rPr>
          <w:rStyle w:val="a6"/>
          <w:rFonts w:ascii="Calibri" w:hAnsi="Calibri" w:cs="Calibri"/>
          <w:rtl/>
        </w:rPr>
        <w:footnoteReference w:id="1"/>
      </w:r>
      <w:r w:rsidR="003B5C5D" w:rsidRPr="00BE6FCC">
        <w:rPr>
          <w:rFonts w:ascii="Calibri" w:hAnsi="Calibri" w:cs="Calibri"/>
          <w:rtl/>
        </w:rPr>
        <w:t>.</w:t>
      </w:r>
    </w:p>
    <w:p w:rsidR="0053552B" w:rsidRPr="00BE6FCC" w:rsidRDefault="0053552B" w:rsidP="0075102B">
      <w:pPr>
        <w:spacing w:line="276" w:lineRule="auto"/>
        <w:rPr>
          <w:rFonts w:ascii="Calibri" w:hAnsi="Calibri" w:cs="Calibri"/>
          <w:b/>
          <w:bCs/>
          <w:rtl/>
        </w:rPr>
      </w:pPr>
    </w:p>
    <w:p w:rsidR="009E776D" w:rsidRPr="00BE6FCC" w:rsidRDefault="008B1122" w:rsidP="00BF3553">
      <w:pPr>
        <w:pStyle w:val="a3"/>
        <w:numPr>
          <w:ilvl w:val="0"/>
          <w:numId w:val="4"/>
        </w:numPr>
        <w:spacing w:line="276" w:lineRule="auto"/>
        <w:rPr>
          <w:rFonts w:ascii="Calibri" w:hAnsi="Calibri" w:cs="Calibri"/>
          <w:rtl/>
        </w:rPr>
      </w:pPr>
      <w:r w:rsidRPr="00BE6FCC">
        <w:rPr>
          <w:rFonts w:ascii="Calibri" w:hAnsi="Calibri" w:cs="Calibri"/>
          <w:b/>
          <w:bCs/>
          <w:rtl/>
        </w:rPr>
        <w:t>מענה אנושי במוקד הטלפוני</w:t>
      </w:r>
      <w:r w:rsidR="00C54091" w:rsidRPr="00BE6FCC">
        <w:rPr>
          <w:rFonts w:ascii="Calibri" w:hAnsi="Calibri" w:cs="Calibri"/>
          <w:rtl/>
        </w:rPr>
        <w:t xml:space="preserve"> –</w:t>
      </w:r>
      <w:r w:rsidR="000B5B2A" w:rsidRPr="00BE6FCC">
        <w:rPr>
          <w:rFonts w:ascii="Calibri" w:hAnsi="Calibri" w:cs="Calibri"/>
          <w:rtl/>
        </w:rPr>
        <w:t xml:space="preserve"> </w:t>
      </w:r>
      <w:r w:rsidR="009E776D" w:rsidRPr="00BE6FCC">
        <w:rPr>
          <w:rFonts w:ascii="Calibri" w:hAnsi="Calibri" w:cs="Calibri"/>
          <w:rtl/>
        </w:rPr>
        <w:t xml:space="preserve">כחלק ממהלכי בקרה שוטפים, ביצע הפיקוח בדיקה בכלל המוקדים של הבנקים וחברות כרטיסי האשראי, </w:t>
      </w:r>
      <w:r w:rsidRPr="00BE6FCC">
        <w:rPr>
          <w:rFonts w:ascii="Calibri" w:hAnsi="Calibri" w:cs="Calibri"/>
          <w:rtl/>
        </w:rPr>
        <w:t>ב</w:t>
      </w:r>
      <w:r w:rsidR="009E776D" w:rsidRPr="00BE6FCC">
        <w:rPr>
          <w:rFonts w:ascii="Calibri" w:hAnsi="Calibri" w:cs="Calibri"/>
          <w:rtl/>
        </w:rPr>
        <w:t>מטרה לוודא את פשטות ההגעה למענה אנושי במוקד הטלפוני, ואת העמידה</w:t>
      </w:r>
      <w:r w:rsidR="000B5B2A" w:rsidRPr="00BE6FCC">
        <w:rPr>
          <w:rFonts w:ascii="Calibri" w:hAnsi="Calibri" w:cs="Calibri"/>
          <w:rtl/>
        </w:rPr>
        <w:t xml:space="preserve"> בהוראות החוק המסדירות נושא זה.</w:t>
      </w:r>
    </w:p>
    <w:p w:rsidR="009E776D" w:rsidRPr="00BE6FCC" w:rsidRDefault="009E776D" w:rsidP="00BF3553">
      <w:pPr>
        <w:pStyle w:val="a3"/>
        <w:spacing w:line="276" w:lineRule="auto"/>
        <w:rPr>
          <w:rFonts w:ascii="Calibri" w:hAnsi="Calibri" w:cs="Calibri"/>
          <w:rtl/>
        </w:rPr>
      </w:pPr>
      <w:r w:rsidRPr="00BE6FCC">
        <w:rPr>
          <w:rFonts w:ascii="Calibri" w:hAnsi="Calibri" w:cs="Calibri"/>
          <w:rtl/>
        </w:rPr>
        <w:t xml:space="preserve">ממצאי הבדיקה העלו </w:t>
      </w:r>
      <w:r w:rsidR="000B5B2A" w:rsidRPr="00BE6FCC">
        <w:rPr>
          <w:rFonts w:ascii="Calibri" w:hAnsi="Calibri" w:cs="Calibri"/>
          <w:rtl/>
        </w:rPr>
        <w:t>שהחברה לא עמדה בהוראת חוק הבנקאות</w:t>
      </w:r>
      <w:r w:rsidR="000B5B2A" w:rsidRPr="00BE6FCC">
        <w:rPr>
          <w:rStyle w:val="a6"/>
          <w:rFonts w:ascii="Calibri" w:eastAsiaTheme="minorHAnsi" w:hAnsi="Calibri" w:cs="Calibri"/>
          <w:kern w:val="28"/>
          <w:rtl/>
        </w:rPr>
        <w:footnoteReference w:id="2"/>
      </w:r>
      <w:r w:rsidRPr="00BE6FCC">
        <w:rPr>
          <w:rFonts w:ascii="Calibri" w:hAnsi="Calibri" w:cs="Calibri"/>
          <w:rtl/>
        </w:rPr>
        <w:t xml:space="preserve">, שכן היא לא העמידה ללקוחותיה אפשרות לקבלת מענה אנושי במוקד </w:t>
      </w:r>
      <w:r w:rsidR="002549AA" w:rsidRPr="00BE6FCC">
        <w:rPr>
          <w:rFonts w:ascii="Calibri" w:hAnsi="Calibri" w:cs="Calibri"/>
          <w:rtl/>
        </w:rPr>
        <w:t xml:space="preserve">הטלפוני </w:t>
      </w:r>
      <w:r w:rsidRPr="00BE6FCC">
        <w:rPr>
          <w:rFonts w:ascii="Calibri" w:hAnsi="Calibri" w:cs="Calibri"/>
          <w:rtl/>
        </w:rPr>
        <w:t>בכל הנוגע לסיום התקשרות</w:t>
      </w:r>
      <w:r w:rsidR="002549AA" w:rsidRPr="00BE6FCC">
        <w:rPr>
          <w:rFonts w:ascii="Calibri" w:hAnsi="Calibri" w:cs="Calibri"/>
          <w:rtl/>
        </w:rPr>
        <w:t>,</w:t>
      </w:r>
      <w:r w:rsidRPr="00BE6FCC">
        <w:rPr>
          <w:rFonts w:ascii="Calibri" w:hAnsi="Calibri" w:cs="Calibri"/>
          <w:rtl/>
        </w:rPr>
        <w:t xml:space="preserve"> בסמוך לתחילת השיחה</w:t>
      </w:r>
      <w:r w:rsidR="002549AA" w:rsidRPr="00BE6FCC">
        <w:rPr>
          <w:rFonts w:ascii="Calibri" w:hAnsi="Calibri" w:cs="Calibri"/>
          <w:rtl/>
        </w:rPr>
        <w:t>.</w:t>
      </w:r>
      <w:r w:rsidRPr="00BE6FCC">
        <w:rPr>
          <w:rFonts w:ascii="Calibri" w:hAnsi="Calibri" w:cs="Calibri"/>
          <w:rtl/>
        </w:rPr>
        <w:t xml:space="preserve"> </w:t>
      </w:r>
    </w:p>
    <w:p w:rsidR="009E776D" w:rsidRPr="00BE6FCC" w:rsidRDefault="008B6812" w:rsidP="00BF3553">
      <w:pPr>
        <w:pStyle w:val="a3"/>
        <w:spacing w:line="276" w:lineRule="auto"/>
        <w:rPr>
          <w:rFonts w:ascii="Calibri" w:hAnsi="Calibri" w:cs="Calibri"/>
          <w:rtl/>
        </w:rPr>
      </w:pPr>
      <w:r w:rsidRPr="00BE6FCC">
        <w:rPr>
          <w:rFonts w:ascii="Calibri" w:hAnsi="Calibri" w:cs="Calibri"/>
          <w:rtl/>
        </w:rPr>
        <w:t xml:space="preserve">הפיקוח על הבנקים החליט להטיל על חברת 'ישראכרט' עיצום כספי בסך 50,000 ₪, - </w:t>
      </w:r>
      <w:r w:rsidR="009E776D" w:rsidRPr="00BE6FCC">
        <w:rPr>
          <w:rFonts w:ascii="Calibri" w:hAnsi="Calibri" w:cs="Calibri"/>
          <w:rtl/>
        </w:rPr>
        <w:t xml:space="preserve">סכום העיצום הכספי המקסימאלי שניתן להטיל בגין הפרה מסוג זה </w:t>
      </w:r>
      <w:r w:rsidRPr="00BE6FCC">
        <w:rPr>
          <w:rFonts w:ascii="Calibri" w:hAnsi="Calibri" w:cs="Calibri"/>
          <w:rtl/>
        </w:rPr>
        <w:t>בהתאם לחוק.</w:t>
      </w:r>
    </w:p>
    <w:p w:rsidR="002549AA" w:rsidRPr="00BE6FCC" w:rsidRDefault="002549AA" w:rsidP="0075102B">
      <w:pPr>
        <w:spacing w:line="276" w:lineRule="auto"/>
        <w:ind w:left="360"/>
        <w:rPr>
          <w:rFonts w:ascii="Calibri" w:hAnsi="Calibri" w:cs="Calibri"/>
          <w:rtl/>
        </w:rPr>
      </w:pPr>
    </w:p>
    <w:p w:rsidR="002549AA" w:rsidRPr="00BE6FCC" w:rsidRDefault="002549AA" w:rsidP="00BF3553">
      <w:pPr>
        <w:spacing w:line="276" w:lineRule="auto"/>
        <w:ind w:left="360"/>
        <w:rPr>
          <w:rFonts w:ascii="Calibri" w:hAnsi="Calibri" w:cs="Calibri"/>
          <w:sz w:val="28"/>
          <w:rtl/>
        </w:rPr>
      </w:pPr>
      <w:r w:rsidRPr="00BE6FCC">
        <w:rPr>
          <w:rFonts w:ascii="Calibri" w:hAnsi="Calibri" w:cs="Calibri"/>
          <w:rtl/>
        </w:rPr>
        <w:t xml:space="preserve">לעיון בהחלטה ופירוט ההפרות שאותרו, שיקולי ההחלטה והטעמים להטלת העיצום ראו: </w:t>
      </w:r>
      <w:r w:rsidRPr="00BE6FCC">
        <w:rPr>
          <w:rFonts w:ascii="Calibri" w:hAnsi="Calibri" w:cs="Calibri"/>
          <w:b/>
          <w:bCs/>
          <w:sz w:val="28"/>
          <w:rtl/>
        </w:rPr>
        <w:t>החלטה בדבר הטלת עיצום כספי בגין קשיים בקבלת מענה אנושי במוקד הטלפוני לצורך סיום התקשרות.</w:t>
      </w:r>
    </w:p>
    <w:p w:rsidR="002549AA" w:rsidRPr="00BE6FCC" w:rsidRDefault="002549AA" w:rsidP="002549AA">
      <w:pPr>
        <w:spacing w:line="276" w:lineRule="auto"/>
        <w:ind w:left="360"/>
        <w:rPr>
          <w:rFonts w:ascii="Calibri" w:hAnsi="Calibri" w:cs="Calibri"/>
          <w:rtl/>
        </w:rPr>
      </w:pPr>
    </w:p>
    <w:p w:rsidR="00C20136" w:rsidRPr="00BE6FCC" w:rsidRDefault="00C20136" w:rsidP="002549AA">
      <w:pPr>
        <w:spacing w:line="276" w:lineRule="auto"/>
        <w:ind w:left="360"/>
        <w:rPr>
          <w:rFonts w:ascii="Calibri" w:hAnsi="Calibri" w:cs="Calibri"/>
        </w:rPr>
      </w:pPr>
    </w:p>
    <w:sectPr w:rsidR="00C20136" w:rsidRPr="00BE6FCC" w:rsidSect="007A3D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D2" w:rsidRDefault="00494DD2" w:rsidP="005B3692">
      <w:pPr>
        <w:spacing w:line="240" w:lineRule="auto"/>
      </w:pPr>
      <w:r>
        <w:separator/>
      </w:r>
    </w:p>
  </w:endnote>
  <w:endnote w:type="continuationSeparator" w:id="0">
    <w:p w:rsidR="00494DD2" w:rsidRDefault="00494DD2" w:rsidP="005B3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D2" w:rsidRDefault="00494DD2" w:rsidP="005B3692">
      <w:pPr>
        <w:spacing w:line="240" w:lineRule="auto"/>
      </w:pPr>
      <w:r>
        <w:separator/>
      </w:r>
    </w:p>
  </w:footnote>
  <w:footnote w:type="continuationSeparator" w:id="0">
    <w:p w:rsidR="00494DD2" w:rsidRDefault="00494DD2" w:rsidP="005B3692">
      <w:pPr>
        <w:spacing w:line="240" w:lineRule="auto"/>
      </w:pPr>
      <w:r>
        <w:continuationSeparator/>
      </w:r>
    </w:p>
  </w:footnote>
  <w:footnote w:id="1">
    <w:p w:rsidR="00CE1CB2" w:rsidRPr="007623A0" w:rsidRDefault="00CE1CB2" w:rsidP="007623A0">
      <w:pPr>
        <w:pStyle w:val="a4"/>
        <w:rPr>
          <w:rFonts w:asciiTheme="minorHAnsi" w:hAnsiTheme="minorHAnsi" w:cstheme="minorHAnsi"/>
          <w:rtl/>
        </w:rPr>
      </w:pPr>
      <w:r w:rsidRPr="007623A0">
        <w:rPr>
          <w:rStyle w:val="a6"/>
          <w:rFonts w:asciiTheme="minorHAnsi" w:hAnsiTheme="minorHAnsi" w:cstheme="minorHAnsi"/>
        </w:rPr>
        <w:footnoteRef/>
      </w:r>
      <w:r w:rsidRPr="007623A0">
        <w:rPr>
          <w:rFonts w:asciiTheme="minorHAnsi" w:hAnsiTheme="minorHAnsi" w:cstheme="minorHAnsi"/>
          <w:rtl/>
        </w:rPr>
        <w:t xml:space="preserve"> </w:t>
      </w:r>
      <w:r w:rsidR="007623A0" w:rsidRPr="007623A0">
        <w:rPr>
          <w:rFonts w:asciiTheme="minorHAnsi" w:hAnsiTheme="minorHAnsi" w:cstheme="minorHAnsi"/>
          <w:rtl/>
        </w:rPr>
        <w:t xml:space="preserve"> </w:t>
      </w:r>
      <w:hyperlink r:id="rId1" w:history="1">
        <w:r w:rsidR="007623A0" w:rsidRPr="007623A0">
          <w:rPr>
            <w:rStyle w:val="Hyperlink"/>
            <w:rFonts w:asciiTheme="minorHAnsi" w:hAnsiTheme="minorHAnsi" w:cstheme="minorHAnsi"/>
          </w:rPr>
          <w:t>https://www.boi.org.il/publications/pressreleases/54696</w:t>
        </w:r>
        <w:r w:rsidR="007623A0" w:rsidRPr="007623A0">
          <w:rPr>
            <w:rStyle w:val="Hyperlink"/>
            <w:rFonts w:asciiTheme="minorHAnsi" w:hAnsiTheme="minorHAnsi" w:cstheme="minorHAnsi"/>
            <w:rtl/>
          </w:rPr>
          <w:t>/</w:t>
        </w:r>
      </w:hyperlink>
      <w:r w:rsidR="003B5C5D">
        <w:rPr>
          <w:rFonts w:asciiTheme="minorHAnsi" w:hAnsiTheme="minorHAnsi" w:cstheme="minorHAnsi" w:hint="cs"/>
          <w:rtl/>
        </w:rPr>
        <w:t xml:space="preserve"> </w:t>
      </w:r>
      <w:r w:rsidR="003B5C5D" w:rsidRPr="003B5C5D">
        <w:rPr>
          <w:rStyle w:val="Hyperlink"/>
        </w:rPr>
        <w:t>https://www.boi.org.il/publications/pressreleases/12-02-2024</w:t>
      </w:r>
      <w:r w:rsidR="003B5C5D" w:rsidRPr="003B5C5D">
        <w:rPr>
          <w:rStyle w:val="Hyperlink"/>
          <w:rFonts w:cstheme="minorHAnsi"/>
          <w:rtl/>
        </w:rPr>
        <w:t>/</w:t>
      </w:r>
    </w:p>
  </w:footnote>
  <w:footnote w:id="2">
    <w:p w:rsidR="000B5B2A" w:rsidRPr="00B34DBF" w:rsidRDefault="000B5B2A" w:rsidP="000B5B2A">
      <w:pPr>
        <w:pStyle w:val="a4"/>
        <w:rPr>
          <w:rtl/>
        </w:rPr>
      </w:pPr>
      <w:r w:rsidRPr="00B34DBF">
        <w:rPr>
          <w:rStyle w:val="a6"/>
        </w:rPr>
        <w:footnoteRef/>
      </w:r>
      <w:r w:rsidRPr="00B34DBF">
        <w:rPr>
          <w:rFonts w:hint="cs"/>
          <w:rtl/>
        </w:rPr>
        <w:t xml:space="preserve"> </w:t>
      </w:r>
      <w:r w:rsidRPr="00B34DBF">
        <w:rPr>
          <w:rFonts w:ascii="David" w:hAnsi="David" w:cs="David"/>
          <w:kern w:val="28"/>
          <w:rtl/>
        </w:rPr>
        <w:t>סעיף 5א</w:t>
      </w:r>
      <w:r w:rsidRPr="00B34DBF">
        <w:rPr>
          <w:rFonts w:ascii="David" w:hAnsi="David" w:cs="David" w:hint="cs"/>
          <w:kern w:val="28"/>
          <w:rtl/>
        </w:rPr>
        <w:t xml:space="preserve">3 </w:t>
      </w:r>
      <w:r w:rsidRPr="00B34DBF">
        <w:rPr>
          <w:rFonts w:ascii="David" w:hAnsi="David" w:cs="David"/>
          <w:kern w:val="28"/>
          <w:rtl/>
        </w:rPr>
        <w:t>לחוק הבנקאות (ש</w:t>
      </w:r>
      <w:r>
        <w:rPr>
          <w:rFonts w:ascii="David" w:hAnsi="David" w:cs="David"/>
          <w:kern w:val="28"/>
          <w:rtl/>
        </w:rPr>
        <w:t>ירות ללקוח), התשמ"א-1981</w:t>
      </w:r>
      <w:r>
        <w:rPr>
          <w:rFonts w:ascii="David" w:hAnsi="David" w:cs="David" w:hint="cs"/>
          <w:kern w:val="28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0BA"/>
    <w:multiLevelType w:val="hybridMultilevel"/>
    <w:tmpl w:val="E5F0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7C78"/>
    <w:multiLevelType w:val="hybridMultilevel"/>
    <w:tmpl w:val="C3180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F68EB"/>
    <w:multiLevelType w:val="hybridMultilevel"/>
    <w:tmpl w:val="7972A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71DEE"/>
    <w:multiLevelType w:val="hybridMultilevel"/>
    <w:tmpl w:val="A386CA8C"/>
    <w:lvl w:ilvl="0" w:tplc="FFFFFFFF">
      <w:start w:val="1"/>
      <w:numFmt w:val="decimal"/>
      <w:pStyle w:val="AAA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hebrew2"/>
      <w:lvlText w:val="(%2)"/>
      <w:lvlJc w:val="left"/>
      <w:pPr>
        <w:ind w:left="1440" w:hanging="360"/>
      </w:pPr>
      <w:rPr>
        <w:rFonts w:ascii="Arial" w:hAnsi="Arial" w:cs="David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36"/>
    <w:rsid w:val="00002A16"/>
    <w:rsid w:val="0002168A"/>
    <w:rsid w:val="00034362"/>
    <w:rsid w:val="000553BA"/>
    <w:rsid w:val="00066E9E"/>
    <w:rsid w:val="00083F92"/>
    <w:rsid w:val="00096108"/>
    <w:rsid w:val="000A6B6C"/>
    <w:rsid w:val="000B5B2A"/>
    <w:rsid w:val="000D323E"/>
    <w:rsid w:val="000D7BDF"/>
    <w:rsid w:val="000E4771"/>
    <w:rsid w:val="00137098"/>
    <w:rsid w:val="001422BA"/>
    <w:rsid w:val="00145AEF"/>
    <w:rsid w:val="00147DB3"/>
    <w:rsid w:val="0015151F"/>
    <w:rsid w:val="00170127"/>
    <w:rsid w:val="00173D33"/>
    <w:rsid w:val="001B169C"/>
    <w:rsid w:val="001C1B53"/>
    <w:rsid w:val="001E31B6"/>
    <w:rsid w:val="001E4BC8"/>
    <w:rsid w:val="00201C7B"/>
    <w:rsid w:val="00212013"/>
    <w:rsid w:val="00245D11"/>
    <w:rsid w:val="002549AA"/>
    <w:rsid w:val="00274351"/>
    <w:rsid w:val="002B6C4B"/>
    <w:rsid w:val="002C6F00"/>
    <w:rsid w:val="00317DD3"/>
    <w:rsid w:val="0033690F"/>
    <w:rsid w:val="003373AB"/>
    <w:rsid w:val="003448AC"/>
    <w:rsid w:val="00357B1D"/>
    <w:rsid w:val="003B49DA"/>
    <w:rsid w:val="003B5ADC"/>
    <w:rsid w:val="003B5C5D"/>
    <w:rsid w:val="003B7466"/>
    <w:rsid w:val="003C32DC"/>
    <w:rsid w:val="003E60C7"/>
    <w:rsid w:val="00404CA6"/>
    <w:rsid w:val="004113B3"/>
    <w:rsid w:val="004262C9"/>
    <w:rsid w:val="004265F4"/>
    <w:rsid w:val="0044432A"/>
    <w:rsid w:val="004541CA"/>
    <w:rsid w:val="0046232F"/>
    <w:rsid w:val="0047623A"/>
    <w:rsid w:val="00476245"/>
    <w:rsid w:val="00477851"/>
    <w:rsid w:val="00494DD2"/>
    <w:rsid w:val="00496BBF"/>
    <w:rsid w:val="004B39C9"/>
    <w:rsid w:val="004B40B3"/>
    <w:rsid w:val="004C4982"/>
    <w:rsid w:val="004F0106"/>
    <w:rsid w:val="00502145"/>
    <w:rsid w:val="00507652"/>
    <w:rsid w:val="0053552B"/>
    <w:rsid w:val="00541112"/>
    <w:rsid w:val="005602AB"/>
    <w:rsid w:val="0056150B"/>
    <w:rsid w:val="0056747A"/>
    <w:rsid w:val="00576AAB"/>
    <w:rsid w:val="00585977"/>
    <w:rsid w:val="00592150"/>
    <w:rsid w:val="005A0296"/>
    <w:rsid w:val="005A2C7F"/>
    <w:rsid w:val="005B168E"/>
    <w:rsid w:val="005B218D"/>
    <w:rsid w:val="005B3692"/>
    <w:rsid w:val="005E50B3"/>
    <w:rsid w:val="005F414A"/>
    <w:rsid w:val="00602978"/>
    <w:rsid w:val="006052E0"/>
    <w:rsid w:val="00633ED6"/>
    <w:rsid w:val="00656680"/>
    <w:rsid w:val="00660F77"/>
    <w:rsid w:val="0067060A"/>
    <w:rsid w:val="0068297F"/>
    <w:rsid w:val="006B3C80"/>
    <w:rsid w:val="006C6CA5"/>
    <w:rsid w:val="006F0723"/>
    <w:rsid w:val="007102E5"/>
    <w:rsid w:val="0075102B"/>
    <w:rsid w:val="007623A0"/>
    <w:rsid w:val="00765ECA"/>
    <w:rsid w:val="007A3D1F"/>
    <w:rsid w:val="007B7B2B"/>
    <w:rsid w:val="007D1F5B"/>
    <w:rsid w:val="007D3C63"/>
    <w:rsid w:val="007F3DAF"/>
    <w:rsid w:val="007F42B4"/>
    <w:rsid w:val="00803FE0"/>
    <w:rsid w:val="0080438A"/>
    <w:rsid w:val="00815F8C"/>
    <w:rsid w:val="0082298A"/>
    <w:rsid w:val="00825C24"/>
    <w:rsid w:val="008A5322"/>
    <w:rsid w:val="008B1122"/>
    <w:rsid w:val="008B6812"/>
    <w:rsid w:val="008C13BB"/>
    <w:rsid w:val="00913E73"/>
    <w:rsid w:val="00925E32"/>
    <w:rsid w:val="009757A4"/>
    <w:rsid w:val="009978C2"/>
    <w:rsid w:val="009B7D81"/>
    <w:rsid w:val="009C2431"/>
    <w:rsid w:val="009D0D1A"/>
    <w:rsid w:val="009D3907"/>
    <w:rsid w:val="009E776D"/>
    <w:rsid w:val="00A27C9C"/>
    <w:rsid w:val="00A30CBA"/>
    <w:rsid w:val="00A32E4D"/>
    <w:rsid w:val="00A35751"/>
    <w:rsid w:val="00A60189"/>
    <w:rsid w:val="00A653D9"/>
    <w:rsid w:val="00A75C8D"/>
    <w:rsid w:val="00A82373"/>
    <w:rsid w:val="00A83DC6"/>
    <w:rsid w:val="00A907FE"/>
    <w:rsid w:val="00AA7871"/>
    <w:rsid w:val="00AE6700"/>
    <w:rsid w:val="00B007DC"/>
    <w:rsid w:val="00B06CC3"/>
    <w:rsid w:val="00B320E2"/>
    <w:rsid w:val="00B566A7"/>
    <w:rsid w:val="00B627A2"/>
    <w:rsid w:val="00B72EE9"/>
    <w:rsid w:val="00B91FED"/>
    <w:rsid w:val="00BC7138"/>
    <w:rsid w:val="00BE6FCC"/>
    <w:rsid w:val="00BF3553"/>
    <w:rsid w:val="00C0141E"/>
    <w:rsid w:val="00C20136"/>
    <w:rsid w:val="00C43049"/>
    <w:rsid w:val="00C54091"/>
    <w:rsid w:val="00C633FC"/>
    <w:rsid w:val="00C81582"/>
    <w:rsid w:val="00CE1CB2"/>
    <w:rsid w:val="00CE7C50"/>
    <w:rsid w:val="00CF393D"/>
    <w:rsid w:val="00CF4DC5"/>
    <w:rsid w:val="00D331B8"/>
    <w:rsid w:val="00D62614"/>
    <w:rsid w:val="00D704A9"/>
    <w:rsid w:val="00DD7C9A"/>
    <w:rsid w:val="00DD7FD6"/>
    <w:rsid w:val="00DE15E1"/>
    <w:rsid w:val="00DE171E"/>
    <w:rsid w:val="00DE46FC"/>
    <w:rsid w:val="00E027FE"/>
    <w:rsid w:val="00E04EC8"/>
    <w:rsid w:val="00E109B1"/>
    <w:rsid w:val="00E11603"/>
    <w:rsid w:val="00E2513C"/>
    <w:rsid w:val="00E422F5"/>
    <w:rsid w:val="00E50B45"/>
    <w:rsid w:val="00E57BB3"/>
    <w:rsid w:val="00E93CA6"/>
    <w:rsid w:val="00EC0678"/>
    <w:rsid w:val="00ED2F4D"/>
    <w:rsid w:val="00EE0795"/>
    <w:rsid w:val="00F2041D"/>
    <w:rsid w:val="00F20555"/>
    <w:rsid w:val="00F234C3"/>
    <w:rsid w:val="00F463B1"/>
    <w:rsid w:val="00F5589A"/>
    <w:rsid w:val="00F75C74"/>
    <w:rsid w:val="00FA3EC4"/>
    <w:rsid w:val="00FC3CDF"/>
    <w:rsid w:val="00FC739D"/>
    <w:rsid w:val="00F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DAC1"/>
  <w15:chartTrackingRefBased/>
  <w15:docId w15:val="{8E8E44CE-537A-4F32-8ABD-9AD8B662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36"/>
    <w:pPr>
      <w:tabs>
        <w:tab w:val="left" w:pos="567"/>
        <w:tab w:val="left" w:pos="1134"/>
        <w:tab w:val="left" w:pos="1814"/>
        <w:tab w:val="left" w:pos="2665"/>
      </w:tabs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1">
    <w:name w:val="heading 1"/>
    <w:basedOn w:val="a"/>
    <w:next w:val="a"/>
    <w:link w:val="10"/>
    <w:qFormat/>
    <w:rsid w:val="002549AA"/>
    <w:pPr>
      <w:keepNext/>
      <w:tabs>
        <w:tab w:val="clear" w:pos="567"/>
        <w:tab w:val="clear" w:pos="1134"/>
        <w:tab w:val="clear" w:pos="1814"/>
        <w:tab w:val="clear" w:pos="2665"/>
      </w:tabs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Theme="majorHAnsi" w:eastAsiaTheme="majorEastAsia" w:hAnsiTheme="majorHAnsi"/>
      <w:b/>
      <w:bCs/>
      <w:kern w:val="3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13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20136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rsid w:val="005B3692"/>
    <w:pPr>
      <w:tabs>
        <w:tab w:val="clear" w:pos="567"/>
        <w:tab w:val="clear" w:pos="1134"/>
        <w:tab w:val="clear" w:pos="1814"/>
        <w:tab w:val="clear" w:pos="2665"/>
      </w:tabs>
      <w:spacing w:line="240" w:lineRule="auto"/>
      <w:jc w:val="left"/>
    </w:pPr>
    <w:rPr>
      <w:rFonts w:cs="Miriam"/>
      <w:sz w:val="20"/>
      <w:szCs w:val="20"/>
      <w:lang w:eastAsia="he-IL"/>
    </w:rPr>
  </w:style>
  <w:style w:type="character" w:customStyle="1" w:styleId="a5">
    <w:name w:val="טקסט הערת שוליים תו"/>
    <w:basedOn w:val="a0"/>
    <w:link w:val="a4"/>
    <w:uiPriority w:val="99"/>
    <w:rsid w:val="005B3692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6">
    <w:name w:val="footnote reference"/>
    <w:uiPriority w:val="99"/>
    <w:rsid w:val="005B3692"/>
    <w:rPr>
      <w:vertAlign w:val="superscript"/>
    </w:rPr>
  </w:style>
  <w:style w:type="paragraph" w:styleId="a7">
    <w:name w:val="Revision"/>
    <w:hidden/>
    <w:uiPriority w:val="99"/>
    <w:semiHidden/>
    <w:rsid w:val="00002A16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D704A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0F77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660F77"/>
    <w:rPr>
      <w:rFonts w:ascii="Tahoma" w:eastAsia="Times New Roman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58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589A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5589A"/>
    <w:rPr>
      <w:rFonts w:ascii="Times New Roman" w:eastAsia="Times New Roman" w:hAnsi="Times New Roman" w:cs="David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589A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5589A"/>
    <w:rPr>
      <w:rFonts w:ascii="Times New Roman" w:eastAsia="Times New Roman" w:hAnsi="Times New Roman" w:cs="David"/>
      <w:b/>
      <w:bCs/>
      <w:sz w:val="20"/>
      <w:szCs w:val="20"/>
    </w:rPr>
  </w:style>
  <w:style w:type="paragraph" w:customStyle="1" w:styleId="AAA">
    <w:name w:val="AAA"/>
    <w:basedOn w:val="a"/>
    <w:rsid w:val="009E776D"/>
    <w:pPr>
      <w:numPr>
        <w:numId w:val="3"/>
      </w:numPr>
      <w:tabs>
        <w:tab w:val="clear" w:pos="567"/>
        <w:tab w:val="clear" w:pos="1134"/>
        <w:tab w:val="clear" w:pos="1814"/>
        <w:tab w:val="clear" w:pos="2665"/>
      </w:tabs>
    </w:pPr>
    <w:rPr>
      <w:rFonts w:cs="Times New Roman"/>
      <w:snapToGrid w:val="0"/>
      <w:szCs w:val="26"/>
      <w:lang w:eastAsia="he-IL"/>
    </w:rPr>
  </w:style>
  <w:style w:type="character" w:customStyle="1" w:styleId="10">
    <w:name w:val="כותרת 1 תו"/>
    <w:basedOn w:val="a0"/>
    <w:link w:val="1"/>
    <w:rsid w:val="002549AA"/>
    <w:rPr>
      <w:rFonts w:asciiTheme="majorHAnsi" w:eastAsiaTheme="majorEastAsia" w:hAnsiTheme="majorHAnsi" w:cs="David"/>
      <w:b/>
      <w:bCs/>
      <w:kern w:val="3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publications/pressreleases/54696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ברזני</dc:creator>
  <cp:keywords/>
  <dc:description/>
  <cp:lastModifiedBy>לירון דהן</cp:lastModifiedBy>
  <cp:revision>2</cp:revision>
  <dcterms:created xsi:type="dcterms:W3CDTF">2024-10-29T08:59:00Z</dcterms:created>
  <dcterms:modified xsi:type="dcterms:W3CDTF">2024-10-29T08:59:00Z</dcterms:modified>
</cp:coreProperties>
</file>