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2D6A652" wp14:editId="6FB7739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3B61BA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762D5A">
              <w:rPr>
                <w:rFonts w:cs="David" w:hint="cs"/>
                <w:sz w:val="24"/>
                <w:szCs w:val="24"/>
                <w:rtl/>
              </w:rPr>
              <w:t>כ"</w:t>
            </w:r>
            <w:r w:rsidR="003B61BA">
              <w:rPr>
                <w:rFonts w:cs="David" w:hint="cs"/>
                <w:sz w:val="24"/>
                <w:szCs w:val="24"/>
                <w:rtl/>
              </w:rPr>
              <w:t>ג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3B61BA">
              <w:rPr>
                <w:rFonts w:cs="David" w:hint="cs"/>
                <w:sz w:val="24"/>
                <w:szCs w:val="24"/>
                <w:rtl/>
              </w:rPr>
              <w:t>אדר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3B61BA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3B61BA">
              <w:rPr>
                <w:rFonts w:cs="David" w:hint="cs"/>
                <w:sz w:val="24"/>
                <w:szCs w:val="24"/>
                <w:rtl/>
              </w:rPr>
              <w:t>25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3B61BA">
              <w:rPr>
                <w:rFonts w:cs="David" w:hint="cs"/>
                <w:sz w:val="24"/>
                <w:szCs w:val="24"/>
                <w:rtl/>
              </w:rPr>
              <w:t>מרץ</w:t>
            </w:r>
            <w:r>
              <w:rPr>
                <w:rFonts w:cs="David"/>
                <w:sz w:val="24"/>
                <w:szCs w:val="24"/>
                <w:rtl/>
              </w:rPr>
              <w:t xml:space="preserve"> 201</w:t>
            </w:r>
            <w:r w:rsidR="00E1579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7E18E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2C7213" w:rsidP="00BE15BD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התפתחות החוב במשק </w:t>
      </w:r>
      <w:r w:rsidR="00BE15BD">
        <w:rPr>
          <w:rFonts w:cs="David" w:hint="cs"/>
          <w:b/>
          <w:bCs/>
          <w:sz w:val="28"/>
          <w:szCs w:val="28"/>
          <w:u w:val="single"/>
          <w:rtl/>
        </w:rPr>
        <w:t>בחודשים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B61BA">
        <w:rPr>
          <w:rFonts w:cs="David" w:hint="cs"/>
          <w:b/>
          <w:bCs/>
          <w:sz w:val="28"/>
          <w:szCs w:val="28"/>
          <w:u w:val="single"/>
          <w:rtl/>
        </w:rPr>
        <w:t>ינואר</w:t>
      </w:r>
      <w:r w:rsidR="00BE15BD">
        <w:rPr>
          <w:rFonts w:cs="David" w:hint="cs"/>
          <w:b/>
          <w:bCs/>
          <w:sz w:val="28"/>
          <w:szCs w:val="28"/>
          <w:u w:val="single"/>
          <w:rtl/>
        </w:rPr>
        <w:t>-</w:t>
      </w:r>
      <w:r w:rsidR="003B61BA">
        <w:rPr>
          <w:rFonts w:cs="David" w:hint="cs"/>
          <w:b/>
          <w:bCs/>
          <w:sz w:val="28"/>
          <w:szCs w:val="28"/>
          <w:u w:val="single"/>
          <w:rtl/>
        </w:rPr>
        <w:t>פברואר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B61BA">
        <w:rPr>
          <w:rFonts w:cs="David" w:hint="cs"/>
          <w:b/>
          <w:bCs/>
          <w:sz w:val="28"/>
          <w:szCs w:val="28"/>
          <w:u w:val="single"/>
          <w:rtl/>
        </w:rPr>
        <w:t>2014</w:t>
      </w:r>
    </w:p>
    <w:p w:rsidR="009F574F" w:rsidRDefault="001D0E31" w:rsidP="00BE15BD">
      <w:pPr>
        <w:bidi/>
        <w:spacing w:before="240"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יתרת החוב של </w:t>
      </w:r>
      <w:r w:rsidRPr="009F574F">
        <w:rPr>
          <w:rFonts w:cs="David" w:hint="cs"/>
          <w:b/>
          <w:bCs/>
          <w:sz w:val="24"/>
          <w:szCs w:val="24"/>
          <w:rtl/>
        </w:rPr>
        <w:t>המגזר העסקי</w:t>
      </w:r>
      <w:r>
        <w:rPr>
          <w:rFonts w:cs="David" w:hint="cs"/>
          <w:sz w:val="24"/>
          <w:szCs w:val="24"/>
          <w:rtl/>
        </w:rPr>
        <w:t xml:space="preserve"> עלתה בחודש </w:t>
      </w:r>
      <w:r w:rsidR="003B61BA">
        <w:rPr>
          <w:rFonts w:cs="David" w:hint="cs"/>
          <w:sz w:val="24"/>
          <w:szCs w:val="24"/>
          <w:rtl/>
        </w:rPr>
        <w:t>ינואר</w:t>
      </w:r>
      <w:r>
        <w:rPr>
          <w:rFonts w:cs="David" w:hint="cs"/>
          <w:sz w:val="24"/>
          <w:szCs w:val="24"/>
          <w:rtl/>
        </w:rPr>
        <w:t xml:space="preserve"> ב-0.</w:t>
      </w:r>
      <w:r w:rsidR="003713E8">
        <w:rPr>
          <w:rFonts w:cs="David" w:hint="cs"/>
          <w:sz w:val="24"/>
          <w:szCs w:val="24"/>
          <w:rtl/>
        </w:rPr>
        <w:t>2</w:t>
      </w:r>
      <w:r>
        <w:rPr>
          <w:rFonts w:cs="David" w:hint="cs"/>
          <w:sz w:val="24"/>
          <w:szCs w:val="24"/>
          <w:rtl/>
        </w:rPr>
        <w:t>% לרמה של כ-78</w:t>
      </w:r>
      <w:r w:rsidR="003713E8">
        <w:rPr>
          <w:rFonts w:cs="David" w:hint="cs"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 xml:space="preserve"> מיליארדי ש"ח</w:t>
      </w:r>
      <w:r w:rsidR="009F574F">
        <w:rPr>
          <w:rFonts w:cs="David" w:hint="cs"/>
          <w:sz w:val="24"/>
          <w:szCs w:val="24"/>
          <w:rtl/>
        </w:rPr>
        <w:t>.</w:t>
      </w:r>
      <w:r w:rsidR="009F574F">
        <w:rPr>
          <w:rFonts w:cs="David"/>
          <w:sz w:val="24"/>
          <w:szCs w:val="24"/>
          <w:rtl/>
        </w:rPr>
        <w:br/>
      </w:r>
      <w:r w:rsidR="009F574F">
        <w:rPr>
          <w:rFonts w:cs="David" w:hint="cs"/>
          <w:sz w:val="24"/>
          <w:szCs w:val="24"/>
          <w:rtl/>
        </w:rPr>
        <w:t xml:space="preserve">יתרת החוב של </w:t>
      </w:r>
      <w:r w:rsidR="009F574F" w:rsidRPr="009F574F">
        <w:rPr>
          <w:rFonts w:cs="David" w:hint="cs"/>
          <w:b/>
          <w:bCs/>
          <w:sz w:val="24"/>
          <w:szCs w:val="24"/>
          <w:rtl/>
        </w:rPr>
        <w:t>משקי הבית</w:t>
      </w:r>
      <w:r w:rsidR="009F574F">
        <w:rPr>
          <w:rFonts w:cs="David" w:hint="cs"/>
          <w:sz w:val="24"/>
          <w:szCs w:val="24"/>
          <w:rtl/>
        </w:rPr>
        <w:t xml:space="preserve"> עלתה בכ-</w:t>
      </w:r>
      <w:r>
        <w:rPr>
          <w:rFonts w:cs="David" w:hint="cs"/>
          <w:sz w:val="24"/>
          <w:szCs w:val="24"/>
          <w:rtl/>
        </w:rPr>
        <w:t>0</w:t>
      </w:r>
      <w:r w:rsidR="002C756B">
        <w:rPr>
          <w:rFonts w:cs="David" w:hint="cs"/>
          <w:sz w:val="24"/>
          <w:szCs w:val="24"/>
          <w:rtl/>
        </w:rPr>
        <w:t>.</w:t>
      </w:r>
      <w:r w:rsidR="003713E8">
        <w:rPr>
          <w:rFonts w:cs="David" w:hint="cs"/>
          <w:sz w:val="24"/>
          <w:szCs w:val="24"/>
          <w:rtl/>
        </w:rPr>
        <w:t>6</w:t>
      </w:r>
      <w:r w:rsidR="009F574F">
        <w:rPr>
          <w:rFonts w:cs="David" w:hint="cs"/>
          <w:sz w:val="24"/>
          <w:szCs w:val="24"/>
          <w:rtl/>
        </w:rPr>
        <w:t xml:space="preserve"> מיליארדי ש"ח (0.</w:t>
      </w:r>
      <w:r>
        <w:rPr>
          <w:rFonts w:cs="David" w:hint="cs"/>
          <w:sz w:val="24"/>
          <w:szCs w:val="24"/>
          <w:rtl/>
        </w:rPr>
        <w:t>1</w:t>
      </w:r>
      <w:r w:rsidR="009F574F">
        <w:rPr>
          <w:rFonts w:cs="David" w:hint="cs"/>
          <w:sz w:val="24"/>
          <w:szCs w:val="24"/>
          <w:rtl/>
        </w:rPr>
        <w:t>%) ועמדה בסוף החודש על כ-</w:t>
      </w:r>
      <w:r w:rsidR="003713E8">
        <w:rPr>
          <w:rFonts w:cs="David" w:hint="cs"/>
          <w:sz w:val="24"/>
          <w:szCs w:val="24"/>
          <w:rtl/>
        </w:rPr>
        <w:t>411</w:t>
      </w:r>
      <w:r w:rsidR="009F574F">
        <w:rPr>
          <w:rFonts w:cs="David" w:hint="cs"/>
          <w:sz w:val="24"/>
          <w:szCs w:val="24"/>
          <w:rtl/>
        </w:rPr>
        <w:t xml:space="preserve"> מיליארדים.</w:t>
      </w:r>
    </w:p>
    <w:p w:rsidR="009F574F" w:rsidRDefault="009F574F" w:rsidP="009F574F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F574F">
        <w:rPr>
          <w:rFonts w:cs="David" w:hint="cs"/>
          <w:sz w:val="24"/>
          <w:szCs w:val="24"/>
          <w:u w:val="single"/>
          <w:rtl/>
        </w:rPr>
        <w:t>החוב של המגזר העסקי</w:t>
      </w:r>
    </w:p>
    <w:p w:rsidR="001D0E31" w:rsidRDefault="001D0E31" w:rsidP="003A315C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9A7195">
        <w:rPr>
          <w:rFonts w:cs="David" w:hint="cs"/>
          <w:sz w:val="24"/>
          <w:szCs w:val="24"/>
          <w:rtl/>
        </w:rPr>
        <w:t xml:space="preserve">מהחטיבה למידע ולסטטיסטיקה נמסר, כי בחודש </w:t>
      </w:r>
      <w:r w:rsidR="003B61BA">
        <w:rPr>
          <w:rFonts w:cs="David" w:hint="cs"/>
          <w:sz w:val="24"/>
          <w:szCs w:val="24"/>
          <w:rtl/>
        </w:rPr>
        <w:t>ינואר</w:t>
      </w:r>
      <w:r w:rsidRPr="009A719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עלתה</w:t>
      </w:r>
      <w:r w:rsidRPr="009A7195">
        <w:rPr>
          <w:rFonts w:cs="David" w:hint="cs"/>
          <w:sz w:val="24"/>
          <w:szCs w:val="24"/>
          <w:rtl/>
        </w:rPr>
        <w:t xml:space="preserve"> יתרת החוב של המגזר העסקי </w:t>
      </w:r>
      <w:r w:rsidR="003713E8" w:rsidRPr="003713E8">
        <w:rPr>
          <w:rFonts w:cs="David" w:hint="cs"/>
          <w:sz w:val="24"/>
          <w:szCs w:val="24"/>
          <w:rtl/>
        </w:rPr>
        <w:t xml:space="preserve">בכ-1.5 מיליארדי ש"ח לרמה של כ-781 מיליארדים (0.2%). העלייה ביתרה נבעה בחלקה מגיוס חוב נטו של כ-0.5 מיליארדי ש"ח: תוצאה של </w:t>
      </w:r>
      <w:r w:rsidR="003A315C">
        <w:rPr>
          <w:rFonts w:cs="David" w:hint="cs"/>
          <w:sz w:val="24"/>
          <w:szCs w:val="24"/>
          <w:rtl/>
        </w:rPr>
        <w:t>הנפקות</w:t>
      </w:r>
      <w:r w:rsidR="003713E8" w:rsidRPr="00FE1F75">
        <w:rPr>
          <w:rFonts w:cs="David" w:hint="cs"/>
          <w:color w:val="C00000"/>
          <w:sz w:val="28"/>
          <w:szCs w:val="28"/>
          <w:rtl/>
        </w:rPr>
        <w:t xml:space="preserve"> </w:t>
      </w:r>
      <w:r w:rsidR="003713E8" w:rsidRPr="003713E8">
        <w:rPr>
          <w:rFonts w:cs="David" w:hint="cs"/>
          <w:sz w:val="24"/>
          <w:szCs w:val="24"/>
          <w:rtl/>
        </w:rPr>
        <w:t>אג"ח והלוואות חוץ בנקאיות של כמיליארד ש"ח שקוזזו בחלקן ע"י פירעון הלוואות מהבנקים.</w:t>
      </w:r>
      <w:r w:rsidR="003713E8">
        <w:rPr>
          <w:rFonts w:cs="David" w:hint="cs"/>
          <w:sz w:val="24"/>
          <w:szCs w:val="24"/>
          <w:rtl/>
        </w:rPr>
        <w:t xml:space="preserve"> </w:t>
      </w:r>
    </w:p>
    <w:p w:rsidR="000C62F4" w:rsidRDefault="001D0E31" w:rsidP="009516D8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1D0E31">
        <w:rPr>
          <w:rFonts w:cs="David" w:hint="cs"/>
          <w:sz w:val="24"/>
          <w:szCs w:val="24"/>
          <w:rtl/>
        </w:rPr>
        <w:t xml:space="preserve">בחודש </w:t>
      </w:r>
      <w:r w:rsidR="003B61BA">
        <w:rPr>
          <w:rFonts w:cs="David" w:hint="cs"/>
          <w:sz w:val="24"/>
          <w:szCs w:val="24"/>
          <w:rtl/>
        </w:rPr>
        <w:t>פברואר</w:t>
      </w:r>
      <w:r w:rsidRPr="001D0E31">
        <w:rPr>
          <w:rFonts w:cs="David" w:hint="cs"/>
          <w:sz w:val="24"/>
          <w:szCs w:val="24"/>
          <w:rtl/>
        </w:rPr>
        <w:t xml:space="preserve"> הנפיק המגזר העסקי (ללא בנקים וביטוח) </w:t>
      </w:r>
      <w:r w:rsidR="003713E8" w:rsidRPr="003713E8">
        <w:rPr>
          <w:rFonts w:cs="David" w:hint="cs"/>
          <w:sz w:val="24"/>
          <w:szCs w:val="24"/>
          <w:rtl/>
        </w:rPr>
        <w:t xml:space="preserve">אג"ח בשווי של כ-5.1 מיליארדי ש"ח, רובן באמצעות אג"ח לא סחיר; </w:t>
      </w:r>
      <w:r w:rsidR="009516D8">
        <w:rPr>
          <w:rFonts w:cs="David" w:hint="cs"/>
          <w:sz w:val="24"/>
          <w:szCs w:val="24"/>
          <w:rtl/>
        </w:rPr>
        <w:t>מזה כ-2.8 מיליארדים הנפקה של חברת תקשורת.</w:t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1: </w:t>
      </w:r>
      <w:r w:rsidRPr="000911D7">
        <w:rPr>
          <w:rFonts w:cs="David" w:hint="cs"/>
          <w:b/>
          <w:bCs/>
          <w:sz w:val="24"/>
          <w:szCs w:val="24"/>
          <w:u w:val="single"/>
          <w:rtl/>
        </w:rPr>
        <w:t>התפלגות החוב של המגזר העסקי</w:t>
      </w:r>
    </w:p>
    <w:p w:rsidR="000911D7" w:rsidRDefault="00016772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016772">
        <w:rPr>
          <w:noProof/>
          <w:lang w:eastAsia="en-US"/>
        </w:rPr>
        <w:drawing>
          <wp:inline distT="0" distB="0" distL="0" distR="0" wp14:anchorId="633C5588" wp14:editId="1CAA265D">
            <wp:extent cx="5274310" cy="2675614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7" w:rsidRP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</w:p>
    <w:p w:rsidR="000911D7" w:rsidRDefault="000911D7">
      <w:pPr>
        <w:spacing w:after="200" w:line="276" w:lineRule="auto"/>
        <w:rPr>
          <w:rFonts w:cs="David"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2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התפלגות החוב לפי בסיסי הצמדה</w:t>
      </w:r>
    </w:p>
    <w:p w:rsidR="000911D7" w:rsidRDefault="00016772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  <w:r w:rsidRPr="00016772">
        <w:rPr>
          <w:noProof/>
          <w:lang w:eastAsia="en-US"/>
        </w:rPr>
        <w:drawing>
          <wp:inline distT="0" distB="0" distL="0" distR="0" wp14:anchorId="57229447" wp14:editId="649F466D">
            <wp:extent cx="5274310" cy="1209917"/>
            <wp:effectExtent l="0" t="0" r="2540" b="952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1: </w:t>
      </w:r>
      <w:r>
        <w:rPr>
          <w:rFonts w:cs="David" w:hint="cs"/>
          <w:b/>
          <w:bCs/>
          <w:sz w:val="24"/>
          <w:szCs w:val="24"/>
          <w:u w:val="single"/>
          <w:rtl/>
        </w:rPr>
        <w:t>הנפקות אג"ח של הסקטור העסקי הלא פיננסי</w:t>
      </w:r>
    </w:p>
    <w:p w:rsidR="00781240" w:rsidRPr="00FA6355" w:rsidRDefault="00016772" w:rsidP="00FA6355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016772">
        <w:rPr>
          <w:noProof/>
          <w:rtl/>
          <w:lang w:eastAsia="en-US"/>
        </w:rPr>
        <w:drawing>
          <wp:inline distT="0" distB="0" distL="0" distR="0" wp14:anchorId="7E592C5F" wp14:editId="3E0846A7">
            <wp:extent cx="5274310" cy="4356420"/>
            <wp:effectExtent l="0" t="0" r="2540" b="635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4F" w:rsidRDefault="009F574F" w:rsidP="000911D7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החוב של משקי הבית</w:t>
      </w:r>
    </w:p>
    <w:p w:rsidR="00FA6355" w:rsidRPr="00FA6355" w:rsidRDefault="00FA6355" w:rsidP="00FA6355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b/>
          <w:bCs/>
          <w:u w:val="single"/>
        </w:rPr>
      </w:pPr>
      <w:r w:rsidRPr="00FA6355">
        <w:rPr>
          <w:rFonts w:cs="David" w:hint="cs"/>
          <w:sz w:val="24"/>
          <w:szCs w:val="24"/>
          <w:rtl/>
        </w:rPr>
        <w:t>יתרת החוב של משקי הבית עלתה בחודש ינואר בכ-0.6 מיליארדי ש"ח (0.1%) לרמה של כ-411 מיליארדים. העלייה ביתרה נבעה מגיוס חוב של 1.6 מיליארדי ש"ח, כמחציתו חוב לד</w:t>
      </w:r>
      <w:r w:rsidR="00EF13BA">
        <w:rPr>
          <w:rFonts w:cs="David" w:hint="cs"/>
          <w:sz w:val="24"/>
          <w:szCs w:val="24"/>
          <w:rtl/>
        </w:rPr>
        <w:t xml:space="preserve">יור, וקוזזה בחלקה </w:t>
      </w:r>
      <w:r w:rsidR="00EF13BA" w:rsidRPr="004D63EE">
        <w:rPr>
          <w:rFonts w:cs="David" w:hint="cs"/>
          <w:sz w:val="24"/>
          <w:szCs w:val="24"/>
          <w:rtl/>
        </w:rPr>
        <w:t xml:space="preserve">מהשפעת ירידת </w:t>
      </w:r>
      <w:r w:rsidRPr="004D63EE">
        <w:rPr>
          <w:rFonts w:cs="David" w:hint="cs"/>
          <w:sz w:val="24"/>
          <w:szCs w:val="24"/>
          <w:rtl/>
        </w:rPr>
        <w:t>מדד</w:t>
      </w:r>
      <w:r w:rsidR="00EF13BA" w:rsidRPr="004D63EE">
        <w:rPr>
          <w:rFonts w:cs="David" w:hint="cs"/>
          <w:sz w:val="24"/>
          <w:szCs w:val="24"/>
          <w:rtl/>
        </w:rPr>
        <w:t xml:space="preserve"> המחירים לצרכן</w:t>
      </w:r>
      <w:r w:rsidRPr="004D63EE">
        <w:rPr>
          <w:rFonts w:cs="David" w:hint="cs"/>
          <w:sz w:val="24"/>
          <w:szCs w:val="24"/>
          <w:rtl/>
        </w:rPr>
        <w:t>. יתרת החוב לדיור מסך החוב</w:t>
      </w:r>
      <w:r w:rsidRPr="00FA6355">
        <w:rPr>
          <w:rFonts w:cs="David" w:hint="cs"/>
          <w:sz w:val="24"/>
          <w:szCs w:val="24"/>
          <w:rtl/>
        </w:rPr>
        <w:t xml:space="preserve"> של משקי הבית </w:t>
      </w:r>
      <w:r>
        <w:rPr>
          <w:rFonts w:cs="David" w:hint="cs"/>
          <w:sz w:val="24"/>
          <w:szCs w:val="24"/>
          <w:rtl/>
        </w:rPr>
        <w:t>עלתה</w:t>
      </w:r>
      <w:r w:rsidRPr="00FA6355">
        <w:rPr>
          <w:rFonts w:cs="David" w:hint="cs"/>
          <w:sz w:val="24"/>
          <w:szCs w:val="24"/>
          <w:rtl/>
        </w:rPr>
        <w:t xml:space="preserve"> בכ-0.7 מיליארדי ש"ח (0.3%) ועמדה בסוף ינואר על כ-289 מיליארדי ש"ח</w:t>
      </w:r>
      <w:r w:rsidRPr="00957DC9">
        <w:rPr>
          <w:rFonts w:hint="cs"/>
          <w:rtl/>
        </w:rPr>
        <w:t>.</w:t>
      </w:r>
    </w:p>
    <w:p w:rsidR="00C94676" w:rsidRPr="0097338C" w:rsidRDefault="00C94676" w:rsidP="0097338C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97338C">
        <w:rPr>
          <w:rFonts w:cs="David" w:hint="cs"/>
          <w:sz w:val="24"/>
          <w:szCs w:val="24"/>
          <w:rtl/>
        </w:rPr>
        <w:t xml:space="preserve">בחודש </w:t>
      </w:r>
      <w:r w:rsidR="0097338C" w:rsidRPr="0097338C">
        <w:rPr>
          <w:rFonts w:cs="David"/>
          <w:sz w:val="24"/>
          <w:szCs w:val="24"/>
          <w:rtl/>
        </w:rPr>
        <w:t>פברואר הסתכמו ביצועי המשכנתאות (נטילות של משכנתאות חדשות)  בכ-4.3 מיליארדי ש"ח, גבוה מהנתון בחודש ינואר, אך זהה לממוצע הביצועים החודשי בשנת 2013</w:t>
      </w:r>
      <w:r w:rsidR="008B0765" w:rsidRPr="0097338C">
        <w:rPr>
          <w:rFonts w:cs="David" w:hint="cs"/>
          <w:sz w:val="24"/>
          <w:szCs w:val="24"/>
          <w:rtl/>
        </w:rPr>
        <w:t>.</w:t>
      </w:r>
    </w:p>
    <w:p w:rsidR="00781240" w:rsidRDefault="00781240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3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יתרות החוב של משקי הבית</w:t>
      </w:r>
    </w:p>
    <w:p w:rsidR="00781240" w:rsidRDefault="00016772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  <w:r w:rsidRPr="00016772">
        <w:rPr>
          <w:noProof/>
          <w:lang w:eastAsia="en-US"/>
        </w:rPr>
        <w:drawing>
          <wp:inline distT="0" distB="0" distL="0" distR="0" wp14:anchorId="68057FB7" wp14:editId="36017F6D">
            <wp:extent cx="5274310" cy="4141310"/>
            <wp:effectExtent l="0" t="0" r="254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2: </w:t>
      </w:r>
      <w:r>
        <w:rPr>
          <w:rFonts w:cs="David" w:hint="cs"/>
          <w:b/>
          <w:bCs/>
          <w:sz w:val="24"/>
          <w:szCs w:val="24"/>
          <w:u w:val="single"/>
          <w:rtl/>
        </w:rPr>
        <w:t>נטילת משכנתאות חדשות מבנקים לפי סוגי הצמדה</w:t>
      </w:r>
    </w:p>
    <w:p w:rsidR="002F2629" w:rsidRDefault="00016772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16772">
        <w:rPr>
          <w:noProof/>
          <w:rtl/>
          <w:lang w:eastAsia="en-US"/>
        </w:rPr>
        <w:drawing>
          <wp:inline distT="0" distB="0" distL="0" distR="0" wp14:anchorId="66DBF7F0" wp14:editId="1FC3A92D">
            <wp:extent cx="5274310" cy="3731994"/>
            <wp:effectExtent l="0" t="0" r="2540" b="1905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4F" w:rsidRDefault="009F574F" w:rsidP="00781240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lastRenderedPageBreak/>
        <w:t>עלויות החוב במשק</w:t>
      </w:r>
    </w:p>
    <w:p w:rsidR="003509EF" w:rsidRPr="0097338C" w:rsidRDefault="003509EF" w:rsidP="0097338C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7338C">
        <w:rPr>
          <w:rFonts w:cs="David" w:hint="cs"/>
          <w:sz w:val="24"/>
          <w:szCs w:val="24"/>
          <w:rtl/>
        </w:rPr>
        <w:t xml:space="preserve">בחודש </w:t>
      </w:r>
      <w:r w:rsidR="003B61BA" w:rsidRPr="0097338C">
        <w:rPr>
          <w:rFonts w:cs="David" w:hint="cs"/>
          <w:sz w:val="24"/>
          <w:szCs w:val="24"/>
          <w:rtl/>
        </w:rPr>
        <w:t>ינואר</w:t>
      </w:r>
      <w:r w:rsidRPr="0097338C">
        <w:rPr>
          <w:rFonts w:cs="David" w:hint="cs"/>
          <w:sz w:val="24"/>
          <w:szCs w:val="24"/>
          <w:rtl/>
        </w:rPr>
        <w:t xml:space="preserve"> פער הריביות במגזר </w:t>
      </w:r>
      <w:r w:rsidR="008B10B8" w:rsidRPr="0097338C">
        <w:rPr>
          <w:rFonts w:cs="David" w:hint="cs"/>
          <w:sz w:val="24"/>
          <w:szCs w:val="24"/>
          <w:rtl/>
        </w:rPr>
        <w:t xml:space="preserve">הלא צמוד </w:t>
      </w:r>
      <w:r w:rsidR="0097338C" w:rsidRPr="0097338C">
        <w:rPr>
          <w:rFonts w:cs="David" w:hint="cs"/>
          <w:sz w:val="24"/>
          <w:szCs w:val="24"/>
          <w:rtl/>
        </w:rPr>
        <w:t>נותר ללא שינוי לעומת החודש הקודם.</w:t>
      </w:r>
    </w:p>
    <w:p w:rsidR="001316A1" w:rsidRPr="00F852D0" w:rsidRDefault="00B80AE5" w:rsidP="0097338C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F852D0">
        <w:rPr>
          <w:rFonts w:cs="David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97338C" w:rsidRPr="00F852D0">
        <w:rPr>
          <w:rFonts w:cs="David" w:hint="cs"/>
          <w:sz w:val="24"/>
          <w:szCs w:val="24"/>
          <w:rtl/>
        </w:rPr>
        <w:t>ירד</w:t>
      </w:r>
      <w:r w:rsidRPr="00F852D0">
        <w:rPr>
          <w:rFonts w:cs="David" w:hint="cs"/>
          <w:sz w:val="24"/>
          <w:szCs w:val="24"/>
          <w:rtl/>
        </w:rPr>
        <w:t xml:space="preserve"> בחודש </w:t>
      </w:r>
      <w:r w:rsidR="003B61BA" w:rsidRPr="00F852D0">
        <w:rPr>
          <w:rFonts w:cs="David" w:hint="cs"/>
          <w:sz w:val="24"/>
          <w:szCs w:val="24"/>
          <w:rtl/>
        </w:rPr>
        <w:t>ינואר</w:t>
      </w:r>
      <w:r w:rsidRPr="00F852D0">
        <w:rPr>
          <w:rFonts w:cs="David" w:hint="cs"/>
          <w:sz w:val="24"/>
          <w:szCs w:val="24"/>
          <w:rtl/>
        </w:rPr>
        <w:t xml:space="preserve"> בכ-0.</w:t>
      </w:r>
      <w:r w:rsidR="0033214F" w:rsidRPr="00F852D0">
        <w:rPr>
          <w:rFonts w:cs="David" w:hint="cs"/>
          <w:sz w:val="24"/>
          <w:szCs w:val="24"/>
          <w:rtl/>
        </w:rPr>
        <w:t>0</w:t>
      </w:r>
      <w:r w:rsidR="0097338C" w:rsidRPr="00F852D0">
        <w:rPr>
          <w:rFonts w:cs="David" w:hint="cs"/>
          <w:sz w:val="24"/>
          <w:szCs w:val="24"/>
          <w:rtl/>
        </w:rPr>
        <w:t>6</w:t>
      </w:r>
      <w:r w:rsidR="0033214F" w:rsidRPr="00F852D0">
        <w:rPr>
          <w:rFonts w:cs="David" w:hint="cs"/>
          <w:sz w:val="24"/>
          <w:szCs w:val="24"/>
          <w:rtl/>
        </w:rPr>
        <w:t xml:space="preserve"> </w:t>
      </w:r>
      <w:r w:rsidRPr="00F852D0">
        <w:rPr>
          <w:rFonts w:cs="David" w:hint="cs"/>
          <w:sz w:val="24"/>
          <w:szCs w:val="24"/>
          <w:rtl/>
        </w:rPr>
        <w:t xml:space="preserve">נק' אחוז, </w:t>
      </w:r>
      <w:r w:rsidR="0097338C" w:rsidRPr="00F852D0">
        <w:rPr>
          <w:rFonts w:cs="David" w:hint="cs"/>
          <w:sz w:val="24"/>
          <w:szCs w:val="24"/>
          <w:rtl/>
        </w:rPr>
        <w:t xml:space="preserve">זאת </w:t>
      </w:r>
      <w:r w:rsidRPr="00F852D0">
        <w:rPr>
          <w:rFonts w:cs="David" w:hint="cs"/>
          <w:sz w:val="24"/>
          <w:szCs w:val="24"/>
          <w:rtl/>
        </w:rPr>
        <w:t xml:space="preserve">עקב </w:t>
      </w:r>
      <w:r w:rsidR="0097338C" w:rsidRPr="00F852D0">
        <w:rPr>
          <w:rFonts w:cs="David" w:hint="cs"/>
          <w:sz w:val="24"/>
          <w:szCs w:val="24"/>
          <w:rtl/>
        </w:rPr>
        <w:t>ירידה</w:t>
      </w:r>
      <w:r w:rsidRPr="00F852D0">
        <w:rPr>
          <w:rFonts w:cs="David" w:hint="cs"/>
          <w:sz w:val="24"/>
          <w:szCs w:val="24"/>
          <w:rtl/>
        </w:rPr>
        <w:t xml:space="preserve"> בריבית על האשראי</w:t>
      </w:r>
      <w:r w:rsidR="0033214F" w:rsidRPr="00F852D0">
        <w:rPr>
          <w:rFonts w:cs="David" w:hint="cs"/>
          <w:sz w:val="24"/>
          <w:szCs w:val="24"/>
          <w:rtl/>
        </w:rPr>
        <w:t xml:space="preserve"> </w:t>
      </w:r>
      <w:r w:rsidR="0097338C" w:rsidRPr="00F852D0">
        <w:rPr>
          <w:rFonts w:cs="David" w:hint="cs"/>
          <w:sz w:val="24"/>
          <w:szCs w:val="24"/>
          <w:rtl/>
        </w:rPr>
        <w:t>ועליה</w:t>
      </w:r>
      <w:r w:rsidR="0033214F" w:rsidRPr="00F852D0">
        <w:rPr>
          <w:rFonts w:cs="David" w:hint="cs"/>
          <w:sz w:val="24"/>
          <w:szCs w:val="24"/>
          <w:rtl/>
        </w:rPr>
        <w:t xml:space="preserve"> בריבית על הפיקדון</w:t>
      </w:r>
      <w:r w:rsidRPr="00F852D0">
        <w:rPr>
          <w:rFonts w:cs="David" w:hint="cs"/>
          <w:sz w:val="24"/>
          <w:szCs w:val="24"/>
          <w:rtl/>
        </w:rPr>
        <w:t>.</w:t>
      </w:r>
    </w:p>
    <w:p w:rsidR="00B80AE5" w:rsidRPr="00C87F91" w:rsidRDefault="00F1596F" w:rsidP="00AB5B06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127335">
        <w:rPr>
          <w:rFonts w:cs="David" w:hint="cs"/>
          <w:sz w:val="24"/>
          <w:szCs w:val="24"/>
          <w:rtl/>
        </w:rPr>
        <w:t>ב</w:t>
      </w:r>
      <w:r w:rsidR="00D25967" w:rsidRPr="00127335">
        <w:rPr>
          <w:rFonts w:cs="David" w:hint="cs"/>
          <w:sz w:val="24"/>
          <w:szCs w:val="24"/>
          <w:rtl/>
        </w:rPr>
        <w:t xml:space="preserve">סוף </w:t>
      </w:r>
      <w:r w:rsidRPr="00127335">
        <w:rPr>
          <w:rFonts w:cs="David" w:hint="cs"/>
          <w:sz w:val="24"/>
          <w:szCs w:val="24"/>
          <w:rtl/>
        </w:rPr>
        <w:t xml:space="preserve">חודש </w:t>
      </w:r>
      <w:r w:rsidR="003B61BA" w:rsidRPr="00127335">
        <w:rPr>
          <w:rFonts w:cs="David" w:hint="cs"/>
          <w:sz w:val="24"/>
          <w:szCs w:val="24"/>
          <w:rtl/>
        </w:rPr>
        <w:t>ינואר</w:t>
      </w:r>
      <w:r w:rsidRPr="00127335">
        <w:rPr>
          <w:rFonts w:cs="David" w:hint="cs"/>
          <w:sz w:val="24"/>
          <w:szCs w:val="24"/>
          <w:rtl/>
        </w:rPr>
        <w:t xml:space="preserve"> עמד המרווח בין תשואת מדד האג"ח הקונצרני הצמוד, תל בונד 60, לבין ממוצע תשואות האג"ח הממשלתיות הצמודות </w:t>
      </w:r>
      <w:r w:rsidRPr="00127335">
        <w:rPr>
          <w:rFonts w:cs="David"/>
          <w:sz w:val="24"/>
          <w:szCs w:val="24"/>
          <w:rtl/>
        </w:rPr>
        <w:t>–</w:t>
      </w:r>
      <w:r w:rsidRPr="00127335">
        <w:rPr>
          <w:rFonts w:cs="David" w:hint="cs"/>
          <w:sz w:val="24"/>
          <w:szCs w:val="24"/>
          <w:rtl/>
        </w:rPr>
        <w:t xml:space="preserve"> על רמה של 1.</w:t>
      </w:r>
      <w:r w:rsidR="0033214F" w:rsidRPr="00127335">
        <w:rPr>
          <w:rFonts w:cs="David" w:hint="cs"/>
          <w:sz w:val="24"/>
          <w:szCs w:val="24"/>
          <w:rtl/>
        </w:rPr>
        <w:t>2</w:t>
      </w:r>
      <w:r w:rsidR="00127335" w:rsidRPr="00127335">
        <w:rPr>
          <w:rFonts w:cs="David" w:hint="cs"/>
          <w:sz w:val="24"/>
          <w:szCs w:val="24"/>
          <w:rtl/>
        </w:rPr>
        <w:t>9</w:t>
      </w:r>
      <w:r w:rsidRPr="00127335">
        <w:rPr>
          <w:rFonts w:cs="David" w:hint="cs"/>
          <w:sz w:val="24"/>
          <w:szCs w:val="24"/>
          <w:rtl/>
        </w:rPr>
        <w:t xml:space="preserve"> נק'</w:t>
      </w:r>
      <w:r w:rsidR="008B10B8" w:rsidRPr="00127335">
        <w:rPr>
          <w:rFonts w:cs="David" w:hint="cs"/>
          <w:sz w:val="24"/>
          <w:szCs w:val="24"/>
          <w:rtl/>
        </w:rPr>
        <w:t xml:space="preserve"> אחוז</w:t>
      </w:r>
      <w:r w:rsidRPr="00127335">
        <w:rPr>
          <w:rFonts w:cs="David" w:hint="cs"/>
          <w:sz w:val="24"/>
          <w:szCs w:val="24"/>
          <w:rtl/>
        </w:rPr>
        <w:t xml:space="preserve">, </w:t>
      </w:r>
      <w:r w:rsidR="00127335" w:rsidRPr="00127335">
        <w:rPr>
          <w:rFonts w:cs="David" w:hint="cs"/>
          <w:sz w:val="24"/>
          <w:szCs w:val="24"/>
          <w:rtl/>
        </w:rPr>
        <w:t xml:space="preserve">גבוה </w:t>
      </w:r>
      <w:r w:rsidR="00127335" w:rsidRPr="00C87F91">
        <w:rPr>
          <w:rFonts w:cs="David" w:hint="cs"/>
          <w:sz w:val="24"/>
          <w:szCs w:val="24"/>
          <w:rtl/>
        </w:rPr>
        <w:t>מהחודש הקודם בכ-0.07 נק' אחוז</w:t>
      </w:r>
      <w:r w:rsidR="008B2B4C" w:rsidRPr="00C87F91">
        <w:rPr>
          <w:rFonts w:cs="David" w:hint="cs"/>
          <w:sz w:val="24"/>
          <w:szCs w:val="24"/>
          <w:rtl/>
        </w:rPr>
        <w:t xml:space="preserve">. </w:t>
      </w:r>
      <w:r w:rsidR="00AB5B06">
        <w:rPr>
          <w:rFonts w:cs="David" w:hint="cs"/>
          <w:sz w:val="24"/>
          <w:szCs w:val="24"/>
          <w:rtl/>
        </w:rPr>
        <w:t xml:space="preserve">בשנה </w:t>
      </w:r>
      <w:r w:rsidR="00E73497">
        <w:rPr>
          <w:rFonts w:cs="David" w:hint="cs"/>
          <w:sz w:val="24"/>
          <w:szCs w:val="24"/>
          <w:rtl/>
        </w:rPr>
        <w:t xml:space="preserve">האחרונה </w:t>
      </w:r>
      <w:r w:rsidR="008121D7" w:rsidRPr="00C87F91">
        <w:rPr>
          <w:rFonts w:cs="David" w:hint="cs"/>
          <w:sz w:val="24"/>
          <w:szCs w:val="24"/>
          <w:rtl/>
        </w:rPr>
        <w:t>הצטמצם מרווח זה בכ-</w:t>
      </w:r>
      <w:r w:rsidR="008B2B4C" w:rsidRPr="00C87F91">
        <w:rPr>
          <w:rFonts w:cs="David" w:hint="cs"/>
          <w:sz w:val="24"/>
          <w:szCs w:val="24"/>
          <w:rtl/>
        </w:rPr>
        <w:t>0.</w:t>
      </w:r>
      <w:r w:rsidR="00127335" w:rsidRPr="00C87F91">
        <w:rPr>
          <w:rFonts w:cs="David" w:hint="cs"/>
          <w:sz w:val="24"/>
          <w:szCs w:val="24"/>
          <w:rtl/>
        </w:rPr>
        <w:t>2</w:t>
      </w:r>
      <w:r w:rsidR="008B2B4C" w:rsidRPr="00C87F91">
        <w:rPr>
          <w:rFonts w:cs="David" w:hint="cs"/>
          <w:sz w:val="24"/>
          <w:szCs w:val="24"/>
          <w:rtl/>
        </w:rPr>
        <w:t xml:space="preserve"> נק' אחוז</w:t>
      </w:r>
      <w:r w:rsidR="00C87F91" w:rsidRPr="00C87F91">
        <w:rPr>
          <w:rFonts w:cs="David" w:hint="cs"/>
          <w:sz w:val="24"/>
          <w:szCs w:val="24"/>
          <w:rtl/>
        </w:rPr>
        <w:t>.</w:t>
      </w:r>
    </w:p>
    <w:p w:rsidR="002F2629" w:rsidRPr="00127335" w:rsidRDefault="008B2B4C" w:rsidP="00127335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27335">
        <w:rPr>
          <w:rFonts w:cs="David" w:hint="cs"/>
          <w:sz w:val="24"/>
          <w:szCs w:val="24"/>
          <w:rtl/>
        </w:rPr>
        <w:t xml:space="preserve">בחודש </w:t>
      </w:r>
      <w:r w:rsidR="003B61BA" w:rsidRPr="00127335">
        <w:rPr>
          <w:rFonts w:cs="David" w:hint="cs"/>
          <w:sz w:val="24"/>
          <w:szCs w:val="24"/>
          <w:rtl/>
        </w:rPr>
        <w:t>פברואר</w:t>
      </w:r>
      <w:r w:rsidRPr="00127335">
        <w:rPr>
          <w:rFonts w:cs="David" w:hint="cs"/>
          <w:sz w:val="24"/>
          <w:szCs w:val="24"/>
          <w:rtl/>
        </w:rPr>
        <w:t xml:space="preserve"> הריבית הממוצעת על משכנתאות חדשות לא צמודות ירדה בכ-0.</w:t>
      </w:r>
      <w:r w:rsidR="00AD5FFC" w:rsidRPr="00127335">
        <w:rPr>
          <w:rFonts w:cs="David" w:hint="cs"/>
          <w:sz w:val="24"/>
          <w:szCs w:val="24"/>
          <w:rtl/>
        </w:rPr>
        <w:t>0</w:t>
      </w:r>
      <w:r w:rsidR="00127335" w:rsidRPr="00127335">
        <w:rPr>
          <w:rFonts w:cs="David" w:hint="cs"/>
          <w:sz w:val="24"/>
          <w:szCs w:val="24"/>
          <w:rtl/>
        </w:rPr>
        <w:t>1</w:t>
      </w:r>
      <w:r w:rsidRPr="00127335">
        <w:rPr>
          <w:rFonts w:cs="David" w:hint="cs"/>
          <w:sz w:val="24"/>
          <w:szCs w:val="24"/>
          <w:rtl/>
        </w:rPr>
        <w:t xml:space="preserve"> נק' אחוז</w:t>
      </w:r>
      <w:r w:rsidR="00127335" w:rsidRPr="00127335">
        <w:rPr>
          <w:rFonts w:cs="David" w:hint="cs"/>
          <w:sz w:val="24"/>
          <w:szCs w:val="24"/>
          <w:rtl/>
        </w:rPr>
        <w:t>, זאת בהמשך לירידות בחודשים האחרונים.</w:t>
      </w:r>
      <w:r w:rsidRPr="00127335">
        <w:rPr>
          <w:rFonts w:cs="David" w:hint="cs"/>
          <w:sz w:val="24"/>
          <w:szCs w:val="24"/>
          <w:rtl/>
        </w:rPr>
        <w:t xml:space="preserve"> הריבית על משכנתאות חדשות צמודות למדד </w:t>
      </w:r>
      <w:r w:rsidR="00127335" w:rsidRPr="00127335">
        <w:rPr>
          <w:rFonts w:cs="David" w:hint="cs"/>
          <w:sz w:val="24"/>
          <w:szCs w:val="24"/>
          <w:rtl/>
        </w:rPr>
        <w:t>עלתה</w:t>
      </w:r>
      <w:r w:rsidRPr="00127335">
        <w:rPr>
          <w:rFonts w:cs="David" w:hint="cs"/>
          <w:sz w:val="24"/>
          <w:szCs w:val="24"/>
          <w:rtl/>
        </w:rPr>
        <w:t xml:space="preserve"> בכ-</w:t>
      </w:r>
      <w:r w:rsidR="00127335" w:rsidRPr="00127335">
        <w:rPr>
          <w:rFonts w:cs="David" w:hint="cs"/>
          <w:sz w:val="24"/>
          <w:szCs w:val="24"/>
          <w:rtl/>
        </w:rPr>
        <w:t>0.01</w:t>
      </w:r>
      <w:r w:rsidR="00E67ECB" w:rsidRPr="00127335">
        <w:rPr>
          <w:rFonts w:cs="David" w:hint="cs"/>
          <w:sz w:val="24"/>
          <w:szCs w:val="24"/>
          <w:rtl/>
        </w:rPr>
        <w:t xml:space="preserve"> נק' אחוז.</w:t>
      </w:r>
      <w:r w:rsidR="001543AD" w:rsidRPr="00127335">
        <w:rPr>
          <w:rFonts w:cs="David" w:hint="cs"/>
          <w:sz w:val="24"/>
          <w:szCs w:val="24"/>
          <w:rtl/>
        </w:rPr>
        <w:t xml:space="preserve"> </w:t>
      </w: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4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עלויות החוב והמרווחים</w:t>
      </w:r>
    </w:p>
    <w:p w:rsidR="002F2629" w:rsidRDefault="00127335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127335">
        <w:rPr>
          <w:noProof/>
          <w:lang w:eastAsia="en-US"/>
        </w:rPr>
        <w:drawing>
          <wp:inline distT="0" distB="0" distL="0" distR="0" wp14:anchorId="5042D700" wp14:editId="2F3F02ED">
            <wp:extent cx="5274310" cy="2526663"/>
            <wp:effectExtent l="0" t="0" r="2540" b="762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3: </w:t>
      </w:r>
      <w:r>
        <w:rPr>
          <w:rFonts w:cs="David" w:hint="cs"/>
          <w:b/>
          <w:bCs/>
          <w:sz w:val="24"/>
          <w:szCs w:val="24"/>
          <w:u w:val="single"/>
          <w:rtl/>
        </w:rPr>
        <w:t>המרווח בין אג"ח חברות צמוד (תל בונד 60) לאג"ח ממשלתי צמוד</w:t>
      </w:r>
    </w:p>
    <w:p w:rsidR="002F2629" w:rsidRDefault="00016772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  <w:r w:rsidRPr="00016772">
        <w:rPr>
          <w:noProof/>
          <w:rtl/>
          <w:lang w:eastAsia="en-US"/>
        </w:rPr>
        <w:drawing>
          <wp:inline distT="0" distB="0" distL="0" distR="0" wp14:anchorId="0682888C" wp14:editId="58BD16A2">
            <wp:extent cx="5274310" cy="3438455"/>
            <wp:effectExtent l="0" t="0" r="2540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4: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הלא צמוד</w:t>
      </w:r>
    </w:p>
    <w:p w:rsidR="00DE4BB3" w:rsidRDefault="00A45303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  <w:r w:rsidRPr="00A45303">
        <w:rPr>
          <w:noProof/>
          <w:rtl/>
          <w:lang w:eastAsia="en-US"/>
        </w:rPr>
        <w:drawing>
          <wp:inline distT="0" distB="0" distL="0" distR="0" wp14:anchorId="33FA28BF" wp14:editId="1EF9E9B3">
            <wp:extent cx="5274310" cy="3501967"/>
            <wp:effectExtent l="0" t="0" r="2540" b="381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B3" w:rsidRDefault="00DE4BB3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</w:rPr>
        <w:br w:type="page"/>
      </w:r>
    </w:p>
    <w:p w:rsidR="00DE4BB3" w:rsidRDefault="00DE4BB3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5: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צמוד המדד</w:t>
      </w:r>
    </w:p>
    <w:p w:rsidR="00DE4BB3" w:rsidRDefault="00A45303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r w:rsidRPr="00A45303">
        <w:rPr>
          <w:noProof/>
          <w:rtl/>
          <w:lang w:eastAsia="en-US"/>
        </w:rPr>
        <w:drawing>
          <wp:inline distT="0" distB="0" distL="0" distR="0" wp14:anchorId="258C7766" wp14:editId="18CD4E3D">
            <wp:extent cx="5274310" cy="3233076"/>
            <wp:effectExtent l="0" t="0" r="2540" b="571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1281" w:rsidRDefault="00FC1281" w:rsidP="00520122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FC1281" w:rsidRDefault="00FC1281" w:rsidP="00FC1281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DE4BB3" w:rsidRDefault="00F2699B" w:rsidP="008B10B8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</w:t>
      </w:r>
      <w:r w:rsidR="008B10B8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 קישור למידע נוסף בנושא המופיע באתר הבנק בדף </w:t>
      </w:r>
      <w:hyperlink r:id="rId19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יתרות האשראי במשק</w:t>
        </w:r>
      </w:hyperlink>
    </w:p>
    <w:p w:rsidR="00F2699B" w:rsidRPr="00F2699B" w:rsidRDefault="00F2699B" w:rsidP="00F2699B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קישור </w:t>
      </w:r>
      <w:hyperlink r:id="rId20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לנתוני משכנתאות</w:t>
        </w:r>
      </w:hyperlink>
    </w:p>
    <w:p w:rsidR="002F2629" w:rsidRPr="009F574F" w:rsidRDefault="002F2629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</w:p>
    <w:sectPr w:rsidR="002F2629" w:rsidRPr="009F574F" w:rsidSect="00BE15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D0" w:rsidRDefault="003D54D0" w:rsidP="00C04A6B">
      <w:r>
        <w:separator/>
      </w:r>
    </w:p>
  </w:endnote>
  <w:endnote w:type="continuationSeparator" w:id="0">
    <w:p w:rsidR="003D54D0" w:rsidRDefault="003D54D0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C3" w:rsidRDefault="009921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BE15BD" w:rsidP="00BE15BD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</w:rPr>
              <w:t xml:space="preserve">בנק ישראל: </w:t>
            </w:r>
            <w:r w:rsidR="002438E2">
              <w:rPr>
                <w:rFonts w:cs="David" w:hint="cs"/>
                <w:rtl/>
                <w:cs/>
                <w:lang w:val="he-IL"/>
              </w:rPr>
              <w:t xml:space="preserve">התפתחות החוב במשק </w:t>
            </w:r>
            <w:r>
              <w:rPr>
                <w:rFonts w:cs="David" w:hint="cs"/>
                <w:rtl/>
                <w:cs/>
                <w:lang w:val="he-IL"/>
              </w:rPr>
              <w:t>בחודשים</w:t>
            </w:r>
            <w:r w:rsidR="002438E2">
              <w:rPr>
                <w:rFonts w:cs="David" w:hint="cs"/>
                <w:rtl/>
                <w:cs/>
                <w:lang w:val="he-IL"/>
              </w:rPr>
              <w:t xml:space="preserve"> </w:t>
            </w:r>
            <w:r>
              <w:rPr>
                <w:rFonts w:cs="David" w:hint="cs"/>
                <w:rtl/>
                <w:cs/>
                <w:lang w:val="he-IL"/>
              </w:rPr>
              <w:t>ינואר-פברואר 2014</w:t>
            </w:r>
            <w:r w:rsidR="002438E2" w:rsidRPr="009F574F">
              <w:rPr>
                <w:rFonts w:cs="David" w:hint="cs"/>
                <w:rtl/>
                <w:cs/>
                <w:lang w:val="he-IL"/>
              </w:rPr>
              <w:t xml:space="preserve"> </w:t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9921C3">
              <w:rPr>
                <w:rFonts w:cs="David"/>
                <w:b/>
                <w:bCs/>
                <w:noProof/>
                <w:rtl/>
              </w:rPr>
              <w:t>6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9921C3">
              <w:rPr>
                <w:rFonts w:cs="David"/>
                <w:b/>
                <w:bCs/>
                <w:noProof/>
                <w:rtl/>
              </w:rPr>
              <w:t>6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C3" w:rsidRDefault="009921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D0" w:rsidRDefault="003D54D0" w:rsidP="00C04A6B">
      <w:r>
        <w:separator/>
      </w:r>
    </w:p>
  </w:footnote>
  <w:footnote w:type="continuationSeparator" w:id="0">
    <w:p w:rsidR="003D54D0" w:rsidRDefault="003D54D0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C3" w:rsidRDefault="009921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C3" w:rsidRDefault="009921C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C3" w:rsidRDefault="009921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E6066"/>
    <w:multiLevelType w:val="hybridMultilevel"/>
    <w:tmpl w:val="BE100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772"/>
    <w:rsid w:val="00016D86"/>
    <w:rsid w:val="00020DFD"/>
    <w:rsid w:val="000911D7"/>
    <w:rsid w:val="000C62F4"/>
    <w:rsid w:val="000F0D97"/>
    <w:rsid w:val="000F5E2D"/>
    <w:rsid w:val="00115A82"/>
    <w:rsid w:val="00127335"/>
    <w:rsid w:val="001316A1"/>
    <w:rsid w:val="001543AD"/>
    <w:rsid w:val="00177686"/>
    <w:rsid w:val="00180E8A"/>
    <w:rsid w:val="001D0E31"/>
    <w:rsid w:val="001D7646"/>
    <w:rsid w:val="001E5A00"/>
    <w:rsid w:val="002438E2"/>
    <w:rsid w:val="00264230"/>
    <w:rsid w:val="002B3FB0"/>
    <w:rsid w:val="002C7213"/>
    <w:rsid w:val="002C756B"/>
    <w:rsid w:val="002F2629"/>
    <w:rsid w:val="003055E7"/>
    <w:rsid w:val="0033214F"/>
    <w:rsid w:val="003509EF"/>
    <w:rsid w:val="003537B9"/>
    <w:rsid w:val="003713E8"/>
    <w:rsid w:val="003901E0"/>
    <w:rsid w:val="003A242C"/>
    <w:rsid w:val="003A315C"/>
    <w:rsid w:val="003B61BA"/>
    <w:rsid w:val="003D54D0"/>
    <w:rsid w:val="003E68CF"/>
    <w:rsid w:val="00420F93"/>
    <w:rsid w:val="0044713E"/>
    <w:rsid w:val="004625EB"/>
    <w:rsid w:val="00472EDE"/>
    <w:rsid w:val="00497BD0"/>
    <w:rsid w:val="004B5D8D"/>
    <w:rsid w:val="004D63EE"/>
    <w:rsid w:val="004F06E0"/>
    <w:rsid w:val="004F426F"/>
    <w:rsid w:val="00502068"/>
    <w:rsid w:val="00520122"/>
    <w:rsid w:val="005D0E2A"/>
    <w:rsid w:val="00604E10"/>
    <w:rsid w:val="00614095"/>
    <w:rsid w:val="00626A71"/>
    <w:rsid w:val="006C01FB"/>
    <w:rsid w:val="00737755"/>
    <w:rsid w:val="00762D5A"/>
    <w:rsid w:val="00781240"/>
    <w:rsid w:val="0078308F"/>
    <w:rsid w:val="007C2446"/>
    <w:rsid w:val="007E18EE"/>
    <w:rsid w:val="008121D7"/>
    <w:rsid w:val="00826810"/>
    <w:rsid w:val="00843E29"/>
    <w:rsid w:val="00852D44"/>
    <w:rsid w:val="0086330B"/>
    <w:rsid w:val="00881EF7"/>
    <w:rsid w:val="008B0765"/>
    <w:rsid w:val="008B10B8"/>
    <w:rsid w:val="008B2B4C"/>
    <w:rsid w:val="008B55E9"/>
    <w:rsid w:val="008D2EA6"/>
    <w:rsid w:val="009065F1"/>
    <w:rsid w:val="009516D8"/>
    <w:rsid w:val="00961EFC"/>
    <w:rsid w:val="0097338C"/>
    <w:rsid w:val="009818C2"/>
    <w:rsid w:val="009921C3"/>
    <w:rsid w:val="009A7195"/>
    <w:rsid w:val="009C1434"/>
    <w:rsid w:val="009C16BD"/>
    <w:rsid w:val="009C24AF"/>
    <w:rsid w:val="009F574F"/>
    <w:rsid w:val="00A45303"/>
    <w:rsid w:val="00A46B0C"/>
    <w:rsid w:val="00A57161"/>
    <w:rsid w:val="00A96BDC"/>
    <w:rsid w:val="00AA51B0"/>
    <w:rsid w:val="00AB409F"/>
    <w:rsid w:val="00AB5B06"/>
    <w:rsid w:val="00AC75BF"/>
    <w:rsid w:val="00AD5FFC"/>
    <w:rsid w:val="00AD759C"/>
    <w:rsid w:val="00AE591E"/>
    <w:rsid w:val="00AF126A"/>
    <w:rsid w:val="00B058F3"/>
    <w:rsid w:val="00B2503D"/>
    <w:rsid w:val="00B31EFB"/>
    <w:rsid w:val="00B80AE5"/>
    <w:rsid w:val="00B84BD7"/>
    <w:rsid w:val="00BE15BD"/>
    <w:rsid w:val="00BE235C"/>
    <w:rsid w:val="00BE49A2"/>
    <w:rsid w:val="00C04A6B"/>
    <w:rsid w:val="00C25C1C"/>
    <w:rsid w:val="00C45C9C"/>
    <w:rsid w:val="00C656C3"/>
    <w:rsid w:val="00C84B20"/>
    <w:rsid w:val="00C87F91"/>
    <w:rsid w:val="00C94676"/>
    <w:rsid w:val="00CB1B2B"/>
    <w:rsid w:val="00D25967"/>
    <w:rsid w:val="00D3721C"/>
    <w:rsid w:val="00D40D4B"/>
    <w:rsid w:val="00D81866"/>
    <w:rsid w:val="00D87DC1"/>
    <w:rsid w:val="00DD5923"/>
    <w:rsid w:val="00DE4BB3"/>
    <w:rsid w:val="00E15796"/>
    <w:rsid w:val="00E577A9"/>
    <w:rsid w:val="00E67ECB"/>
    <w:rsid w:val="00E73497"/>
    <w:rsid w:val="00E85E11"/>
    <w:rsid w:val="00E870DD"/>
    <w:rsid w:val="00EC65F0"/>
    <w:rsid w:val="00ED153D"/>
    <w:rsid w:val="00EF13BA"/>
    <w:rsid w:val="00F1596F"/>
    <w:rsid w:val="00F2699B"/>
    <w:rsid w:val="00F35B9D"/>
    <w:rsid w:val="00F852D0"/>
    <w:rsid w:val="00F96916"/>
    <w:rsid w:val="00FA6355"/>
    <w:rsid w:val="00FC1281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s://e.boi.org.il/he/BankingSupervision/Data/Pages/Tables.aspx?ChapterId=13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e.boi.org.il/he/DataAndStatistics/Pages/MainPage.aspx?Level=4&amp;Sid=53&amp;SubjectType=2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DA4CB-339D-4619-BB0B-C7EB6289C191}"/>
</file>

<file path=customXml/itemProps2.xml><?xml version="1.0" encoding="utf-8"?>
<ds:datastoreItem xmlns:ds="http://schemas.openxmlformats.org/officeDocument/2006/customXml" ds:itemID="{D69A1BAC-656A-4B87-AE0A-0AED5A8FF278}"/>
</file>

<file path=customXml/itemProps3.xml><?xml version="1.0" encoding="utf-8"?>
<ds:datastoreItem xmlns:ds="http://schemas.openxmlformats.org/officeDocument/2006/customXml" ds:itemID="{E6DCBC94-3720-4DF0-B29A-7A339E0D4D25}"/>
</file>

<file path=customXml/itemProps4.xml><?xml version="1.0" encoding="utf-8"?>
<ds:datastoreItem xmlns:ds="http://schemas.openxmlformats.org/officeDocument/2006/customXml" ds:itemID="{981C475B-86CD-43E6-B0B4-90CD9B6CD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2014-03-25T10:21:00Z</dcterms:created>
  <dcterms:modified xsi:type="dcterms:W3CDTF">2014-03-25T10:21:00Z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