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79"/>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68064A" w:rsidRPr="0068064A" w:rsidTr="00BE35AE">
        <w:trPr>
          <w:tblHeader/>
        </w:trPr>
        <w:tc>
          <w:tcPr>
            <w:tcW w:w="2840" w:type="dxa"/>
            <w:tcBorders>
              <w:top w:val="nil"/>
              <w:left w:val="nil"/>
              <w:bottom w:val="nil"/>
              <w:right w:val="nil"/>
            </w:tcBorders>
            <w:vAlign w:val="center"/>
          </w:tcPr>
          <w:p w:rsidR="0068064A" w:rsidRPr="0068064A" w:rsidRDefault="0068064A" w:rsidP="0068064A">
            <w:pPr>
              <w:bidi w:val="0"/>
              <w:jc w:val="right"/>
              <w:rPr>
                <w:b/>
                <w:bCs/>
                <w:sz w:val="28"/>
                <w:szCs w:val="28"/>
              </w:rPr>
            </w:pPr>
            <w:r w:rsidRPr="0068064A">
              <w:rPr>
                <w:rFonts w:hint="cs"/>
                <w:b/>
                <w:bCs/>
                <w:sz w:val="28"/>
                <w:szCs w:val="28"/>
                <w:rtl/>
              </w:rPr>
              <w:t>ב</w:t>
            </w:r>
            <w:r w:rsidRPr="0068064A">
              <w:rPr>
                <w:b/>
                <w:bCs/>
                <w:sz w:val="28"/>
                <w:szCs w:val="28"/>
                <w:rtl/>
              </w:rPr>
              <w:t>נ</w:t>
            </w:r>
            <w:r w:rsidRPr="0068064A">
              <w:rPr>
                <w:rFonts w:hint="cs"/>
                <w:b/>
                <w:bCs/>
                <w:sz w:val="28"/>
                <w:szCs w:val="28"/>
                <w:rtl/>
              </w:rPr>
              <w:t xml:space="preserve">ק </w:t>
            </w:r>
            <w:r w:rsidRPr="0068064A">
              <w:rPr>
                <w:b/>
                <w:bCs/>
                <w:sz w:val="28"/>
                <w:szCs w:val="28"/>
                <w:rtl/>
              </w:rPr>
              <w:t>יש</w:t>
            </w:r>
            <w:r w:rsidRPr="0068064A">
              <w:rPr>
                <w:rFonts w:hint="cs"/>
                <w:b/>
                <w:bCs/>
                <w:sz w:val="28"/>
                <w:szCs w:val="28"/>
                <w:rtl/>
              </w:rPr>
              <w:t>ראל</w:t>
            </w:r>
          </w:p>
          <w:p w:rsidR="0068064A" w:rsidRPr="0068064A" w:rsidRDefault="0068064A" w:rsidP="0068064A">
            <w:pPr>
              <w:bidi w:val="0"/>
              <w:ind w:right="-101"/>
              <w:jc w:val="right"/>
            </w:pPr>
            <w:r w:rsidRPr="0068064A">
              <w:rPr>
                <w:rtl/>
              </w:rPr>
              <w:t>דו</w:t>
            </w:r>
            <w:r w:rsidRPr="0068064A">
              <w:rPr>
                <w:rFonts w:hint="cs"/>
                <w:rtl/>
              </w:rPr>
              <w:t>בר</w:t>
            </w:r>
            <w:r w:rsidRPr="0068064A">
              <w:rPr>
                <w:rtl/>
              </w:rPr>
              <w:t>ות</w:t>
            </w:r>
            <w:r w:rsidRPr="0068064A">
              <w:rPr>
                <w:rFonts w:hint="cs"/>
                <w:rtl/>
              </w:rPr>
              <w:t xml:space="preserve"> והסברה כלכלית</w:t>
            </w:r>
          </w:p>
        </w:tc>
        <w:tc>
          <w:tcPr>
            <w:tcW w:w="2596" w:type="dxa"/>
            <w:tcBorders>
              <w:top w:val="nil"/>
              <w:left w:val="nil"/>
              <w:bottom w:val="nil"/>
              <w:right w:val="nil"/>
            </w:tcBorders>
          </w:tcPr>
          <w:p w:rsidR="0068064A" w:rsidRPr="0068064A" w:rsidRDefault="0068064A" w:rsidP="0068064A">
            <w:pPr>
              <w:bidi w:val="0"/>
              <w:jc w:val="center"/>
            </w:pPr>
            <w:r w:rsidRPr="0068064A">
              <w:rPr>
                <w:noProof/>
                <w:rtl/>
              </w:rPr>
              <w:drawing>
                <wp:inline distT="0" distB="0" distL="0" distR="0" wp14:anchorId="6C12299C" wp14:editId="0FD34354">
                  <wp:extent cx="772761" cy="769620"/>
                  <wp:effectExtent l="0" t="0" r="8890" b="0"/>
                  <wp:docPr id="3" name="תמונה 3" descr="K:\Dover\תפעול לשכת הדובר\כלים\לוגו\boi_logo.jpg" title="לוגו של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8064A" w:rsidRPr="0068064A" w:rsidRDefault="0068064A" w:rsidP="0068064A">
            <w:pPr>
              <w:bidi w:val="0"/>
            </w:pPr>
            <w:r w:rsidRPr="0068064A">
              <w:rPr>
                <w:rFonts w:hint="eastAsia"/>
                <w:rtl/>
              </w:rPr>
              <w:t>‏</w:t>
            </w:r>
            <w:r w:rsidRPr="0068064A">
              <w:rPr>
                <w:rFonts w:hint="cs"/>
                <w:rtl/>
              </w:rPr>
              <w:t>ירושלים, ג' בכסלו</w:t>
            </w:r>
            <w:r w:rsidRPr="0068064A">
              <w:rPr>
                <w:rtl/>
              </w:rPr>
              <w:t>, תשע"</w:t>
            </w:r>
            <w:r w:rsidRPr="0068064A">
              <w:rPr>
                <w:rFonts w:hint="cs"/>
                <w:rtl/>
              </w:rPr>
              <w:t>ח</w:t>
            </w:r>
          </w:p>
          <w:p w:rsidR="0068064A" w:rsidRPr="0068064A" w:rsidRDefault="0068064A" w:rsidP="0068064A">
            <w:pPr>
              <w:bidi w:val="0"/>
            </w:pPr>
            <w:r w:rsidRPr="0068064A">
              <w:rPr>
                <w:rFonts w:hint="eastAsia"/>
                <w:rtl/>
              </w:rPr>
              <w:t>‏‏</w:t>
            </w:r>
            <w:r w:rsidRPr="0068064A">
              <w:rPr>
                <w:rFonts w:hint="cs"/>
                <w:rtl/>
              </w:rPr>
              <w:t>21 בנובמבר 2017</w:t>
            </w:r>
          </w:p>
        </w:tc>
      </w:tr>
      <w:tr w:rsidR="00BE35AE" w:rsidRPr="0068064A" w:rsidTr="00BE35AE">
        <w:trPr>
          <w:tblHeader/>
        </w:trPr>
        <w:tc>
          <w:tcPr>
            <w:tcW w:w="2840" w:type="dxa"/>
            <w:tcBorders>
              <w:top w:val="nil"/>
              <w:left w:val="nil"/>
              <w:bottom w:val="nil"/>
              <w:right w:val="nil"/>
            </w:tcBorders>
            <w:vAlign w:val="center"/>
          </w:tcPr>
          <w:p w:rsidR="00BE35AE" w:rsidRPr="0068064A" w:rsidRDefault="00BE35AE" w:rsidP="0068064A">
            <w:pPr>
              <w:bidi w:val="0"/>
              <w:jc w:val="right"/>
              <w:rPr>
                <w:b/>
                <w:bCs/>
                <w:sz w:val="28"/>
                <w:szCs w:val="28"/>
                <w:rtl/>
              </w:rPr>
            </w:pPr>
          </w:p>
        </w:tc>
        <w:tc>
          <w:tcPr>
            <w:tcW w:w="2596" w:type="dxa"/>
            <w:tcBorders>
              <w:top w:val="nil"/>
              <w:left w:val="nil"/>
              <w:bottom w:val="nil"/>
              <w:right w:val="nil"/>
            </w:tcBorders>
          </w:tcPr>
          <w:p w:rsidR="00BE35AE" w:rsidRPr="0068064A" w:rsidRDefault="00BE35AE" w:rsidP="0068064A">
            <w:pPr>
              <w:bidi w:val="0"/>
              <w:jc w:val="center"/>
              <w:rPr>
                <w:noProof/>
                <w:rtl/>
              </w:rPr>
            </w:pPr>
          </w:p>
        </w:tc>
        <w:tc>
          <w:tcPr>
            <w:tcW w:w="3084" w:type="dxa"/>
            <w:tcBorders>
              <w:top w:val="nil"/>
              <w:left w:val="nil"/>
              <w:bottom w:val="nil"/>
              <w:right w:val="nil"/>
            </w:tcBorders>
            <w:vAlign w:val="center"/>
          </w:tcPr>
          <w:p w:rsidR="00BE35AE" w:rsidRPr="0068064A" w:rsidRDefault="00BE35AE" w:rsidP="0068064A">
            <w:pPr>
              <w:bidi w:val="0"/>
              <w:rPr>
                <w:rFonts w:hint="eastAsia"/>
                <w:rtl/>
              </w:rPr>
            </w:pPr>
          </w:p>
        </w:tc>
      </w:tr>
    </w:tbl>
    <w:p w:rsidR="0068064A" w:rsidRPr="0068064A" w:rsidRDefault="0068064A" w:rsidP="0068064A">
      <w:pPr>
        <w:rPr>
          <w:rFonts w:hint="cs"/>
          <w:rtl/>
        </w:rPr>
      </w:pPr>
      <w:r w:rsidRPr="0068064A">
        <w:rPr>
          <w:rFonts w:hint="cs"/>
          <w:rtl/>
        </w:rPr>
        <w:t>הודעה לעיתונות:</w:t>
      </w:r>
    </w:p>
    <w:p w:rsidR="0068064A" w:rsidRPr="0068064A" w:rsidRDefault="0068064A" w:rsidP="0068064A">
      <w:pPr>
        <w:rPr>
          <w:rtl/>
        </w:rPr>
      </w:pPr>
    </w:p>
    <w:p w:rsidR="00300E25" w:rsidRPr="007027B3" w:rsidRDefault="007027B3" w:rsidP="007027B3">
      <w:pPr>
        <w:pStyle w:val="1"/>
        <w:rPr>
          <w:rFonts w:hint="cs"/>
          <w:rtl/>
        </w:rPr>
      </w:pPr>
      <w:bookmarkStart w:id="0" w:name="_GoBack"/>
      <w:r w:rsidRPr="007027B3">
        <w:rPr>
          <w:rFonts w:hint="cs"/>
          <w:rtl/>
        </w:rPr>
        <w:t xml:space="preserve">ניתוח </w:t>
      </w:r>
      <w:r w:rsidR="0054343D" w:rsidRPr="007027B3">
        <w:rPr>
          <w:rFonts w:hint="cs"/>
          <w:rtl/>
        </w:rPr>
        <w:t>שוק המשכנתאות ללווים מהמגזר</w:t>
      </w:r>
      <w:r w:rsidR="00D100CA" w:rsidRPr="007027B3">
        <w:rPr>
          <w:rFonts w:hint="cs"/>
          <w:rtl/>
        </w:rPr>
        <w:t xml:space="preserve"> הערבי על רקע </w:t>
      </w:r>
      <w:r w:rsidR="000018FE" w:rsidRPr="007027B3">
        <w:rPr>
          <w:rFonts w:hint="cs"/>
          <w:rtl/>
        </w:rPr>
        <w:t>ה</w:t>
      </w:r>
      <w:r w:rsidR="00D100CA" w:rsidRPr="007027B3">
        <w:rPr>
          <w:rFonts w:hint="cs"/>
          <w:rtl/>
        </w:rPr>
        <w:t xml:space="preserve">כשלים </w:t>
      </w:r>
      <w:r w:rsidR="000018FE" w:rsidRPr="007027B3">
        <w:rPr>
          <w:rFonts w:hint="cs"/>
          <w:rtl/>
        </w:rPr>
        <w:t>ה</w:t>
      </w:r>
      <w:r w:rsidR="00D100CA" w:rsidRPr="007027B3">
        <w:rPr>
          <w:rFonts w:hint="cs"/>
          <w:rtl/>
        </w:rPr>
        <w:t xml:space="preserve">מבניים בתחום הדיור במגזר </w:t>
      </w:r>
      <w:r w:rsidR="000018FE" w:rsidRPr="007027B3">
        <w:rPr>
          <w:rFonts w:hint="cs"/>
          <w:rtl/>
        </w:rPr>
        <w:t>זה</w:t>
      </w:r>
    </w:p>
    <w:bookmarkEnd w:id="0"/>
    <w:p w:rsidR="0068064A" w:rsidRPr="0068064A" w:rsidRDefault="0068064A" w:rsidP="0068064A">
      <w:pPr>
        <w:pStyle w:val="a0"/>
        <w:ind w:left="360"/>
        <w:jc w:val="center"/>
        <w:rPr>
          <w:b/>
          <w:bCs/>
          <w:sz w:val="28"/>
          <w:szCs w:val="28"/>
          <w:rtl/>
        </w:rPr>
      </w:pPr>
    </w:p>
    <w:p w:rsidR="00B21F92" w:rsidRPr="0068064A" w:rsidRDefault="00B21F92" w:rsidP="0068064A">
      <w:pPr>
        <w:pStyle w:val="a0"/>
        <w:ind w:left="360"/>
        <w:jc w:val="center"/>
        <w:rPr>
          <w:sz w:val="14"/>
          <w:szCs w:val="14"/>
          <w:rtl/>
        </w:rPr>
      </w:pPr>
    </w:p>
    <w:p w:rsidR="001B7C5E" w:rsidRDefault="001B7C5E" w:rsidP="007027B3">
      <w:pPr>
        <w:pStyle w:val="a0"/>
        <w:numPr>
          <w:ilvl w:val="0"/>
          <w:numId w:val="27"/>
        </w:numPr>
        <w:spacing w:after="240"/>
        <w:ind w:left="-58" w:hanging="283"/>
        <w:rPr>
          <w:rFonts w:hint="cs"/>
          <w:b/>
          <w:bCs/>
        </w:rPr>
      </w:pPr>
      <w:r w:rsidRPr="0068064A">
        <w:rPr>
          <w:rFonts w:hint="cs"/>
          <w:b/>
          <w:bCs/>
          <w:rtl/>
        </w:rPr>
        <w:t xml:space="preserve">מטרתו של מסמך זה לבחון את </w:t>
      </w:r>
      <w:r w:rsidR="0054343D" w:rsidRPr="0068064A">
        <w:rPr>
          <w:rFonts w:hint="cs"/>
          <w:b/>
          <w:bCs/>
          <w:rtl/>
        </w:rPr>
        <w:t xml:space="preserve">שוק המשכנתאות למגזר הערבי, </w:t>
      </w:r>
      <w:r w:rsidR="00313230" w:rsidRPr="0068064A">
        <w:rPr>
          <w:rFonts w:hint="cs"/>
          <w:b/>
          <w:bCs/>
          <w:rtl/>
        </w:rPr>
        <w:t>ואת הסיבות למצב הנוכחי, תוך התייחסות</w:t>
      </w:r>
      <w:r w:rsidR="0054343D" w:rsidRPr="0068064A">
        <w:rPr>
          <w:rFonts w:hint="cs"/>
          <w:b/>
          <w:bCs/>
          <w:rtl/>
        </w:rPr>
        <w:t xml:space="preserve"> </w:t>
      </w:r>
      <w:r w:rsidR="00313230" w:rsidRPr="0068064A">
        <w:rPr>
          <w:rFonts w:hint="cs"/>
          <w:b/>
          <w:bCs/>
          <w:rtl/>
        </w:rPr>
        <w:t>ל</w:t>
      </w:r>
      <w:r w:rsidR="0054343D" w:rsidRPr="0068064A">
        <w:rPr>
          <w:rFonts w:hint="cs"/>
          <w:b/>
          <w:bCs/>
          <w:rtl/>
        </w:rPr>
        <w:t>קיומם של כשלים מבניים בתחום הדיור במגזר</w:t>
      </w:r>
      <w:r w:rsidRPr="0068064A">
        <w:rPr>
          <w:rFonts w:hint="cs"/>
          <w:b/>
          <w:bCs/>
          <w:rtl/>
        </w:rPr>
        <w:t>. הניתוח התבסס על מאגר נתונים הכולל את כל המשכנתאות שניתנו על</w:t>
      </w:r>
      <w:r w:rsidR="00EC488F" w:rsidRPr="0068064A">
        <w:rPr>
          <w:rFonts w:hint="cs"/>
          <w:b/>
          <w:bCs/>
          <w:rtl/>
        </w:rPr>
        <w:t xml:space="preserve"> </w:t>
      </w:r>
      <w:r w:rsidRPr="0068064A">
        <w:rPr>
          <w:rFonts w:hint="cs"/>
          <w:b/>
          <w:bCs/>
          <w:rtl/>
        </w:rPr>
        <w:t>ידי הבנקים בין השנים 2014-2010.</w:t>
      </w:r>
    </w:p>
    <w:p w:rsidR="00A42C6B" w:rsidRPr="0068064A" w:rsidRDefault="000E35A0" w:rsidP="007027B3">
      <w:pPr>
        <w:pStyle w:val="a0"/>
        <w:numPr>
          <w:ilvl w:val="0"/>
          <w:numId w:val="20"/>
        </w:numPr>
        <w:spacing w:after="240"/>
        <w:ind w:left="-58" w:hanging="283"/>
        <w:rPr>
          <w:b/>
          <w:bCs/>
          <w:color w:val="FF0000"/>
          <w:rtl/>
        </w:rPr>
      </w:pPr>
      <w:r w:rsidRPr="0068064A">
        <w:rPr>
          <w:rFonts w:hint="cs"/>
          <w:b/>
          <w:bCs/>
          <w:rtl/>
        </w:rPr>
        <w:t>מ</w:t>
      </w:r>
      <w:r w:rsidR="00A42C6B" w:rsidRPr="0068064A">
        <w:rPr>
          <w:rFonts w:hint="cs"/>
          <w:b/>
          <w:bCs/>
          <w:rtl/>
        </w:rPr>
        <w:t>ניתוח המאגר</w:t>
      </w:r>
      <w:r w:rsidRPr="0068064A">
        <w:rPr>
          <w:rFonts w:hint="cs"/>
          <w:b/>
          <w:bCs/>
          <w:rtl/>
        </w:rPr>
        <w:t xml:space="preserve"> עולה</w:t>
      </w:r>
      <w:r w:rsidR="00A42C6B" w:rsidRPr="0068064A">
        <w:rPr>
          <w:rFonts w:hint="cs"/>
          <w:b/>
          <w:bCs/>
          <w:rtl/>
        </w:rPr>
        <w:t xml:space="preserve"> כי שיעור המשכנתאות שניתנו ללקוחות המגזר הערבי</w:t>
      </w:r>
      <w:r w:rsidR="00372C91" w:rsidRPr="0068064A">
        <w:rPr>
          <w:rFonts w:hint="cs"/>
          <w:b/>
          <w:bCs/>
          <w:rtl/>
        </w:rPr>
        <w:t xml:space="preserve"> (2% מהמאגר)</w:t>
      </w:r>
      <w:r w:rsidR="00A42C6B" w:rsidRPr="0068064A">
        <w:rPr>
          <w:rFonts w:hint="cs"/>
          <w:b/>
          <w:bCs/>
          <w:rtl/>
        </w:rPr>
        <w:t xml:space="preserve"> נמוך </w:t>
      </w:r>
      <w:r w:rsidR="00B23526" w:rsidRPr="0068064A">
        <w:rPr>
          <w:rFonts w:hint="cs"/>
          <w:b/>
          <w:bCs/>
          <w:rtl/>
        </w:rPr>
        <w:t>מאוד ביחס ל</w:t>
      </w:r>
      <w:r w:rsidR="00A42C6B" w:rsidRPr="0068064A">
        <w:rPr>
          <w:rFonts w:hint="cs"/>
          <w:b/>
          <w:bCs/>
          <w:rtl/>
        </w:rPr>
        <w:t>חלקם באוכלוסייה</w:t>
      </w:r>
      <w:r w:rsidR="00372C91" w:rsidRPr="0068064A">
        <w:rPr>
          <w:rFonts w:hint="cs"/>
          <w:b/>
          <w:bCs/>
          <w:rtl/>
        </w:rPr>
        <w:t xml:space="preserve"> (21.4%). עבור יישובים מעורבים (כגון ירושלים, חיפה ורמלה) שיעור המשכנתאות שניתנו ללקוחות המגזר הערבי עומד על כ-4%</w:t>
      </w:r>
      <w:r w:rsidR="00A01933" w:rsidRPr="0068064A">
        <w:rPr>
          <w:rFonts w:hint="cs"/>
          <w:b/>
          <w:bCs/>
          <w:rtl/>
        </w:rPr>
        <w:t xml:space="preserve">, </w:t>
      </w:r>
      <w:r w:rsidR="00372C91" w:rsidRPr="0068064A">
        <w:rPr>
          <w:rFonts w:hint="cs"/>
          <w:b/>
          <w:bCs/>
          <w:rtl/>
        </w:rPr>
        <w:t>לעומת חלקם היחסי ביישובים אלה העומד על כ-24%.</w:t>
      </w:r>
    </w:p>
    <w:p w:rsidR="00E35239" w:rsidRPr="0068064A" w:rsidRDefault="00E35239" w:rsidP="007027B3">
      <w:pPr>
        <w:pStyle w:val="a0"/>
        <w:numPr>
          <w:ilvl w:val="0"/>
          <w:numId w:val="27"/>
        </w:numPr>
        <w:spacing w:after="240"/>
        <w:ind w:left="-58" w:hanging="283"/>
        <w:rPr>
          <w:b/>
          <w:bCs/>
        </w:rPr>
      </w:pPr>
      <w:r w:rsidRPr="0068064A">
        <w:rPr>
          <w:rFonts w:hint="cs"/>
          <w:b/>
          <w:bCs/>
          <w:rtl/>
        </w:rPr>
        <w:t xml:space="preserve">מניתוח הריבית על המשכנתאות עולה כי קיים </w:t>
      </w:r>
      <w:r w:rsidR="00D54CB8" w:rsidRPr="0068064A">
        <w:rPr>
          <w:rFonts w:hint="cs"/>
          <w:b/>
          <w:bCs/>
          <w:rtl/>
        </w:rPr>
        <w:t>פער נמוך</w:t>
      </w:r>
      <w:r w:rsidR="00B23526" w:rsidRPr="0068064A">
        <w:rPr>
          <w:rFonts w:hint="cs"/>
          <w:b/>
          <w:bCs/>
          <w:rtl/>
        </w:rPr>
        <w:t>,</w:t>
      </w:r>
      <w:r w:rsidR="00017A1F" w:rsidRPr="0068064A">
        <w:rPr>
          <w:rFonts w:hint="cs"/>
          <w:b/>
          <w:bCs/>
          <w:rtl/>
        </w:rPr>
        <w:t xml:space="preserve"> </w:t>
      </w:r>
      <w:r w:rsidR="00D54CB8" w:rsidRPr="0068064A">
        <w:rPr>
          <w:rFonts w:hint="cs"/>
          <w:b/>
          <w:bCs/>
          <w:rtl/>
        </w:rPr>
        <w:t>של כ-0.1 נקודות אחוז</w:t>
      </w:r>
      <w:r w:rsidR="00B23526" w:rsidRPr="0068064A">
        <w:rPr>
          <w:rFonts w:hint="cs"/>
          <w:b/>
          <w:bCs/>
          <w:rtl/>
        </w:rPr>
        <w:t>,</w:t>
      </w:r>
      <w:r w:rsidR="00D54CB8" w:rsidRPr="0068064A">
        <w:rPr>
          <w:rFonts w:hint="cs"/>
          <w:b/>
          <w:bCs/>
          <w:rtl/>
        </w:rPr>
        <w:t xml:space="preserve"> </w:t>
      </w:r>
      <w:r w:rsidRPr="0068064A">
        <w:rPr>
          <w:rFonts w:hint="cs"/>
          <w:b/>
          <w:bCs/>
          <w:rtl/>
        </w:rPr>
        <w:t xml:space="preserve">בריבית בין לקוחות </w:t>
      </w:r>
      <w:r w:rsidR="00015EB3" w:rsidRPr="0068064A">
        <w:rPr>
          <w:rFonts w:hint="cs"/>
          <w:b/>
          <w:bCs/>
          <w:rtl/>
        </w:rPr>
        <w:t>מהמגזר הערבי</w:t>
      </w:r>
      <w:r w:rsidRPr="0068064A">
        <w:rPr>
          <w:rFonts w:hint="cs"/>
          <w:b/>
          <w:bCs/>
          <w:rtl/>
        </w:rPr>
        <w:t xml:space="preserve"> </w:t>
      </w:r>
      <w:r w:rsidR="00015EB3" w:rsidRPr="0068064A">
        <w:rPr>
          <w:rFonts w:hint="cs"/>
          <w:b/>
          <w:bCs/>
          <w:rtl/>
        </w:rPr>
        <w:t>ל</w:t>
      </w:r>
      <w:r w:rsidRPr="0068064A">
        <w:rPr>
          <w:rFonts w:hint="cs"/>
          <w:b/>
          <w:bCs/>
          <w:rtl/>
        </w:rPr>
        <w:t xml:space="preserve">לקוחות </w:t>
      </w:r>
      <w:r w:rsidR="00015EB3" w:rsidRPr="0068064A">
        <w:rPr>
          <w:rFonts w:hint="cs"/>
          <w:b/>
          <w:bCs/>
          <w:rtl/>
        </w:rPr>
        <w:t>מהמגזר ה</w:t>
      </w:r>
      <w:r w:rsidRPr="0068064A">
        <w:rPr>
          <w:rFonts w:hint="cs"/>
          <w:b/>
          <w:bCs/>
          <w:rtl/>
        </w:rPr>
        <w:t>יהודי</w:t>
      </w:r>
      <w:r w:rsidR="00F15734" w:rsidRPr="0068064A">
        <w:rPr>
          <w:rFonts w:hint="cs"/>
          <w:b/>
          <w:bCs/>
          <w:rtl/>
        </w:rPr>
        <w:t xml:space="preserve"> ביישובים מעורבים</w:t>
      </w:r>
      <w:r w:rsidR="00AF2A37" w:rsidRPr="0068064A">
        <w:rPr>
          <w:rFonts w:hint="cs"/>
          <w:b/>
          <w:bCs/>
          <w:rtl/>
        </w:rPr>
        <w:t>.</w:t>
      </w:r>
      <w:r w:rsidR="00A179B2" w:rsidRPr="0068064A">
        <w:rPr>
          <w:rFonts w:hint="cs"/>
          <w:b/>
          <w:bCs/>
          <w:rtl/>
        </w:rPr>
        <w:t xml:space="preserve"> </w:t>
      </w:r>
      <w:r w:rsidR="00AF2A37" w:rsidRPr="0068064A">
        <w:rPr>
          <w:rFonts w:hint="cs"/>
          <w:b/>
          <w:bCs/>
          <w:rtl/>
        </w:rPr>
        <w:t xml:space="preserve">לעומת זאת, </w:t>
      </w:r>
      <w:r w:rsidR="00EE07B0" w:rsidRPr="0068064A">
        <w:rPr>
          <w:rFonts w:hint="cs"/>
          <w:b/>
          <w:bCs/>
          <w:rtl/>
        </w:rPr>
        <w:t>עבור י</w:t>
      </w:r>
      <w:r w:rsidR="00D21178" w:rsidRPr="0068064A">
        <w:rPr>
          <w:rFonts w:hint="cs"/>
          <w:b/>
          <w:bCs/>
          <w:rtl/>
        </w:rPr>
        <w:t>י</w:t>
      </w:r>
      <w:r w:rsidR="00EE07B0" w:rsidRPr="0068064A">
        <w:rPr>
          <w:rFonts w:hint="cs"/>
          <w:b/>
          <w:bCs/>
          <w:rtl/>
        </w:rPr>
        <w:t>שובים שאינם מעורבים</w:t>
      </w:r>
      <w:r w:rsidR="00AF2A37" w:rsidRPr="0068064A">
        <w:rPr>
          <w:rFonts w:hint="cs"/>
          <w:b/>
          <w:bCs/>
          <w:rtl/>
        </w:rPr>
        <w:t>,</w:t>
      </w:r>
      <w:r w:rsidR="00D21178" w:rsidRPr="0068064A">
        <w:rPr>
          <w:rFonts w:hint="cs"/>
          <w:b/>
          <w:bCs/>
          <w:rtl/>
        </w:rPr>
        <w:t xml:space="preserve"> </w:t>
      </w:r>
      <w:r w:rsidR="00AF2A37" w:rsidRPr="0068064A">
        <w:rPr>
          <w:rFonts w:hint="cs"/>
          <w:b/>
          <w:bCs/>
          <w:rtl/>
        </w:rPr>
        <w:t>נמצא כי</w:t>
      </w:r>
      <w:r w:rsidR="00EE07B0" w:rsidRPr="0068064A">
        <w:rPr>
          <w:rFonts w:hint="cs"/>
          <w:b/>
          <w:bCs/>
          <w:rtl/>
        </w:rPr>
        <w:t xml:space="preserve"> ב</w:t>
      </w:r>
      <w:r w:rsidRPr="0068064A">
        <w:rPr>
          <w:rFonts w:hint="cs"/>
          <w:b/>
          <w:bCs/>
          <w:rtl/>
        </w:rPr>
        <w:t>יישובי</w:t>
      </w:r>
      <w:r w:rsidR="00EE07B0" w:rsidRPr="0068064A">
        <w:rPr>
          <w:rFonts w:hint="cs"/>
          <w:b/>
          <w:bCs/>
          <w:rtl/>
        </w:rPr>
        <w:t xml:space="preserve"> המגזר</w:t>
      </w:r>
      <w:r w:rsidRPr="0068064A">
        <w:rPr>
          <w:rFonts w:hint="cs"/>
          <w:b/>
          <w:bCs/>
          <w:rtl/>
        </w:rPr>
        <w:t xml:space="preserve"> </w:t>
      </w:r>
      <w:r w:rsidR="00EE07B0" w:rsidRPr="0068064A">
        <w:rPr>
          <w:rFonts w:hint="cs"/>
          <w:b/>
          <w:bCs/>
          <w:rtl/>
        </w:rPr>
        <w:t>ה</w:t>
      </w:r>
      <w:r w:rsidR="00D100CA" w:rsidRPr="0068064A">
        <w:rPr>
          <w:rFonts w:hint="cs"/>
          <w:b/>
          <w:bCs/>
          <w:rtl/>
        </w:rPr>
        <w:t>ערבי</w:t>
      </w:r>
      <w:r w:rsidRPr="0068064A">
        <w:rPr>
          <w:rFonts w:hint="cs"/>
          <w:b/>
          <w:bCs/>
          <w:rtl/>
        </w:rPr>
        <w:t xml:space="preserve"> הריבית</w:t>
      </w:r>
      <w:r w:rsidRPr="0068064A">
        <w:rPr>
          <w:b/>
          <w:bCs/>
          <w:rtl/>
        </w:rPr>
        <w:t xml:space="preserve"> </w:t>
      </w:r>
      <w:r w:rsidRPr="0068064A">
        <w:rPr>
          <w:rFonts w:hint="cs"/>
          <w:b/>
          <w:bCs/>
          <w:rtl/>
        </w:rPr>
        <w:t>על</w:t>
      </w:r>
      <w:r w:rsidRPr="0068064A">
        <w:rPr>
          <w:b/>
          <w:bCs/>
          <w:rtl/>
        </w:rPr>
        <w:t xml:space="preserve"> </w:t>
      </w:r>
      <w:r w:rsidRPr="0068064A">
        <w:rPr>
          <w:rFonts w:hint="cs"/>
          <w:b/>
          <w:bCs/>
          <w:rtl/>
        </w:rPr>
        <w:t xml:space="preserve">המשכנתאות גבוהה </w:t>
      </w:r>
      <w:r w:rsidR="00017A1F" w:rsidRPr="0068064A">
        <w:rPr>
          <w:rFonts w:hint="cs"/>
          <w:b/>
          <w:bCs/>
          <w:rtl/>
        </w:rPr>
        <w:t xml:space="preserve"> </w:t>
      </w:r>
      <w:r w:rsidRPr="0068064A">
        <w:rPr>
          <w:rFonts w:hint="cs"/>
          <w:b/>
          <w:bCs/>
          <w:rtl/>
        </w:rPr>
        <w:t xml:space="preserve">בכ-0.3 נקודות אחוז בהשוואה </w:t>
      </w:r>
      <w:r w:rsidR="008A2230" w:rsidRPr="0068064A">
        <w:rPr>
          <w:rFonts w:hint="cs"/>
          <w:b/>
          <w:bCs/>
          <w:rtl/>
        </w:rPr>
        <w:t>ל</w:t>
      </w:r>
      <w:r w:rsidR="00D21178" w:rsidRPr="0068064A">
        <w:rPr>
          <w:rFonts w:hint="cs"/>
          <w:b/>
          <w:bCs/>
          <w:rtl/>
        </w:rPr>
        <w:t>י</w:t>
      </w:r>
      <w:r w:rsidR="00EE07B0" w:rsidRPr="0068064A">
        <w:rPr>
          <w:rFonts w:hint="cs"/>
          <w:b/>
          <w:bCs/>
          <w:rtl/>
        </w:rPr>
        <w:t xml:space="preserve">ישובי </w:t>
      </w:r>
      <w:r w:rsidR="00015EB3" w:rsidRPr="0068064A">
        <w:rPr>
          <w:rFonts w:hint="cs"/>
          <w:b/>
          <w:bCs/>
          <w:rtl/>
        </w:rPr>
        <w:t>המגזר היהודי</w:t>
      </w:r>
      <w:r w:rsidRPr="0068064A">
        <w:rPr>
          <w:rFonts w:hint="cs"/>
          <w:b/>
          <w:bCs/>
          <w:rtl/>
        </w:rPr>
        <w:t xml:space="preserve">. </w:t>
      </w:r>
      <w:r w:rsidR="0054343D" w:rsidRPr="0068064A">
        <w:rPr>
          <w:rFonts w:hint="cs"/>
          <w:b/>
          <w:bCs/>
          <w:rtl/>
        </w:rPr>
        <w:t xml:space="preserve">הפער האמור בריביות הנו בנטרול </w:t>
      </w:r>
      <w:r w:rsidRPr="0068064A">
        <w:rPr>
          <w:rFonts w:hint="cs"/>
          <w:b/>
          <w:bCs/>
          <w:rtl/>
        </w:rPr>
        <w:t>הבדלים ב</w:t>
      </w:r>
      <w:r w:rsidR="00017A1F" w:rsidRPr="0068064A">
        <w:rPr>
          <w:rFonts w:hint="cs"/>
          <w:b/>
          <w:bCs/>
          <w:rtl/>
        </w:rPr>
        <w:t xml:space="preserve">חלק </w:t>
      </w:r>
      <w:r w:rsidR="000A5EEF" w:rsidRPr="0068064A">
        <w:rPr>
          <w:rFonts w:hint="cs"/>
          <w:b/>
          <w:bCs/>
          <w:rtl/>
        </w:rPr>
        <w:t>מ</w:t>
      </w:r>
      <w:r w:rsidRPr="0068064A">
        <w:rPr>
          <w:rFonts w:hint="cs"/>
          <w:b/>
          <w:bCs/>
          <w:rtl/>
        </w:rPr>
        <w:t xml:space="preserve">מאפייני </w:t>
      </w:r>
      <w:r w:rsidR="00017A1F" w:rsidRPr="0068064A">
        <w:rPr>
          <w:rFonts w:hint="cs"/>
          <w:b/>
          <w:bCs/>
          <w:rtl/>
        </w:rPr>
        <w:t>ה</w:t>
      </w:r>
      <w:r w:rsidRPr="0068064A">
        <w:rPr>
          <w:rFonts w:hint="cs"/>
          <w:b/>
          <w:bCs/>
          <w:rtl/>
        </w:rPr>
        <w:t xml:space="preserve">סיכון </w:t>
      </w:r>
      <w:r w:rsidR="00017A1F" w:rsidRPr="0068064A">
        <w:rPr>
          <w:rFonts w:hint="cs"/>
          <w:b/>
          <w:bCs/>
          <w:rtl/>
        </w:rPr>
        <w:t xml:space="preserve">של </w:t>
      </w:r>
      <w:r w:rsidRPr="0068064A">
        <w:rPr>
          <w:rFonts w:hint="cs"/>
          <w:b/>
          <w:bCs/>
          <w:rtl/>
        </w:rPr>
        <w:t xml:space="preserve"> הלווים</w:t>
      </w:r>
      <w:r w:rsidR="0054343D" w:rsidRPr="0068064A">
        <w:rPr>
          <w:rFonts w:hint="cs"/>
          <w:b/>
          <w:bCs/>
          <w:rtl/>
        </w:rPr>
        <w:t>,</w:t>
      </w:r>
      <w:r w:rsidRPr="0068064A">
        <w:rPr>
          <w:rFonts w:hint="cs"/>
          <w:b/>
          <w:bCs/>
          <w:rtl/>
        </w:rPr>
        <w:t xml:space="preserve"> </w:t>
      </w:r>
      <w:r w:rsidR="0054343D" w:rsidRPr="0068064A">
        <w:rPr>
          <w:rFonts w:hint="cs"/>
          <w:b/>
          <w:bCs/>
          <w:rtl/>
        </w:rPr>
        <w:t xml:space="preserve">והוא משקף ככל הנראה את הסיכון הנובע </w:t>
      </w:r>
      <w:r w:rsidR="00B23526" w:rsidRPr="0068064A">
        <w:rPr>
          <w:rFonts w:hint="cs"/>
          <w:b/>
          <w:bCs/>
          <w:rtl/>
        </w:rPr>
        <w:t>מהקושי ב</w:t>
      </w:r>
      <w:r w:rsidR="00017DD1" w:rsidRPr="0068064A">
        <w:rPr>
          <w:rFonts w:hint="cs"/>
          <w:b/>
          <w:bCs/>
          <w:rtl/>
        </w:rPr>
        <w:t xml:space="preserve">מימוש </w:t>
      </w:r>
      <w:r w:rsidRPr="0068064A">
        <w:rPr>
          <w:rFonts w:hint="cs"/>
          <w:b/>
          <w:bCs/>
          <w:rtl/>
        </w:rPr>
        <w:t>הנכס</w:t>
      </w:r>
      <w:r w:rsidR="001B1A9C" w:rsidRPr="0068064A">
        <w:rPr>
          <w:rFonts w:hint="cs"/>
          <w:b/>
          <w:bCs/>
          <w:rtl/>
        </w:rPr>
        <w:t xml:space="preserve"> על ידי הבנק </w:t>
      </w:r>
      <w:r w:rsidR="00AA5CC2" w:rsidRPr="0068064A">
        <w:rPr>
          <w:rFonts w:hint="cs"/>
          <w:b/>
          <w:bCs/>
          <w:rtl/>
        </w:rPr>
        <w:t>ב</w:t>
      </w:r>
      <w:r w:rsidR="00D21178" w:rsidRPr="0068064A">
        <w:rPr>
          <w:rFonts w:hint="cs"/>
          <w:b/>
          <w:bCs/>
          <w:rtl/>
        </w:rPr>
        <w:t>י</w:t>
      </w:r>
      <w:r w:rsidR="00AA5CC2" w:rsidRPr="0068064A">
        <w:rPr>
          <w:rFonts w:hint="cs"/>
          <w:b/>
          <w:bCs/>
          <w:rtl/>
        </w:rPr>
        <w:t>ישוב</w:t>
      </w:r>
      <w:r w:rsidR="00D21178" w:rsidRPr="0068064A">
        <w:rPr>
          <w:rFonts w:hint="cs"/>
          <w:b/>
          <w:bCs/>
          <w:rtl/>
        </w:rPr>
        <w:t>ים</w:t>
      </w:r>
      <w:r w:rsidR="00AA5CC2" w:rsidRPr="0068064A">
        <w:rPr>
          <w:rFonts w:hint="cs"/>
          <w:b/>
          <w:bCs/>
          <w:rtl/>
        </w:rPr>
        <w:t xml:space="preserve"> ערבי</w:t>
      </w:r>
      <w:r w:rsidR="00D21178" w:rsidRPr="0068064A">
        <w:rPr>
          <w:rFonts w:hint="cs"/>
          <w:b/>
          <w:bCs/>
          <w:rtl/>
        </w:rPr>
        <w:t>ים</w:t>
      </w:r>
      <w:r w:rsidR="00AA5CC2" w:rsidRPr="0068064A">
        <w:rPr>
          <w:rFonts w:hint="cs"/>
          <w:b/>
          <w:bCs/>
          <w:rtl/>
        </w:rPr>
        <w:t xml:space="preserve"> </w:t>
      </w:r>
      <w:r w:rsidR="001B1A9C" w:rsidRPr="0068064A">
        <w:rPr>
          <w:rFonts w:hint="cs"/>
          <w:b/>
          <w:bCs/>
          <w:rtl/>
        </w:rPr>
        <w:t>במקרה של כשל</w:t>
      </w:r>
      <w:r w:rsidR="00AA5CC2" w:rsidRPr="0068064A">
        <w:rPr>
          <w:rFonts w:hint="cs"/>
          <w:b/>
          <w:bCs/>
          <w:rtl/>
        </w:rPr>
        <w:t xml:space="preserve"> הלווה</w:t>
      </w:r>
      <w:r w:rsidR="0029559F" w:rsidRPr="0068064A">
        <w:rPr>
          <w:rFonts w:hint="cs"/>
          <w:b/>
          <w:bCs/>
          <w:rtl/>
        </w:rPr>
        <w:t>.</w:t>
      </w:r>
      <w:r w:rsidRPr="0068064A">
        <w:rPr>
          <w:rFonts w:hint="cs"/>
          <w:b/>
          <w:bCs/>
          <w:rtl/>
        </w:rPr>
        <w:t xml:space="preserve"> </w:t>
      </w:r>
      <w:r w:rsidR="00EC488F" w:rsidRPr="0068064A">
        <w:rPr>
          <w:rFonts w:hint="cs"/>
          <w:b/>
          <w:bCs/>
          <w:rtl/>
        </w:rPr>
        <w:t xml:space="preserve">בנוסף, </w:t>
      </w:r>
      <w:r w:rsidR="0054343D" w:rsidRPr="0068064A">
        <w:rPr>
          <w:rFonts w:hint="cs"/>
          <w:b/>
          <w:bCs/>
          <w:rtl/>
        </w:rPr>
        <w:t>ייתכן ש</w:t>
      </w:r>
      <w:r w:rsidR="0029559F" w:rsidRPr="0068064A">
        <w:rPr>
          <w:rFonts w:hint="cs"/>
          <w:b/>
          <w:bCs/>
          <w:rtl/>
        </w:rPr>
        <w:t>הפער משקף אף</w:t>
      </w:r>
      <w:r w:rsidR="0054343D" w:rsidRPr="0068064A">
        <w:rPr>
          <w:rFonts w:hint="cs"/>
          <w:b/>
          <w:bCs/>
          <w:rtl/>
        </w:rPr>
        <w:t xml:space="preserve"> </w:t>
      </w:r>
      <w:r w:rsidR="0029559F" w:rsidRPr="0068064A">
        <w:rPr>
          <w:rFonts w:hint="cs"/>
          <w:b/>
          <w:bCs/>
          <w:rtl/>
        </w:rPr>
        <w:t>פערים</w:t>
      </w:r>
      <w:r w:rsidR="0054343D" w:rsidRPr="0068064A">
        <w:rPr>
          <w:rFonts w:hint="cs"/>
          <w:b/>
          <w:bCs/>
          <w:rtl/>
        </w:rPr>
        <w:t xml:space="preserve"> </w:t>
      </w:r>
      <w:r w:rsidR="0029559F" w:rsidRPr="0068064A">
        <w:rPr>
          <w:rFonts w:hint="cs"/>
          <w:b/>
          <w:bCs/>
          <w:rtl/>
        </w:rPr>
        <w:t>ב</w:t>
      </w:r>
      <w:r w:rsidRPr="0068064A">
        <w:rPr>
          <w:rFonts w:hint="cs"/>
          <w:b/>
          <w:bCs/>
          <w:rtl/>
        </w:rPr>
        <w:t xml:space="preserve">יציבות </w:t>
      </w:r>
      <w:r w:rsidR="0054343D" w:rsidRPr="0068064A">
        <w:rPr>
          <w:rFonts w:hint="cs"/>
          <w:b/>
          <w:bCs/>
          <w:rtl/>
        </w:rPr>
        <w:t xml:space="preserve">התעסוקתית של </w:t>
      </w:r>
      <w:r w:rsidR="0007083B" w:rsidRPr="0068064A">
        <w:rPr>
          <w:rFonts w:hint="cs"/>
          <w:b/>
          <w:bCs/>
          <w:rtl/>
        </w:rPr>
        <w:t xml:space="preserve">הלווה </w:t>
      </w:r>
      <w:r w:rsidR="0054343D" w:rsidRPr="0068064A">
        <w:rPr>
          <w:rFonts w:hint="cs"/>
          <w:b/>
          <w:bCs/>
          <w:rtl/>
        </w:rPr>
        <w:t xml:space="preserve">ומשתנים </w:t>
      </w:r>
      <w:r w:rsidR="00E11743" w:rsidRPr="0068064A">
        <w:rPr>
          <w:rFonts w:hint="cs"/>
          <w:b/>
          <w:bCs/>
          <w:rtl/>
        </w:rPr>
        <w:t xml:space="preserve">נוספים </w:t>
      </w:r>
      <w:r w:rsidRPr="0068064A">
        <w:rPr>
          <w:rFonts w:hint="cs"/>
          <w:b/>
          <w:bCs/>
          <w:rtl/>
        </w:rPr>
        <w:t>שאינם קיימים במאגר הנתונים.</w:t>
      </w:r>
      <w:r w:rsidR="0054343D" w:rsidRPr="0068064A">
        <w:rPr>
          <w:rFonts w:hint="cs"/>
          <w:b/>
          <w:bCs/>
          <w:rtl/>
        </w:rPr>
        <w:t xml:space="preserve"> </w:t>
      </w:r>
    </w:p>
    <w:p w:rsidR="001B475A" w:rsidRPr="0068064A" w:rsidRDefault="0072150F" w:rsidP="007027B3">
      <w:pPr>
        <w:pStyle w:val="a0"/>
        <w:numPr>
          <w:ilvl w:val="0"/>
          <w:numId w:val="27"/>
        </w:numPr>
        <w:spacing w:after="240"/>
        <w:ind w:left="-58" w:hanging="283"/>
        <w:rPr>
          <w:b/>
          <w:bCs/>
          <w:rtl/>
        </w:rPr>
      </w:pPr>
      <w:r w:rsidRPr="0068064A">
        <w:rPr>
          <w:rFonts w:hint="cs"/>
          <w:b/>
          <w:bCs/>
          <w:rtl/>
        </w:rPr>
        <w:t>הסברים אפשריים לפערים בנגישות למשכנתאות ולעלותן העודפת ביישובים ערביים:</w:t>
      </w:r>
      <w:r w:rsidR="0068064A">
        <w:rPr>
          <w:b/>
          <w:bCs/>
          <w:rtl/>
        </w:rPr>
        <w:br/>
      </w:r>
      <w:r w:rsidRPr="0068064A">
        <w:rPr>
          <w:b/>
          <w:bCs/>
          <w:rtl/>
        </w:rPr>
        <w:t>קשיים ברישום הנכס והעמדתו כבטוחה</w:t>
      </w:r>
      <w:r w:rsidR="008A2230" w:rsidRPr="0068064A">
        <w:rPr>
          <w:rFonts w:hint="cs"/>
          <w:b/>
          <w:bCs/>
          <w:rtl/>
        </w:rPr>
        <w:t>-</w:t>
      </w:r>
      <w:r w:rsidRPr="0068064A">
        <w:rPr>
          <w:rFonts w:hint="cs"/>
          <w:b/>
          <w:bCs/>
          <w:rtl/>
        </w:rPr>
        <w:t xml:space="preserve"> הכשלים</w:t>
      </w:r>
      <w:r w:rsidRPr="0068064A">
        <w:rPr>
          <w:b/>
          <w:bCs/>
          <w:rtl/>
        </w:rPr>
        <w:t xml:space="preserve"> </w:t>
      </w:r>
      <w:r w:rsidRPr="0068064A">
        <w:rPr>
          <w:rFonts w:hint="cs"/>
          <w:b/>
          <w:bCs/>
          <w:rtl/>
        </w:rPr>
        <w:t>המבניים</w:t>
      </w:r>
      <w:r w:rsidRPr="0068064A">
        <w:rPr>
          <w:b/>
          <w:bCs/>
          <w:rtl/>
        </w:rPr>
        <w:t xml:space="preserve"> </w:t>
      </w:r>
      <w:r w:rsidRPr="0068064A">
        <w:rPr>
          <w:rFonts w:hint="cs"/>
          <w:b/>
          <w:bCs/>
          <w:rtl/>
        </w:rPr>
        <w:t>הקיימים</w:t>
      </w:r>
      <w:r w:rsidRPr="0068064A">
        <w:rPr>
          <w:b/>
          <w:bCs/>
          <w:rtl/>
        </w:rPr>
        <w:t xml:space="preserve"> </w:t>
      </w:r>
      <w:r w:rsidRPr="0068064A">
        <w:rPr>
          <w:rFonts w:hint="cs"/>
          <w:b/>
          <w:bCs/>
          <w:rtl/>
        </w:rPr>
        <w:t>בתחום</w:t>
      </w:r>
      <w:r w:rsidRPr="0068064A">
        <w:rPr>
          <w:b/>
          <w:bCs/>
          <w:rtl/>
        </w:rPr>
        <w:t xml:space="preserve"> </w:t>
      </w:r>
      <w:r w:rsidRPr="0068064A">
        <w:rPr>
          <w:rFonts w:hint="cs"/>
          <w:b/>
          <w:bCs/>
          <w:rtl/>
        </w:rPr>
        <w:t>הדיור</w:t>
      </w:r>
      <w:r w:rsidRPr="0068064A">
        <w:rPr>
          <w:b/>
          <w:bCs/>
          <w:rtl/>
        </w:rPr>
        <w:t xml:space="preserve"> </w:t>
      </w:r>
      <w:r w:rsidRPr="0068064A">
        <w:rPr>
          <w:rFonts w:hint="cs"/>
          <w:b/>
          <w:bCs/>
          <w:rtl/>
        </w:rPr>
        <w:t>ביישובי</w:t>
      </w:r>
      <w:r w:rsidRPr="0068064A">
        <w:rPr>
          <w:b/>
          <w:bCs/>
          <w:rtl/>
        </w:rPr>
        <w:t xml:space="preserve"> </w:t>
      </w:r>
      <w:r w:rsidRPr="0068064A">
        <w:rPr>
          <w:rFonts w:hint="cs"/>
          <w:b/>
          <w:bCs/>
          <w:rtl/>
        </w:rPr>
        <w:t>המגזר</w:t>
      </w:r>
      <w:r w:rsidRPr="0068064A">
        <w:rPr>
          <w:b/>
          <w:bCs/>
          <w:rtl/>
        </w:rPr>
        <w:t xml:space="preserve"> </w:t>
      </w:r>
      <w:r w:rsidRPr="0068064A">
        <w:rPr>
          <w:rFonts w:hint="cs"/>
          <w:b/>
          <w:bCs/>
          <w:rtl/>
        </w:rPr>
        <w:t>הערבי, ובראשם היעדר רישום הבעלות על נכסים והקושי במימושם,</w:t>
      </w:r>
      <w:r w:rsidRPr="0068064A">
        <w:rPr>
          <w:b/>
          <w:bCs/>
          <w:rtl/>
        </w:rPr>
        <w:t xml:space="preserve"> מובילים לנגישות נמוכה של לקוחות המגזר למשכנתאות ולהשפעה על</w:t>
      </w:r>
      <w:r w:rsidR="00277545" w:rsidRPr="0068064A">
        <w:rPr>
          <w:rFonts w:hint="cs"/>
          <w:b/>
          <w:bCs/>
          <w:rtl/>
        </w:rPr>
        <w:t xml:space="preserve"> גובה</w:t>
      </w:r>
      <w:r w:rsidRPr="0068064A">
        <w:rPr>
          <w:b/>
          <w:bCs/>
          <w:rtl/>
        </w:rPr>
        <w:t xml:space="preserve"> הריביות.</w:t>
      </w:r>
      <w:r w:rsidR="0068064A">
        <w:rPr>
          <w:b/>
          <w:bCs/>
          <w:rtl/>
        </w:rPr>
        <w:br/>
      </w:r>
      <w:r w:rsidRPr="0068064A">
        <w:rPr>
          <w:rFonts w:hint="cs"/>
          <w:b/>
          <w:bCs/>
          <w:rtl/>
        </w:rPr>
        <w:t>המבנה</w:t>
      </w:r>
      <w:r w:rsidRPr="0068064A">
        <w:rPr>
          <w:b/>
          <w:bCs/>
          <w:rtl/>
        </w:rPr>
        <w:t xml:space="preserve"> </w:t>
      </w:r>
      <w:r w:rsidRPr="0068064A">
        <w:rPr>
          <w:rFonts w:hint="cs"/>
          <w:b/>
          <w:bCs/>
          <w:rtl/>
        </w:rPr>
        <w:t>התחרותי</w:t>
      </w:r>
      <w:r w:rsidRPr="0068064A">
        <w:rPr>
          <w:b/>
          <w:bCs/>
          <w:rtl/>
        </w:rPr>
        <w:t xml:space="preserve"> </w:t>
      </w:r>
      <w:r w:rsidRPr="0068064A">
        <w:rPr>
          <w:rFonts w:hint="cs"/>
          <w:b/>
          <w:bCs/>
          <w:rtl/>
        </w:rPr>
        <w:t>של</w:t>
      </w:r>
      <w:r w:rsidRPr="0068064A">
        <w:rPr>
          <w:b/>
          <w:bCs/>
          <w:rtl/>
        </w:rPr>
        <w:t xml:space="preserve"> </w:t>
      </w:r>
      <w:r w:rsidRPr="0068064A">
        <w:rPr>
          <w:rFonts w:hint="cs"/>
          <w:b/>
          <w:bCs/>
          <w:rtl/>
        </w:rPr>
        <w:t>תחום</w:t>
      </w:r>
      <w:r w:rsidRPr="0068064A">
        <w:rPr>
          <w:b/>
          <w:bCs/>
          <w:rtl/>
        </w:rPr>
        <w:t xml:space="preserve"> </w:t>
      </w:r>
      <w:r w:rsidRPr="0068064A">
        <w:rPr>
          <w:rFonts w:hint="cs"/>
          <w:b/>
          <w:bCs/>
          <w:rtl/>
        </w:rPr>
        <w:t>האשראי</w:t>
      </w:r>
      <w:r w:rsidRPr="0068064A">
        <w:rPr>
          <w:b/>
          <w:bCs/>
          <w:rtl/>
        </w:rPr>
        <w:t xml:space="preserve"> </w:t>
      </w:r>
      <w:r w:rsidRPr="0068064A">
        <w:rPr>
          <w:rFonts w:hint="cs"/>
          <w:b/>
          <w:bCs/>
          <w:rtl/>
        </w:rPr>
        <w:t>לדיור</w:t>
      </w:r>
      <w:r w:rsidRPr="0068064A">
        <w:rPr>
          <w:b/>
          <w:bCs/>
          <w:rtl/>
        </w:rPr>
        <w:t xml:space="preserve"> </w:t>
      </w:r>
      <w:r w:rsidRPr="0068064A">
        <w:rPr>
          <w:rFonts w:hint="cs"/>
          <w:b/>
          <w:bCs/>
          <w:rtl/>
        </w:rPr>
        <w:t>במגזר</w:t>
      </w:r>
      <w:r w:rsidRPr="0068064A">
        <w:rPr>
          <w:b/>
          <w:bCs/>
          <w:rtl/>
        </w:rPr>
        <w:t xml:space="preserve"> </w:t>
      </w:r>
      <w:r w:rsidRPr="0068064A">
        <w:rPr>
          <w:rFonts w:hint="cs"/>
          <w:b/>
          <w:bCs/>
          <w:rtl/>
        </w:rPr>
        <w:t>הערבי</w:t>
      </w:r>
      <w:r w:rsidR="008A2230" w:rsidRPr="0068064A">
        <w:rPr>
          <w:rFonts w:hint="cs"/>
          <w:b/>
          <w:bCs/>
          <w:rtl/>
        </w:rPr>
        <w:t>-</w:t>
      </w:r>
      <w:r w:rsidRPr="0068064A">
        <w:rPr>
          <w:rFonts w:hint="cs"/>
          <w:b/>
          <w:bCs/>
          <w:rtl/>
        </w:rPr>
        <w:t xml:space="preserve"> </w:t>
      </w:r>
      <w:r w:rsidRPr="0068064A">
        <w:rPr>
          <w:b/>
          <w:bCs/>
          <w:rtl/>
        </w:rPr>
        <w:t xml:space="preserve">הקשיים במשכון ובמימוש הנכסים הביאו לכך שחלק מהבנקים הדירו </w:t>
      </w:r>
      <w:r w:rsidR="00017A1F" w:rsidRPr="0068064A">
        <w:rPr>
          <w:rFonts w:hint="cs"/>
          <w:b/>
          <w:bCs/>
          <w:rtl/>
        </w:rPr>
        <w:t xml:space="preserve">בעבר </w:t>
      </w:r>
      <w:r w:rsidR="00C6091F" w:rsidRPr="0068064A">
        <w:rPr>
          <w:rFonts w:hint="cs"/>
          <w:b/>
          <w:bCs/>
          <w:rtl/>
        </w:rPr>
        <w:t xml:space="preserve">את </w:t>
      </w:r>
      <w:r w:rsidRPr="0068064A">
        <w:rPr>
          <w:b/>
          <w:bCs/>
          <w:rtl/>
        </w:rPr>
        <w:t>רגליהם משוק האשראי לדיור ביישובים ערביים, ולכן התחרות בשוק זה מצומצמת</w:t>
      </w:r>
      <w:r w:rsidR="00017A1F" w:rsidRPr="0068064A">
        <w:rPr>
          <w:rFonts w:hint="cs"/>
          <w:b/>
          <w:bCs/>
          <w:rtl/>
        </w:rPr>
        <w:t xml:space="preserve"> יותר</w:t>
      </w:r>
      <w:r w:rsidRPr="0068064A">
        <w:rPr>
          <w:b/>
          <w:bCs/>
          <w:rtl/>
        </w:rPr>
        <w:t>.</w:t>
      </w:r>
      <w:r w:rsidRPr="0068064A">
        <w:rPr>
          <w:rFonts w:hint="cs"/>
          <w:b/>
          <w:bCs/>
          <w:rtl/>
        </w:rPr>
        <w:t xml:space="preserve"> עם זאת,</w:t>
      </w:r>
      <w:r w:rsidRPr="0068064A">
        <w:rPr>
          <w:b/>
          <w:bCs/>
          <w:rtl/>
        </w:rPr>
        <w:t xml:space="preserve"> </w:t>
      </w:r>
      <w:r w:rsidR="001B475A" w:rsidRPr="0068064A">
        <w:rPr>
          <w:rFonts w:hint="cs"/>
          <w:b/>
          <w:bCs/>
          <w:rtl/>
        </w:rPr>
        <w:t xml:space="preserve">בעשור האחרון </w:t>
      </w:r>
      <w:r w:rsidR="00277545" w:rsidRPr="0068064A">
        <w:rPr>
          <w:rFonts w:hint="cs"/>
          <w:b/>
          <w:bCs/>
          <w:rtl/>
        </w:rPr>
        <w:t xml:space="preserve">חל </w:t>
      </w:r>
      <w:r w:rsidR="00950592" w:rsidRPr="0068064A">
        <w:rPr>
          <w:rFonts w:hint="cs"/>
          <w:b/>
          <w:bCs/>
          <w:rtl/>
        </w:rPr>
        <w:t>גידול</w:t>
      </w:r>
      <w:r w:rsidR="001B475A" w:rsidRPr="0068064A">
        <w:rPr>
          <w:rFonts w:hint="cs"/>
          <w:b/>
          <w:bCs/>
          <w:rtl/>
        </w:rPr>
        <w:t xml:space="preserve"> של כ-90 אחוזים במספר הסניפים בי</w:t>
      </w:r>
      <w:r w:rsidR="001B7C5E" w:rsidRPr="0068064A">
        <w:rPr>
          <w:rFonts w:hint="cs"/>
          <w:b/>
          <w:bCs/>
          <w:rtl/>
        </w:rPr>
        <w:t>י</w:t>
      </w:r>
      <w:r w:rsidR="001B475A" w:rsidRPr="0068064A">
        <w:rPr>
          <w:rFonts w:hint="cs"/>
          <w:b/>
          <w:bCs/>
          <w:rtl/>
        </w:rPr>
        <w:t>שובים ערביים. המיקוד העסקי הגוב</w:t>
      </w:r>
      <w:r w:rsidR="00E93FED" w:rsidRPr="0068064A">
        <w:rPr>
          <w:rFonts w:hint="cs"/>
          <w:b/>
          <w:bCs/>
          <w:rtl/>
        </w:rPr>
        <w:t>ר</w:t>
      </w:r>
      <w:r w:rsidR="001B475A" w:rsidRPr="0068064A">
        <w:rPr>
          <w:rFonts w:hint="cs"/>
          <w:b/>
          <w:bCs/>
          <w:rtl/>
        </w:rPr>
        <w:t xml:space="preserve"> של הבנקים ב</w:t>
      </w:r>
      <w:r w:rsidR="0044171A" w:rsidRPr="0068064A">
        <w:rPr>
          <w:rFonts w:hint="cs"/>
          <w:b/>
          <w:bCs/>
          <w:rtl/>
        </w:rPr>
        <w:t>יישובי</w:t>
      </w:r>
      <w:r w:rsidR="008A2230" w:rsidRPr="0068064A">
        <w:rPr>
          <w:rFonts w:hint="cs"/>
          <w:b/>
          <w:bCs/>
          <w:rtl/>
        </w:rPr>
        <w:t>ם</w:t>
      </w:r>
      <w:r w:rsidR="0044171A" w:rsidRPr="0068064A">
        <w:rPr>
          <w:rFonts w:hint="cs"/>
          <w:b/>
          <w:bCs/>
          <w:rtl/>
        </w:rPr>
        <w:t xml:space="preserve"> הערבי</w:t>
      </w:r>
      <w:r w:rsidR="008A2230" w:rsidRPr="0068064A">
        <w:rPr>
          <w:rFonts w:hint="cs"/>
          <w:b/>
          <w:bCs/>
          <w:rtl/>
        </w:rPr>
        <w:t>ים</w:t>
      </w:r>
      <w:r w:rsidR="0044171A" w:rsidRPr="0068064A">
        <w:rPr>
          <w:rFonts w:hint="cs"/>
          <w:b/>
          <w:bCs/>
          <w:rtl/>
        </w:rPr>
        <w:t xml:space="preserve"> </w:t>
      </w:r>
      <w:r w:rsidR="001B475A" w:rsidRPr="0068064A">
        <w:rPr>
          <w:rFonts w:hint="cs"/>
          <w:b/>
          <w:bCs/>
          <w:rtl/>
        </w:rPr>
        <w:t xml:space="preserve">פועל </w:t>
      </w:r>
      <w:r w:rsidR="00D74786" w:rsidRPr="0068064A">
        <w:rPr>
          <w:rFonts w:hint="cs"/>
          <w:b/>
          <w:bCs/>
          <w:rtl/>
        </w:rPr>
        <w:t>ל</w:t>
      </w:r>
      <w:r w:rsidR="001B475A" w:rsidRPr="0068064A">
        <w:rPr>
          <w:rFonts w:hint="cs"/>
          <w:b/>
          <w:bCs/>
          <w:rtl/>
        </w:rPr>
        <w:t xml:space="preserve">הגברת התחרות בשירותי הבנקאות במגזר. </w:t>
      </w:r>
    </w:p>
    <w:p w:rsidR="00013079" w:rsidRPr="0068064A" w:rsidRDefault="001B475A" w:rsidP="007027B3">
      <w:pPr>
        <w:pStyle w:val="a0"/>
        <w:numPr>
          <w:ilvl w:val="0"/>
          <w:numId w:val="27"/>
        </w:numPr>
        <w:spacing w:after="240"/>
        <w:ind w:left="-58" w:hanging="283"/>
        <w:rPr>
          <w:b/>
          <w:bCs/>
        </w:rPr>
      </w:pPr>
      <w:r w:rsidRPr="0068064A">
        <w:rPr>
          <w:rFonts w:hint="cs"/>
          <w:b/>
          <w:bCs/>
          <w:rtl/>
        </w:rPr>
        <w:t xml:space="preserve">על רקע הקשיים המבניים האמורים מחד והגידול שחל בשנים האחרונות במיקוד ובפעילות </w:t>
      </w:r>
      <w:r w:rsidR="00014419" w:rsidRPr="0068064A">
        <w:rPr>
          <w:rFonts w:hint="cs"/>
          <w:b/>
          <w:bCs/>
          <w:rtl/>
        </w:rPr>
        <w:t>ה</w:t>
      </w:r>
      <w:r w:rsidRPr="0068064A">
        <w:rPr>
          <w:rFonts w:hint="cs"/>
          <w:b/>
          <w:bCs/>
          <w:rtl/>
        </w:rPr>
        <w:t>בנקים במגזר הערבי מאידך, חלק מהבנקים החלו להציע הלוואות לצורכי דיור למגזר הערבי לתקופות ארוכות (של מעל 10 שנים ואף עד 20 שנים) ללא משכון נכס. הלוואות אלה מתאפיינות בהיקפים מצומצמים יחסית עבור משק בית בודד והריבית עליהן גבוהה יותר מהריבית על משכנתאות, שכן מדובר בהלוואה ללא בטוחה.</w:t>
      </w:r>
    </w:p>
    <w:p w:rsidR="0061114F" w:rsidRPr="0068064A" w:rsidRDefault="00013079" w:rsidP="007027B3">
      <w:pPr>
        <w:pStyle w:val="a0"/>
        <w:numPr>
          <w:ilvl w:val="0"/>
          <w:numId w:val="27"/>
        </w:numPr>
        <w:spacing w:after="240"/>
        <w:ind w:left="-58" w:hanging="283"/>
        <w:rPr>
          <w:b/>
          <w:bCs/>
        </w:rPr>
      </w:pPr>
      <w:r w:rsidRPr="0068064A">
        <w:rPr>
          <w:rFonts w:hint="cs"/>
          <w:b/>
          <w:bCs/>
          <w:rtl/>
        </w:rPr>
        <w:lastRenderedPageBreak/>
        <w:t>על</w:t>
      </w:r>
      <w:r w:rsidRPr="0068064A">
        <w:rPr>
          <w:b/>
          <w:bCs/>
          <w:rtl/>
        </w:rPr>
        <w:t xml:space="preserve"> </w:t>
      </w:r>
      <w:r w:rsidRPr="0068064A">
        <w:rPr>
          <w:rFonts w:hint="cs"/>
          <w:b/>
          <w:bCs/>
          <w:rtl/>
        </w:rPr>
        <w:t>מנת</w:t>
      </w:r>
      <w:r w:rsidRPr="0068064A">
        <w:rPr>
          <w:b/>
          <w:bCs/>
          <w:rtl/>
        </w:rPr>
        <w:t xml:space="preserve"> </w:t>
      </w:r>
      <w:r w:rsidRPr="0068064A">
        <w:rPr>
          <w:rFonts w:hint="cs"/>
          <w:b/>
          <w:bCs/>
          <w:rtl/>
        </w:rPr>
        <w:t>לסייע</w:t>
      </w:r>
      <w:r w:rsidRPr="0068064A">
        <w:rPr>
          <w:b/>
          <w:bCs/>
          <w:rtl/>
        </w:rPr>
        <w:t xml:space="preserve"> </w:t>
      </w:r>
      <w:r w:rsidRPr="0068064A">
        <w:rPr>
          <w:rFonts w:hint="cs"/>
          <w:b/>
          <w:bCs/>
          <w:rtl/>
        </w:rPr>
        <w:t>בהגברת</w:t>
      </w:r>
      <w:r w:rsidRPr="0068064A">
        <w:rPr>
          <w:b/>
          <w:bCs/>
          <w:rtl/>
        </w:rPr>
        <w:t xml:space="preserve"> </w:t>
      </w:r>
      <w:r w:rsidRPr="0068064A">
        <w:rPr>
          <w:rFonts w:hint="cs"/>
          <w:b/>
          <w:bCs/>
          <w:rtl/>
        </w:rPr>
        <w:t>היצע</w:t>
      </w:r>
      <w:r w:rsidRPr="0068064A">
        <w:rPr>
          <w:b/>
          <w:bCs/>
          <w:rtl/>
        </w:rPr>
        <w:t xml:space="preserve"> </w:t>
      </w:r>
      <w:r w:rsidRPr="0068064A">
        <w:rPr>
          <w:rFonts w:hint="cs"/>
          <w:b/>
          <w:bCs/>
          <w:rtl/>
        </w:rPr>
        <w:t>האשראי</w:t>
      </w:r>
      <w:r w:rsidRPr="0068064A">
        <w:rPr>
          <w:b/>
          <w:bCs/>
          <w:rtl/>
        </w:rPr>
        <w:t xml:space="preserve"> </w:t>
      </w:r>
      <w:r w:rsidRPr="0068064A">
        <w:rPr>
          <w:rFonts w:hint="cs"/>
          <w:b/>
          <w:bCs/>
          <w:rtl/>
        </w:rPr>
        <w:t>לדיור</w:t>
      </w:r>
      <w:r w:rsidRPr="0068064A">
        <w:rPr>
          <w:b/>
          <w:bCs/>
          <w:rtl/>
        </w:rPr>
        <w:t xml:space="preserve"> </w:t>
      </w:r>
      <w:r w:rsidRPr="0068064A">
        <w:rPr>
          <w:rFonts w:hint="cs"/>
          <w:b/>
          <w:bCs/>
          <w:rtl/>
        </w:rPr>
        <w:t>למגזר</w:t>
      </w:r>
      <w:r w:rsidRPr="0068064A">
        <w:rPr>
          <w:b/>
          <w:bCs/>
          <w:rtl/>
        </w:rPr>
        <w:t xml:space="preserve"> </w:t>
      </w:r>
      <w:r w:rsidRPr="0068064A">
        <w:rPr>
          <w:rFonts w:hint="cs"/>
          <w:b/>
          <w:bCs/>
          <w:rtl/>
        </w:rPr>
        <w:t>הערבי</w:t>
      </w:r>
      <w:r w:rsidRPr="0068064A">
        <w:rPr>
          <w:b/>
          <w:bCs/>
          <w:rtl/>
        </w:rPr>
        <w:t xml:space="preserve"> </w:t>
      </w:r>
      <w:r w:rsidRPr="0068064A">
        <w:rPr>
          <w:rFonts w:hint="cs"/>
          <w:b/>
          <w:bCs/>
          <w:rtl/>
        </w:rPr>
        <w:t>ושיפור</w:t>
      </w:r>
      <w:r w:rsidRPr="0068064A">
        <w:rPr>
          <w:b/>
          <w:bCs/>
          <w:rtl/>
        </w:rPr>
        <w:t xml:space="preserve"> </w:t>
      </w:r>
      <w:r w:rsidRPr="0068064A">
        <w:rPr>
          <w:rFonts w:hint="cs"/>
          <w:b/>
          <w:bCs/>
          <w:rtl/>
        </w:rPr>
        <w:t>תנאי</w:t>
      </w:r>
      <w:r w:rsidRPr="0068064A">
        <w:rPr>
          <w:b/>
          <w:bCs/>
          <w:rtl/>
        </w:rPr>
        <w:t xml:space="preserve"> </w:t>
      </w:r>
      <w:r w:rsidRPr="0068064A">
        <w:rPr>
          <w:rFonts w:hint="cs"/>
          <w:b/>
          <w:bCs/>
          <w:rtl/>
        </w:rPr>
        <w:t>ההלוואות</w:t>
      </w:r>
      <w:r w:rsidRPr="0068064A">
        <w:rPr>
          <w:b/>
          <w:bCs/>
          <w:rtl/>
        </w:rPr>
        <w:t xml:space="preserve"> </w:t>
      </w:r>
      <w:r w:rsidRPr="0068064A">
        <w:rPr>
          <w:rFonts w:hint="cs"/>
          <w:b/>
          <w:bCs/>
          <w:rtl/>
        </w:rPr>
        <w:t>ללוים</w:t>
      </w:r>
      <w:r w:rsidRPr="0068064A">
        <w:rPr>
          <w:b/>
          <w:bCs/>
          <w:rtl/>
        </w:rPr>
        <w:t xml:space="preserve"> </w:t>
      </w:r>
      <w:r w:rsidRPr="0068064A">
        <w:rPr>
          <w:rFonts w:hint="cs"/>
          <w:b/>
          <w:bCs/>
          <w:rtl/>
        </w:rPr>
        <w:t>מהמגזר</w:t>
      </w:r>
      <w:r w:rsidRPr="0068064A">
        <w:rPr>
          <w:b/>
          <w:bCs/>
          <w:rtl/>
        </w:rPr>
        <w:t xml:space="preserve"> </w:t>
      </w:r>
      <w:r w:rsidRPr="0068064A">
        <w:rPr>
          <w:rFonts w:hint="cs"/>
          <w:b/>
          <w:bCs/>
          <w:rtl/>
        </w:rPr>
        <w:t>יש</w:t>
      </w:r>
      <w:r w:rsidRPr="0068064A">
        <w:rPr>
          <w:b/>
          <w:bCs/>
          <w:rtl/>
        </w:rPr>
        <w:t xml:space="preserve"> </w:t>
      </w:r>
      <w:r w:rsidRPr="0068064A">
        <w:rPr>
          <w:rFonts w:hint="cs"/>
          <w:b/>
          <w:bCs/>
          <w:rtl/>
        </w:rPr>
        <w:t>לקדם</w:t>
      </w:r>
      <w:r w:rsidRPr="0068064A">
        <w:rPr>
          <w:b/>
          <w:bCs/>
          <w:rtl/>
        </w:rPr>
        <w:t xml:space="preserve"> </w:t>
      </w:r>
      <w:r w:rsidRPr="0068064A">
        <w:rPr>
          <w:rFonts w:hint="cs"/>
          <w:b/>
          <w:bCs/>
          <w:rtl/>
        </w:rPr>
        <w:t>תכניות</w:t>
      </w:r>
      <w:r w:rsidRPr="0068064A">
        <w:rPr>
          <w:b/>
          <w:bCs/>
          <w:rtl/>
        </w:rPr>
        <w:t xml:space="preserve"> </w:t>
      </w:r>
      <w:r w:rsidRPr="0068064A">
        <w:rPr>
          <w:rFonts w:hint="cs"/>
          <w:b/>
          <w:bCs/>
          <w:rtl/>
        </w:rPr>
        <w:t>ממשלתיות</w:t>
      </w:r>
      <w:r w:rsidRPr="0068064A">
        <w:rPr>
          <w:b/>
          <w:bCs/>
          <w:rtl/>
        </w:rPr>
        <w:t xml:space="preserve"> </w:t>
      </w:r>
      <w:r w:rsidRPr="0068064A">
        <w:rPr>
          <w:rFonts w:hint="cs"/>
          <w:b/>
          <w:bCs/>
          <w:rtl/>
        </w:rPr>
        <w:t>לרישום</w:t>
      </w:r>
      <w:r w:rsidRPr="0068064A">
        <w:rPr>
          <w:b/>
          <w:bCs/>
          <w:rtl/>
        </w:rPr>
        <w:t xml:space="preserve"> </w:t>
      </w:r>
      <w:r w:rsidRPr="0068064A">
        <w:rPr>
          <w:rFonts w:hint="cs"/>
          <w:b/>
          <w:bCs/>
          <w:rtl/>
        </w:rPr>
        <w:t>זכויות</w:t>
      </w:r>
      <w:r w:rsidRPr="0068064A">
        <w:rPr>
          <w:b/>
          <w:bCs/>
          <w:rtl/>
        </w:rPr>
        <w:t xml:space="preserve"> </w:t>
      </w:r>
      <w:r w:rsidRPr="0068064A">
        <w:rPr>
          <w:rFonts w:hint="cs"/>
          <w:b/>
          <w:bCs/>
          <w:rtl/>
        </w:rPr>
        <w:t>במרשם</w:t>
      </w:r>
      <w:r w:rsidRPr="0068064A">
        <w:rPr>
          <w:b/>
          <w:bCs/>
          <w:rtl/>
        </w:rPr>
        <w:t xml:space="preserve"> </w:t>
      </w:r>
      <w:r w:rsidRPr="0068064A">
        <w:rPr>
          <w:rFonts w:hint="cs"/>
          <w:b/>
          <w:bCs/>
          <w:rtl/>
        </w:rPr>
        <w:t>המקרקעין</w:t>
      </w:r>
      <w:r w:rsidRPr="0068064A">
        <w:rPr>
          <w:b/>
          <w:bCs/>
          <w:rtl/>
        </w:rPr>
        <w:t xml:space="preserve">, </w:t>
      </w:r>
      <w:r w:rsidRPr="0068064A">
        <w:rPr>
          <w:rFonts w:hint="cs"/>
          <w:b/>
          <w:bCs/>
          <w:rtl/>
        </w:rPr>
        <w:t>דבר</w:t>
      </w:r>
      <w:r w:rsidRPr="0068064A">
        <w:rPr>
          <w:b/>
          <w:bCs/>
          <w:rtl/>
        </w:rPr>
        <w:t xml:space="preserve"> </w:t>
      </w:r>
      <w:r w:rsidRPr="0068064A">
        <w:rPr>
          <w:rFonts w:hint="cs"/>
          <w:b/>
          <w:bCs/>
          <w:rtl/>
        </w:rPr>
        <w:t>אשר</w:t>
      </w:r>
      <w:r w:rsidRPr="0068064A">
        <w:rPr>
          <w:b/>
          <w:bCs/>
          <w:rtl/>
        </w:rPr>
        <w:t xml:space="preserve"> </w:t>
      </w:r>
      <w:r w:rsidRPr="0068064A">
        <w:rPr>
          <w:rFonts w:hint="cs"/>
          <w:b/>
          <w:bCs/>
          <w:rtl/>
        </w:rPr>
        <w:t>יגדיל</w:t>
      </w:r>
      <w:r w:rsidRPr="0068064A">
        <w:rPr>
          <w:b/>
          <w:bCs/>
          <w:rtl/>
        </w:rPr>
        <w:t xml:space="preserve"> </w:t>
      </w:r>
      <w:r w:rsidRPr="0068064A">
        <w:rPr>
          <w:rFonts w:hint="cs"/>
          <w:b/>
          <w:bCs/>
          <w:rtl/>
        </w:rPr>
        <w:t>את</w:t>
      </w:r>
      <w:r w:rsidRPr="0068064A">
        <w:rPr>
          <w:b/>
          <w:bCs/>
          <w:rtl/>
        </w:rPr>
        <w:t xml:space="preserve"> </w:t>
      </w:r>
      <w:r w:rsidRPr="0068064A">
        <w:rPr>
          <w:rFonts w:hint="cs"/>
          <w:b/>
          <w:bCs/>
          <w:rtl/>
        </w:rPr>
        <w:t>היכולת</w:t>
      </w:r>
      <w:r w:rsidRPr="0068064A">
        <w:rPr>
          <w:b/>
          <w:bCs/>
          <w:rtl/>
        </w:rPr>
        <w:t xml:space="preserve"> </w:t>
      </w:r>
      <w:r w:rsidRPr="0068064A">
        <w:rPr>
          <w:rFonts w:hint="cs"/>
          <w:b/>
          <w:bCs/>
          <w:rtl/>
        </w:rPr>
        <w:t>של</w:t>
      </w:r>
      <w:r w:rsidRPr="0068064A">
        <w:rPr>
          <w:b/>
          <w:bCs/>
          <w:rtl/>
        </w:rPr>
        <w:t xml:space="preserve"> </w:t>
      </w:r>
      <w:r w:rsidRPr="0068064A">
        <w:rPr>
          <w:rFonts w:hint="cs"/>
          <w:b/>
          <w:bCs/>
          <w:rtl/>
        </w:rPr>
        <w:t>הלווים</w:t>
      </w:r>
      <w:r w:rsidRPr="0068064A">
        <w:rPr>
          <w:b/>
          <w:bCs/>
          <w:rtl/>
        </w:rPr>
        <w:t xml:space="preserve"> </w:t>
      </w:r>
      <w:r w:rsidRPr="0068064A">
        <w:rPr>
          <w:rFonts w:hint="cs"/>
          <w:b/>
          <w:bCs/>
          <w:rtl/>
        </w:rPr>
        <w:t>להעמיד</w:t>
      </w:r>
      <w:r w:rsidRPr="0068064A">
        <w:rPr>
          <w:b/>
          <w:bCs/>
          <w:rtl/>
        </w:rPr>
        <w:t xml:space="preserve"> </w:t>
      </w:r>
      <w:r w:rsidRPr="0068064A">
        <w:rPr>
          <w:rFonts w:hint="cs"/>
          <w:b/>
          <w:bCs/>
          <w:rtl/>
        </w:rPr>
        <w:t>את</w:t>
      </w:r>
      <w:r w:rsidRPr="0068064A">
        <w:rPr>
          <w:b/>
          <w:bCs/>
          <w:rtl/>
        </w:rPr>
        <w:t xml:space="preserve"> </w:t>
      </w:r>
      <w:r w:rsidRPr="0068064A">
        <w:rPr>
          <w:rFonts w:hint="cs"/>
          <w:b/>
          <w:bCs/>
          <w:rtl/>
        </w:rPr>
        <w:t>הנכסים</w:t>
      </w:r>
      <w:r w:rsidRPr="0068064A">
        <w:rPr>
          <w:b/>
          <w:bCs/>
          <w:rtl/>
        </w:rPr>
        <w:t xml:space="preserve"> </w:t>
      </w:r>
      <w:r w:rsidRPr="0068064A">
        <w:rPr>
          <w:rFonts w:hint="cs"/>
          <w:b/>
          <w:bCs/>
          <w:rtl/>
        </w:rPr>
        <w:t>כבטוחה</w:t>
      </w:r>
      <w:r w:rsidRPr="0068064A">
        <w:rPr>
          <w:b/>
          <w:bCs/>
          <w:rtl/>
        </w:rPr>
        <w:t xml:space="preserve">, </w:t>
      </w:r>
      <w:r w:rsidRPr="0068064A">
        <w:rPr>
          <w:rFonts w:hint="cs"/>
          <w:b/>
          <w:bCs/>
          <w:rtl/>
        </w:rPr>
        <w:t>יפחית</w:t>
      </w:r>
      <w:r w:rsidRPr="0068064A">
        <w:rPr>
          <w:b/>
          <w:bCs/>
          <w:rtl/>
        </w:rPr>
        <w:t xml:space="preserve"> </w:t>
      </w:r>
      <w:r w:rsidRPr="0068064A">
        <w:rPr>
          <w:rFonts w:hint="cs"/>
          <w:b/>
          <w:bCs/>
          <w:rtl/>
        </w:rPr>
        <w:t>את</w:t>
      </w:r>
      <w:r w:rsidRPr="0068064A">
        <w:rPr>
          <w:b/>
          <w:bCs/>
          <w:rtl/>
        </w:rPr>
        <w:t xml:space="preserve"> </w:t>
      </w:r>
      <w:r w:rsidRPr="0068064A">
        <w:rPr>
          <w:rFonts w:hint="cs"/>
          <w:b/>
          <w:bCs/>
          <w:rtl/>
        </w:rPr>
        <w:t>הסיכון</w:t>
      </w:r>
      <w:r w:rsidRPr="0068064A">
        <w:rPr>
          <w:b/>
          <w:bCs/>
          <w:rtl/>
        </w:rPr>
        <w:t xml:space="preserve"> </w:t>
      </w:r>
      <w:r w:rsidRPr="0068064A">
        <w:rPr>
          <w:rFonts w:hint="cs"/>
          <w:b/>
          <w:bCs/>
          <w:rtl/>
        </w:rPr>
        <w:t>שבהלוואה</w:t>
      </w:r>
      <w:r w:rsidRPr="0068064A">
        <w:rPr>
          <w:b/>
          <w:bCs/>
          <w:rtl/>
        </w:rPr>
        <w:t xml:space="preserve">, </w:t>
      </w:r>
      <w:r w:rsidRPr="0068064A">
        <w:rPr>
          <w:rFonts w:hint="cs"/>
          <w:b/>
          <w:bCs/>
          <w:rtl/>
        </w:rPr>
        <w:t>וישפר</w:t>
      </w:r>
      <w:r w:rsidRPr="0068064A">
        <w:rPr>
          <w:b/>
          <w:bCs/>
          <w:rtl/>
        </w:rPr>
        <w:t xml:space="preserve"> </w:t>
      </w:r>
      <w:r w:rsidRPr="0068064A">
        <w:rPr>
          <w:rFonts w:hint="cs"/>
          <w:b/>
          <w:bCs/>
          <w:rtl/>
        </w:rPr>
        <w:t>את</w:t>
      </w:r>
      <w:r w:rsidRPr="0068064A">
        <w:rPr>
          <w:b/>
          <w:bCs/>
          <w:rtl/>
        </w:rPr>
        <w:t xml:space="preserve"> </w:t>
      </w:r>
      <w:r w:rsidRPr="0068064A">
        <w:rPr>
          <w:rFonts w:hint="cs"/>
          <w:b/>
          <w:bCs/>
          <w:rtl/>
        </w:rPr>
        <w:t>היצע</w:t>
      </w:r>
      <w:r w:rsidRPr="0068064A">
        <w:rPr>
          <w:b/>
          <w:bCs/>
          <w:rtl/>
        </w:rPr>
        <w:t xml:space="preserve"> </w:t>
      </w:r>
      <w:r w:rsidRPr="0068064A">
        <w:rPr>
          <w:rFonts w:hint="cs"/>
          <w:b/>
          <w:bCs/>
          <w:rtl/>
        </w:rPr>
        <w:t>האשראי</w:t>
      </w:r>
      <w:r w:rsidRPr="0068064A">
        <w:rPr>
          <w:b/>
          <w:bCs/>
          <w:rtl/>
        </w:rPr>
        <w:t xml:space="preserve"> </w:t>
      </w:r>
      <w:r w:rsidRPr="0068064A">
        <w:rPr>
          <w:rFonts w:hint="cs"/>
          <w:b/>
          <w:bCs/>
          <w:rtl/>
        </w:rPr>
        <w:t>ומחירו</w:t>
      </w:r>
      <w:r w:rsidRPr="0068064A">
        <w:rPr>
          <w:b/>
          <w:bCs/>
          <w:rtl/>
        </w:rPr>
        <w:t xml:space="preserve">. </w:t>
      </w:r>
      <w:r w:rsidRPr="0068064A">
        <w:rPr>
          <w:rFonts w:hint="cs"/>
          <w:b/>
          <w:bCs/>
          <w:rtl/>
        </w:rPr>
        <w:t>בהקשר</w:t>
      </w:r>
      <w:r w:rsidRPr="0068064A">
        <w:rPr>
          <w:b/>
          <w:bCs/>
          <w:rtl/>
        </w:rPr>
        <w:t xml:space="preserve"> </w:t>
      </w:r>
      <w:r w:rsidRPr="0068064A">
        <w:rPr>
          <w:rFonts w:hint="cs"/>
          <w:b/>
          <w:bCs/>
          <w:rtl/>
        </w:rPr>
        <w:t>זה</w:t>
      </w:r>
      <w:r w:rsidRPr="0068064A">
        <w:rPr>
          <w:b/>
          <w:bCs/>
          <w:rtl/>
        </w:rPr>
        <w:t xml:space="preserve">, </w:t>
      </w:r>
      <w:r w:rsidRPr="0068064A">
        <w:rPr>
          <w:rFonts w:hint="cs"/>
          <w:b/>
          <w:bCs/>
          <w:rtl/>
        </w:rPr>
        <w:t>תכנית</w:t>
      </w:r>
      <w:r w:rsidRPr="0068064A">
        <w:rPr>
          <w:b/>
          <w:bCs/>
          <w:rtl/>
        </w:rPr>
        <w:t xml:space="preserve"> </w:t>
      </w:r>
      <w:r w:rsidRPr="0068064A">
        <w:rPr>
          <w:rFonts w:hint="cs"/>
          <w:b/>
          <w:bCs/>
          <w:rtl/>
        </w:rPr>
        <w:t>הממשלה</w:t>
      </w:r>
      <w:r w:rsidRPr="0068064A">
        <w:rPr>
          <w:b/>
          <w:bCs/>
          <w:rtl/>
        </w:rPr>
        <w:t xml:space="preserve"> </w:t>
      </w:r>
      <w:r w:rsidRPr="0068064A">
        <w:rPr>
          <w:rFonts w:hint="cs"/>
          <w:b/>
          <w:bCs/>
          <w:rtl/>
        </w:rPr>
        <w:t>והרשות</w:t>
      </w:r>
      <w:r w:rsidRPr="0068064A">
        <w:rPr>
          <w:b/>
          <w:bCs/>
          <w:rtl/>
        </w:rPr>
        <w:t xml:space="preserve"> </w:t>
      </w:r>
      <w:r w:rsidRPr="0068064A">
        <w:rPr>
          <w:rFonts w:hint="cs"/>
          <w:b/>
          <w:bCs/>
          <w:rtl/>
        </w:rPr>
        <w:t>לפיתוח</w:t>
      </w:r>
      <w:r w:rsidRPr="0068064A">
        <w:rPr>
          <w:b/>
          <w:bCs/>
          <w:rtl/>
        </w:rPr>
        <w:t xml:space="preserve"> </w:t>
      </w:r>
      <w:r w:rsidRPr="0068064A">
        <w:rPr>
          <w:rFonts w:hint="cs"/>
          <w:b/>
          <w:bCs/>
          <w:rtl/>
        </w:rPr>
        <w:t>כלכלי</w:t>
      </w:r>
      <w:r w:rsidRPr="0068064A">
        <w:rPr>
          <w:b/>
          <w:bCs/>
          <w:rtl/>
        </w:rPr>
        <w:t xml:space="preserve"> </w:t>
      </w:r>
      <w:r w:rsidRPr="0068064A">
        <w:rPr>
          <w:rFonts w:hint="cs"/>
          <w:b/>
          <w:bCs/>
          <w:rtl/>
        </w:rPr>
        <w:t>במגזר</w:t>
      </w:r>
      <w:r w:rsidRPr="0068064A">
        <w:rPr>
          <w:b/>
          <w:bCs/>
          <w:rtl/>
        </w:rPr>
        <w:t xml:space="preserve"> </w:t>
      </w:r>
      <w:r w:rsidRPr="0068064A">
        <w:rPr>
          <w:rFonts w:hint="cs"/>
          <w:b/>
          <w:bCs/>
          <w:rtl/>
        </w:rPr>
        <w:t>המיעוטים</w:t>
      </w:r>
      <w:r w:rsidRPr="0068064A">
        <w:rPr>
          <w:b/>
          <w:bCs/>
          <w:rtl/>
        </w:rPr>
        <w:t xml:space="preserve"> (החלטה </w:t>
      </w:r>
      <w:r w:rsidRPr="0068064A">
        <w:rPr>
          <w:rFonts w:hint="cs"/>
          <w:b/>
          <w:bCs/>
          <w:rtl/>
        </w:rPr>
        <w:t>מספר</w:t>
      </w:r>
      <w:r w:rsidRPr="0068064A">
        <w:rPr>
          <w:b/>
          <w:bCs/>
          <w:rtl/>
        </w:rPr>
        <w:t xml:space="preserve"> 922 </w:t>
      </w:r>
      <w:r w:rsidRPr="0068064A">
        <w:rPr>
          <w:rFonts w:hint="cs"/>
          <w:b/>
          <w:bCs/>
          <w:rtl/>
        </w:rPr>
        <w:t>בנושא</w:t>
      </w:r>
      <w:r w:rsidRPr="0068064A">
        <w:rPr>
          <w:b/>
          <w:bCs/>
          <w:rtl/>
        </w:rPr>
        <w:t xml:space="preserve"> </w:t>
      </w:r>
      <w:r w:rsidRPr="0068064A">
        <w:rPr>
          <w:rFonts w:hint="cs"/>
          <w:b/>
          <w:bCs/>
          <w:rtl/>
        </w:rPr>
        <w:t>פיתוח</w:t>
      </w:r>
      <w:r w:rsidRPr="0068064A">
        <w:rPr>
          <w:b/>
          <w:bCs/>
          <w:rtl/>
        </w:rPr>
        <w:t xml:space="preserve"> </w:t>
      </w:r>
      <w:r w:rsidRPr="0068064A">
        <w:rPr>
          <w:rFonts w:hint="cs"/>
          <w:b/>
          <w:bCs/>
          <w:rtl/>
        </w:rPr>
        <w:t>כלכלי</w:t>
      </w:r>
      <w:r w:rsidRPr="0068064A">
        <w:rPr>
          <w:b/>
          <w:bCs/>
          <w:rtl/>
        </w:rPr>
        <w:t xml:space="preserve"> </w:t>
      </w:r>
      <w:r w:rsidRPr="0068064A">
        <w:rPr>
          <w:rFonts w:hint="cs"/>
          <w:b/>
          <w:bCs/>
          <w:rtl/>
        </w:rPr>
        <w:t>באוכלוסיית</w:t>
      </w:r>
      <w:r w:rsidRPr="0068064A">
        <w:rPr>
          <w:b/>
          <w:bCs/>
          <w:rtl/>
        </w:rPr>
        <w:t xml:space="preserve"> </w:t>
      </w:r>
      <w:r w:rsidRPr="0068064A">
        <w:rPr>
          <w:rFonts w:hint="cs"/>
          <w:b/>
          <w:bCs/>
          <w:rtl/>
        </w:rPr>
        <w:t>המיעוטים</w:t>
      </w:r>
      <w:r w:rsidRPr="0068064A">
        <w:rPr>
          <w:b/>
          <w:bCs/>
          <w:rtl/>
        </w:rPr>
        <w:t xml:space="preserve"> </w:t>
      </w:r>
      <w:r w:rsidRPr="0068064A">
        <w:rPr>
          <w:rFonts w:hint="cs"/>
          <w:b/>
          <w:bCs/>
          <w:rtl/>
        </w:rPr>
        <w:t>בשנים</w:t>
      </w:r>
      <w:r w:rsidRPr="0068064A">
        <w:rPr>
          <w:b/>
          <w:bCs/>
          <w:rtl/>
        </w:rPr>
        <w:t xml:space="preserve"> </w:t>
      </w:r>
      <w:r w:rsidR="00C6091F" w:rsidRPr="0068064A">
        <w:rPr>
          <w:b/>
          <w:bCs/>
          <w:rtl/>
        </w:rPr>
        <w:t>20</w:t>
      </w:r>
      <w:r w:rsidR="00C6091F" w:rsidRPr="0068064A">
        <w:rPr>
          <w:rFonts w:hint="cs"/>
          <w:b/>
          <w:bCs/>
          <w:rtl/>
        </w:rPr>
        <w:t>16</w:t>
      </w:r>
      <w:r w:rsidRPr="0068064A">
        <w:rPr>
          <w:b/>
          <w:bCs/>
          <w:rtl/>
        </w:rPr>
        <w:t>-</w:t>
      </w:r>
      <w:r w:rsidR="00C6091F" w:rsidRPr="0068064A">
        <w:rPr>
          <w:b/>
          <w:bCs/>
          <w:rtl/>
        </w:rPr>
        <w:t>20</w:t>
      </w:r>
      <w:r w:rsidR="00C6091F" w:rsidRPr="0068064A">
        <w:rPr>
          <w:rFonts w:hint="cs"/>
          <w:b/>
          <w:bCs/>
          <w:rtl/>
        </w:rPr>
        <w:t>20</w:t>
      </w:r>
      <w:r w:rsidRPr="0068064A">
        <w:rPr>
          <w:b/>
          <w:bCs/>
          <w:rtl/>
        </w:rPr>
        <w:t xml:space="preserve">), </w:t>
      </w:r>
      <w:r w:rsidRPr="0068064A">
        <w:rPr>
          <w:rFonts w:hint="cs"/>
          <w:b/>
          <w:bCs/>
          <w:rtl/>
        </w:rPr>
        <w:t>צפויה</w:t>
      </w:r>
      <w:r w:rsidRPr="0068064A">
        <w:rPr>
          <w:b/>
          <w:bCs/>
          <w:rtl/>
        </w:rPr>
        <w:t xml:space="preserve"> </w:t>
      </w:r>
      <w:r w:rsidRPr="0068064A">
        <w:rPr>
          <w:rFonts w:hint="cs"/>
          <w:b/>
          <w:bCs/>
          <w:rtl/>
        </w:rPr>
        <w:t>לסייע</w:t>
      </w:r>
      <w:r w:rsidRPr="0068064A">
        <w:rPr>
          <w:b/>
          <w:bCs/>
          <w:rtl/>
        </w:rPr>
        <w:t xml:space="preserve"> </w:t>
      </w:r>
      <w:r w:rsidRPr="0068064A">
        <w:rPr>
          <w:rFonts w:hint="cs"/>
          <w:b/>
          <w:bCs/>
          <w:rtl/>
        </w:rPr>
        <w:t>ללקוחות</w:t>
      </w:r>
      <w:r w:rsidRPr="0068064A">
        <w:rPr>
          <w:b/>
          <w:bCs/>
          <w:rtl/>
        </w:rPr>
        <w:t xml:space="preserve"> </w:t>
      </w:r>
      <w:r w:rsidRPr="0068064A">
        <w:rPr>
          <w:rFonts w:hint="cs"/>
          <w:b/>
          <w:bCs/>
          <w:rtl/>
        </w:rPr>
        <w:t>המגזר</w:t>
      </w:r>
      <w:r w:rsidRPr="0068064A">
        <w:rPr>
          <w:b/>
          <w:bCs/>
          <w:rtl/>
        </w:rPr>
        <w:t xml:space="preserve"> </w:t>
      </w:r>
      <w:r w:rsidRPr="0068064A">
        <w:rPr>
          <w:rFonts w:hint="cs"/>
          <w:b/>
          <w:bCs/>
          <w:rtl/>
        </w:rPr>
        <w:t>ליטול</w:t>
      </w:r>
      <w:r w:rsidRPr="0068064A">
        <w:rPr>
          <w:b/>
          <w:bCs/>
          <w:rtl/>
        </w:rPr>
        <w:t xml:space="preserve"> </w:t>
      </w:r>
      <w:r w:rsidRPr="0068064A">
        <w:rPr>
          <w:rFonts w:hint="cs"/>
          <w:b/>
          <w:bCs/>
          <w:rtl/>
        </w:rPr>
        <w:t>משכנתאות</w:t>
      </w:r>
      <w:r w:rsidRPr="0068064A">
        <w:rPr>
          <w:b/>
          <w:bCs/>
          <w:rtl/>
        </w:rPr>
        <w:t xml:space="preserve"> </w:t>
      </w:r>
      <w:r w:rsidRPr="0068064A">
        <w:rPr>
          <w:rFonts w:hint="cs"/>
          <w:b/>
          <w:bCs/>
          <w:rtl/>
        </w:rPr>
        <w:t>בשנים</w:t>
      </w:r>
      <w:r w:rsidRPr="0068064A">
        <w:rPr>
          <w:b/>
          <w:bCs/>
          <w:rtl/>
        </w:rPr>
        <w:t xml:space="preserve"> </w:t>
      </w:r>
      <w:r w:rsidRPr="0068064A">
        <w:rPr>
          <w:rFonts w:hint="cs"/>
          <w:b/>
          <w:bCs/>
          <w:rtl/>
        </w:rPr>
        <w:t>הקרובות</w:t>
      </w:r>
      <w:r w:rsidRPr="0068064A">
        <w:rPr>
          <w:b/>
          <w:bCs/>
          <w:rtl/>
        </w:rPr>
        <w:t xml:space="preserve">, </w:t>
      </w:r>
      <w:r w:rsidRPr="0068064A">
        <w:rPr>
          <w:rFonts w:hint="cs"/>
          <w:b/>
          <w:bCs/>
          <w:rtl/>
        </w:rPr>
        <w:t>שכן</w:t>
      </w:r>
      <w:r w:rsidRPr="0068064A">
        <w:rPr>
          <w:b/>
          <w:bCs/>
          <w:rtl/>
        </w:rPr>
        <w:t xml:space="preserve"> </w:t>
      </w:r>
      <w:r w:rsidRPr="0068064A">
        <w:rPr>
          <w:rFonts w:hint="cs"/>
          <w:b/>
          <w:bCs/>
          <w:rtl/>
        </w:rPr>
        <w:t>היא</w:t>
      </w:r>
      <w:r w:rsidRPr="0068064A">
        <w:rPr>
          <w:b/>
          <w:bCs/>
          <w:rtl/>
        </w:rPr>
        <w:t xml:space="preserve"> </w:t>
      </w:r>
      <w:r w:rsidRPr="0068064A">
        <w:rPr>
          <w:rFonts w:hint="cs"/>
          <w:b/>
          <w:bCs/>
          <w:rtl/>
        </w:rPr>
        <w:t>מגדילה</w:t>
      </w:r>
      <w:r w:rsidRPr="0068064A">
        <w:rPr>
          <w:b/>
          <w:bCs/>
          <w:rtl/>
        </w:rPr>
        <w:t xml:space="preserve"> </w:t>
      </w:r>
      <w:r w:rsidRPr="0068064A">
        <w:rPr>
          <w:rFonts w:hint="cs"/>
          <w:b/>
          <w:bCs/>
          <w:rtl/>
        </w:rPr>
        <w:t>את</w:t>
      </w:r>
      <w:r w:rsidRPr="0068064A">
        <w:rPr>
          <w:b/>
          <w:bCs/>
          <w:rtl/>
        </w:rPr>
        <w:t xml:space="preserve"> </w:t>
      </w:r>
      <w:r w:rsidRPr="0068064A">
        <w:rPr>
          <w:rFonts w:hint="cs"/>
          <w:b/>
          <w:bCs/>
          <w:rtl/>
        </w:rPr>
        <w:t>היקף</w:t>
      </w:r>
      <w:r w:rsidRPr="0068064A">
        <w:rPr>
          <w:b/>
          <w:bCs/>
          <w:rtl/>
        </w:rPr>
        <w:t xml:space="preserve"> </w:t>
      </w:r>
      <w:r w:rsidRPr="0068064A">
        <w:rPr>
          <w:rFonts w:hint="cs"/>
          <w:b/>
          <w:bCs/>
          <w:rtl/>
        </w:rPr>
        <w:t>הבניה</w:t>
      </w:r>
      <w:r w:rsidRPr="0068064A">
        <w:rPr>
          <w:b/>
          <w:bCs/>
          <w:rtl/>
        </w:rPr>
        <w:t xml:space="preserve"> </w:t>
      </w:r>
      <w:r w:rsidRPr="0068064A">
        <w:rPr>
          <w:rFonts w:hint="cs"/>
          <w:b/>
          <w:bCs/>
          <w:rtl/>
        </w:rPr>
        <w:t>הרוויה</w:t>
      </w:r>
      <w:r w:rsidRPr="0068064A">
        <w:rPr>
          <w:b/>
          <w:bCs/>
          <w:rtl/>
        </w:rPr>
        <w:t xml:space="preserve"> </w:t>
      </w:r>
      <w:r w:rsidRPr="0068064A">
        <w:rPr>
          <w:rFonts w:hint="cs"/>
          <w:b/>
          <w:bCs/>
          <w:rtl/>
        </w:rPr>
        <w:t>על</w:t>
      </w:r>
      <w:r w:rsidRPr="0068064A">
        <w:rPr>
          <w:b/>
          <w:bCs/>
          <w:rtl/>
        </w:rPr>
        <w:t xml:space="preserve"> </w:t>
      </w:r>
      <w:r w:rsidRPr="0068064A">
        <w:rPr>
          <w:rFonts w:hint="cs"/>
          <w:b/>
          <w:bCs/>
          <w:rtl/>
        </w:rPr>
        <w:t>קרקעות</w:t>
      </w:r>
      <w:r w:rsidRPr="0068064A">
        <w:rPr>
          <w:b/>
          <w:bCs/>
          <w:rtl/>
        </w:rPr>
        <w:t xml:space="preserve"> </w:t>
      </w:r>
      <w:r w:rsidRPr="0068064A">
        <w:rPr>
          <w:rFonts w:hint="cs"/>
          <w:b/>
          <w:bCs/>
          <w:rtl/>
        </w:rPr>
        <w:t>ממשלתיות</w:t>
      </w:r>
      <w:r w:rsidRPr="0068064A">
        <w:rPr>
          <w:b/>
          <w:bCs/>
          <w:rtl/>
        </w:rPr>
        <w:t xml:space="preserve"> </w:t>
      </w:r>
      <w:r w:rsidRPr="0068064A">
        <w:rPr>
          <w:rFonts w:hint="cs"/>
          <w:b/>
          <w:bCs/>
          <w:rtl/>
        </w:rPr>
        <w:t>במגזר</w:t>
      </w:r>
      <w:r w:rsidRPr="0068064A">
        <w:rPr>
          <w:b/>
          <w:bCs/>
          <w:rtl/>
        </w:rPr>
        <w:t xml:space="preserve"> </w:t>
      </w:r>
      <w:r w:rsidRPr="0068064A">
        <w:rPr>
          <w:rFonts w:hint="cs"/>
          <w:b/>
          <w:bCs/>
          <w:rtl/>
        </w:rPr>
        <w:t>הערבי</w:t>
      </w:r>
      <w:r w:rsidRPr="0068064A">
        <w:rPr>
          <w:b/>
          <w:bCs/>
          <w:rtl/>
        </w:rPr>
        <w:t xml:space="preserve">, </w:t>
      </w:r>
      <w:r w:rsidRPr="0068064A">
        <w:rPr>
          <w:rFonts w:hint="cs"/>
          <w:b/>
          <w:bCs/>
          <w:rtl/>
        </w:rPr>
        <w:t>בהן</w:t>
      </w:r>
      <w:r w:rsidRPr="0068064A">
        <w:rPr>
          <w:b/>
          <w:bCs/>
          <w:rtl/>
        </w:rPr>
        <w:t xml:space="preserve"> </w:t>
      </w:r>
      <w:r w:rsidRPr="0068064A">
        <w:rPr>
          <w:rFonts w:hint="cs"/>
          <w:b/>
          <w:bCs/>
          <w:rtl/>
        </w:rPr>
        <w:t>הבעלות</w:t>
      </w:r>
      <w:r w:rsidRPr="0068064A">
        <w:rPr>
          <w:b/>
          <w:bCs/>
          <w:rtl/>
        </w:rPr>
        <w:t xml:space="preserve"> </w:t>
      </w:r>
      <w:r w:rsidRPr="0068064A">
        <w:rPr>
          <w:rFonts w:hint="cs"/>
          <w:b/>
          <w:bCs/>
          <w:rtl/>
        </w:rPr>
        <w:t>על</w:t>
      </w:r>
      <w:r w:rsidRPr="0068064A">
        <w:rPr>
          <w:b/>
          <w:bCs/>
          <w:rtl/>
        </w:rPr>
        <w:t xml:space="preserve"> </w:t>
      </w:r>
      <w:r w:rsidRPr="0068064A">
        <w:rPr>
          <w:rFonts w:hint="cs"/>
          <w:b/>
          <w:bCs/>
          <w:rtl/>
        </w:rPr>
        <w:t>הדירות</w:t>
      </w:r>
      <w:r w:rsidRPr="0068064A">
        <w:rPr>
          <w:b/>
          <w:bCs/>
          <w:rtl/>
        </w:rPr>
        <w:t xml:space="preserve"> </w:t>
      </w:r>
      <w:r w:rsidRPr="0068064A">
        <w:rPr>
          <w:rFonts w:hint="cs"/>
          <w:b/>
          <w:bCs/>
          <w:rtl/>
        </w:rPr>
        <w:t>ניתנת</w:t>
      </w:r>
      <w:r w:rsidRPr="0068064A">
        <w:rPr>
          <w:b/>
          <w:bCs/>
          <w:rtl/>
        </w:rPr>
        <w:t xml:space="preserve"> </w:t>
      </w:r>
      <w:r w:rsidRPr="0068064A">
        <w:rPr>
          <w:rFonts w:hint="cs"/>
          <w:b/>
          <w:bCs/>
          <w:rtl/>
        </w:rPr>
        <w:t>לרישום</w:t>
      </w:r>
      <w:r w:rsidRPr="0068064A">
        <w:rPr>
          <w:b/>
          <w:bCs/>
          <w:rtl/>
        </w:rPr>
        <w:t xml:space="preserve">. </w:t>
      </w:r>
    </w:p>
    <w:p w:rsidR="0061114F" w:rsidRPr="0068064A" w:rsidRDefault="0061114F" w:rsidP="0068064A">
      <w:pPr>
        <w:pStyle w:val="a0"/>
        <w:spacing w:after="120"/>
        <w:ind w:left="357"/>
        <w:rPr>
          <w:b/>
          <w:bCs/>
          <w:sz w:val="14"/>
          <w:szCs w:val="14"/>
        </w:rPr>
      </w:pPr>
    </w:p>
    <w:p w:rsidR="00AC6FF8" w:rsidRPr="007027B3" w:rsidRDefault="00AC6FF8" w:rsidP="007027B3">
      <w:pPr>
        <w:pStyle w:val="2"/>
        <w:rPr>
          <w:rtl/>
        </w:rPr>
      </w:pPr>
      <w:r w:rsidRPr="007027B3">
        <w:rPr>
          <w:rFonts w:hint="cs"/>
          <w:rtl/>
        </w:rPr>
        <w:t>רקע</w:t>
      </w:r>
    </w:p>
    <w:p w:rsidR="003E3135" w:rsidRPr="0068064A" w:rsidRDefault="00E37AA4" w:rsidP="0068064A">
      <w:pPr>
        <w:spacing w:after="120"/>
        <w:rPr>
          <w:rtl/>
        </w:rPr>
      </w:pPr>
      <w:r w:rsidRPr="0068064A">
        <w:rPr>
          <w:rFonts w:hint="cs"/>
          <w:rtl/>
        </w:rPr>
        <w:t>מאפייני</w:t>
      </w:r>
      <w:r w:rsidR="009D05E9" w:rsidRPr="0068064A">
        <w:rPr>
          <w:rFonts w:hint="cs"/>
          <w:rtl/>
        </w:rPr>
        <w:t>ו</w:t>
      </w:r>
      <w:r w:rsidRPr="0068064A">
        <w:rPr>
          <w:rFonts w:hint="cs"/>
          <w:rtl/>
        </w:rPr>
        <w:t xml:space="preserve"> </w:t>
      </w:r>
      <w:r w:rsidR="009D05E9" w:rsidRPr="0068064A">
        <w:rPr>
          <w:rFonts w:hint="cs"/>
          <w:rtl/>
        </w:rPr>
        <w:t xml:space="preserve">הייחודיים של שוק </w:t>
      </w:r>
      <w:r w:rsidRPr="0068064A">
        <w:rPr>
          <w:rFonts w:hint="cs"/>
          <w:rtl/>
        </w:rPr>
        <w:t>הדיור במגזר הערבי</w:t>
      </w:r>
      <w:r w:rsidR="00A124A1" w:rsidRPr="0068064A">
        <w:rPr>
          <w:rFonts w:hint="cs"/>
          <w:rtl/>
        </w:rPr>
        <w:t xml:space="preserve"> מוכרים</w:t>
      </w:r>
      <w:r w:rsidR="00B21F92" w:rsidRPr="0068064A">
        <w:rPr>
          <w:rFonts w:hint="cs"/>
          <w:rtl/>
        </w:rPr>
        <w:t xml:space="preserve"> בקרב קובעי המדיניות</w:t>
      </w:r>
      <w:r w:rsidRPr="0068064A">
        <w:rPr>
          <w:rFonts w:hint="cs"/>
          <w:rtl/>
        </w:rPr>
        <w:t xml:space="preserve"> </w:t>
      </w:r>
      <w:r w:rsidR="00A124A1" w:rsidRPr="0068064A">
        <w:rPr>
          <w:rFonts w:hint="cs"/>
          <w:rtl/>
        </w:rPr>
        <w:t>וקיבלו ביטוי בהחלטות</w:t>
      </w:r>
      <w:r w:rsidR="00B21F92" w:rsidRPr="0068064A">
        <w:rPr>
          <w:rFonts w:hint="cs"/>
          <w:rtl/>
        </w:rPr>
        <w:t>,</w:t>
      </w:r>
      <w:r w:rsidR="00A124A1" w:rsidRPr="0068064A">
        <w:rPr>
          <w:rFonts w:hint="cs"/>
          <w:rtl/>
        </w:rPr>
        <w:t xml:space="preserve"> </w:t>
      </w:r>
      <w:r w:rsidR="00B21F92" w:rsidRPr="0068064A">
        <w:rPr>
          <w:rFonts w:hint="cs"/>
          <w:rtl/>
        </w:rPr>
        <w:t>ב</w:t>
      </w:r>
      <w:r w:rsidR="00A124A1" w:rsidRPr="0068064A">
        <w:rPr>
          <w:rFonts w:hint="cs"/>
          <w:rtl/>
        </w:rPr>
        <w:t>תוכניות ממשלה</w:t>
      </w:r>
      <w:r w:rsidR="00B21F92" w:rsidRPr="0068064A">
        <w:rPr>
          <w:rFonts w:hint="cs"/>
          <w:rtl/>
        </w:rPr>
        <w:t>,</w:t>
      </w:r>
      <w:r w:rsidR="00D932B9" w:rsidRPr="0068064A">
        <w:rPr>
          <w:rFonts w:hint="cs"/>
          <w:rtl/>
        </w:rPr>
        <w:t xml:space="preserve"> בוועדות ובדוחות </w:t>
      </w:r>
      <w:r w:rsidRPr="0068064A">
        <w:rPr>
          <w:rFonts w:hint="cs"/>
          <w:rtl/>
        </w:rPr>
        <w:t xml:space="preserve">שונים. </w:t>
      </w:r>
      <w:r w:rsidR="00B21F92" w:rsidRPr="0068064A">
        <w:rPr>
          <w:rFonts w:hint="cs"/>
          <w:rtl/>
        </w:rPr>
        <w:t xml:space="preserve">כך למשל, </w:t>
      </w:r>
      <w:r w:rsidRPr="0068064A">
        <w:rPr>
          <w:rFonts w:hint="cs"/>
          <w:rtl/>
        </w:rPr>
        <w:t>דו"ח ועדת אור (2003)</w:t>
      </w:r>
      <w:r w:rsidR="007F48BC" w:rsidRPr="0068064A">
        <w:rPr>
          <w:rStyle w:val="ad"/>
          <w:rtl/>
        </w:rPr>
        <w:footnoteReference w:id="2"/>
      </w:r>
      <w:r w:rsidRPr="0068064A">
        <w:rPr>
          <w:rFonts w:hint="cs"/>
          <w:rtl/>
        </w:rPr>
        <w:t xml:space="preserve"> </w:t>
      </w:r>
      <w:r w:rsidR="005F27B6" w:rsidRPr="0068064A">
        <w:rPr>
          <w:rFonts w:hint="cs"/>
          <w:rtl/>
        </w:rPr>
        <w:t>שם דגש על</w:t>
      </w:r>
      <w:r w:rsidRPr="0068064A">
        <w:rPr>
          <w:rFonts w:hint="cs"/>
          <w:rtl/>
        </w:rPr>
        <w:t xml:space="preserve"> </w:t>
      </w:r>
      <w:r w:rsidR="00204577" w:rsidRPr="0068064A">
        <w:rPr>
          <w:rFonts w:hint="cs"/>
          <w:rtl/>
        </w:rPr>
        <w:t>היעדרן</w:t>
      </w:r>
      <w:r w:rsidRPr="0068064A">
        <w:rPr>
          <w:rFonts w:hint="cs"/>
          <w:rtl/>
        </w:rPr>
        <w:t xml:space="preserve"> של תכניות מתאר ו</w:t>
      </w:r>
      <w:r w:rsidR="00C74834" w:rsidRPr="0068064A">
        <w:rPr>
          <w:rFonts w:hint="cs"/>
          <w:rtl/>
        </w:rPr>
        <w:t xml:space="preserve">תכניות </w:t>
      </w:r>
      <w:r w:rsidRPr="0068064A">
        <w:rPr>
          <w:rFonts w:hint="cs"/>
          <w:rtl/>
        </w:rPr>
        <w:t>אב ביישובי המגזר הערבי כגורם להתפתחותה של תופעה נרחבת של בניית בתים ללא רישיון. התייחסויות דומות ניתן לראות גם בהצעת הרשות לפיתוח כלכלי של מגזר המיעוטים במשרד ראש הממשלה לפתרון סוגיית התכנון והדיור במגזר הערבי (2011)</w:t>
      </w:r>
      <w:r w:rsidR="002867C3" w:rsidRPr="0068064A">
        <w:rPr>
          <w:rFonts w:hint="cs"/>
          <w:rtl/>
        </w:rPr>
        <w:t>,</w:t>
      </w:r>
      <w:r w:rsidR="00F755C8" w:rsidRPr="0068064A">
        <w:rPr>
          <w:rFonts w:hint="cs"/>
          <w:rtl/>
        </w:rPr>
        <w:t xml:space="preserve"> </w:t>
      </w:r>
      <w:r w:rsidRPr="0068064A">
        <w:rPr>
          <w:rFonts w:hint="cs"/>
          <w:rtl/>
        </w:rPr>
        <w:t>בדו"ח צוות</w:t>
      </w:r>
      <w:r w:rsidRPr="0068064A">
        <w:rPr>
          <w:rtl/>
        </w:rPr>
        <w:t xml:space="preserve"> 120 </w:t>
      </w:r>
      <w:r w:rsidRPr="0068064A">
        <w:rPr>
          <w:rFonts w:hint="cs"/>
          <w:rtl/>
        </w:rPr>
        <w:t>הימים להתמודדות עם מצוקת הדיור ביישובי ה</w:t>
      </w:r>
      <w:r w:rsidR="00F14262" w:rsidRPr="0068064A">
        <w:rPr>
          <w:rFonts w:hint="cs"/>
          <w:rtl/>
        </w:rPr>
        <w:t>מיעוטים (2015)</w:t>
      </w:r>
      <w:r w:rsidR="002955DE" w:rsidRPr="0068064A">
        <w:rPr>
          <w:rFonts w:hint="cs"/>
          <w:rtl/>
        </w:rPr>
        <w:t xml:space="preserve"> ובהחלטת הממשלה בנושא פיתוח כלכלי באוכלוסיית המיעוטים בשנים</w:t>
      </w:r>
      <w:r w:rsidR="00F755C8" w:rsidRPr="0068064A">
        <w:rPr>
          <w:rFonts w:hint="cs"/>
          <w:rtl/>
        </w:rPr>
        <w:t xml:space="preserve"> 2020-2016</w:t>
      </w:r>
      <w:r w:rsidR="002955DE" w:rsidRPr="0068064A">
        <w:rPr>
          <w:rFonts w:hint="cs"/>
          <w:rtl/>
        </w:rPr>
        <w:t xml:space="preserve"> (החלטה מספר 922)</w:t>
      </w:r>
      <w:r w:rsidR="0034495F" w:rsidRPr="0068064A">
        <w:rPr>
          <w:rFonts w:hint="cs"/>
          <w:rtl/>
        </w:rPr>
        <w:t>.</w:t>
      </w:r>
      <w:r w:rsidR="002867C3" w:rsidRPr="0068064A">
        <w:rPr>
          <w:rFonts w:hint="cs"/>
          <w:rtl/>
        </w:rPr>
        <w:t xml:space="preserve"> </w:t>
      </w:r>
      <w:r w:rsidR="0034495F" w:rsidRPr="0068064A">
        <w:rPr>
          <w:rFonts w:hint="cs"/>
          <w:rtl/>
        </w:rPr>
        <w:t xml:space="preserve">החלטה זו קבעה בין השאר כי יש </w:t>
      </w:r>
      <w:r w:rsidR="002867C3" w:rsidRPr="0068064A">
        <w:rPr>
          <w:rFonts w:hint="cs"/>
          <w:rtl/>
        </w:rPr>
        <w:t>להנחות את משרד הבינוי והשיכון לסבסד את עלויות הפיתוח ב</w:t>
      </w:r>
      <w:r w:rsidR="0034495F" w:rsidRPr="0068064A">
        <w:rPr>
          <w:rFonts w:hint="cs"/>
          <w:rtl/>
        </w:rPr>
        <w:t>י</w:t>
      </w:r>
      <w:r w:rsidR="002867C3" w:rsidRPr="0068064A">
        <w:rPr>
          <w:rFonts w:hint="cs"/>
          <w:rtl/>
        </w:rPr>
        <w:t xml:space="preserve">ישובים אשר יכרתו הסכמים </w:t>
      </w:r>
      <w:r w:rsidR="0034495F" w:rsidRPr="0068064A">
        <w:rPr>
          <w:rFonts w:hint="cs"/>
          <w:rtl/>
        </w:rPr>
        <w:t>לבנייה רוויה</w:t>
      </w:r>
      <w:r w:rsidR="002867C3" w:rsidRPr="0068064A">
        <w:rPr>
          <w:rFonts w:hint="cs"/>
          <w:rtl/>
        </w:rPr>
        <w:t xml:space="preserve"> בקרקע של רשות מקרקעי ישראל</w:t>
      </w:r>
      <w:r w:rsidR="00F14262" w:rsidRPr="0068064A">
        <w:rPr>
          <w:rFonts w:hint="cs"/>
          <w:rtl/>
        </w:rPr>
        <w:t xml:space="preserve">. </w:t>
      </w:r>
    </w:p>
    <w:p w:rsidR="000F76B8" w:rsidRPr="0068064A" w:rsidRDefault="007F48BC" w:rsidP="0068064A">
      <w:pPr>
        <w:spacing w:after="120"/>
        <w:rPr>
          <w:rtl/>
        </w:rPr>
      </w:pPr>
      <w:r w:rsidRPr="0068064A">
        <w:rPr>
          <w:rFonts w:hint="cs"/>
          <w:rtl/>
        </w:rPr>
        <w:t>ה</w:t>
      </w:r>
      <w:r w:rsidR="00F14262" w:rsidRPr="0068064A">
        <w:rPr>
          <w:rFonts w:hint="cs"/>
          <w:rtl/>
        </w:rPr>
        <w:t>כשלים</w:t>
      </w:r>
      <w:r w:rsidR="00E37AA4" w:rsidRPr="0068064A">
        <w:rPr>
          <w:rFonts w:hint="cs"/>
          <w:rtl/>
        </w:rPr>
        <w:t xml:space="preserve"> </w:t>
      </w:r>
      <w:r w:rsidRPr="0068064A">
        <w:rPr>
          <w:rFonts w:hint="cs"/>
          <w:rtl/>
        </w:rPr>
        <w:t xml:space="preserve">המתוארים </w:t>
      </w:r>
      <w:r w:rsidR="00E37AA4" w:rsidRPr="0068064A">
        <w:rPr>
          <w:rFonts w:hint="cs"/>
          <w:rtl/>
        </w:rPr>
        <w:t xml:space="preserve">במגזר הערבי </w:t>
      </w:r>
      <w:r w:rsidR="001C0EAA" w:rsidRPr="0068064A">
        <w:rPr>
          <w:rFonts w:hint="cs"/>
          <w:rtl/>
        </w:rPr>
        <w:t xml:space="preserve">בהליכי </w:t>
      </w:r>
      <w:r w:rsidR="00F14262" w:rsidRPr="0068064A">
        <w:rPr>
          <w:rFonts w:hint="cs"/>
          <w:rtl/>
        </w:rPr>
        <w:t>התכנון</w:t>
      </w:r>
      <w:r w:rsidR="001C0EAA" w:rsidRPr="0068064A">
        <w:rPr>
          <w:rFonts w:hint="cs"/>
          <w:rtl/>
        </w:rPr>
        <w:t>, השיווק, הפיתוח</w:t>
      </w:r>
      <w:r w:rsidR="00F14262" w:rsidRPr="0068064A">
        <w:rPr>
          <w:rFonts w:hint="cs"/>
          <w:rtl/>
        </w:rPr>
        <w:t xml:space="preserve"> </w:t>
      </w:r>
      <w:r w:rsidR="002C06DD" w:rsidRPr="0068064A">
        <w:rPr>
          <w:rFonts w:hint="cs"/>
          <w:rtl/>
        </w:rPr>
        <w:t>והרישום</w:t>
      </w:r>
      <w:r w:rsidRPr="0068064A">
        <w:rPr>
          <w:rFonts w:hint="cs"/>
          <w:rtl/>
        </w:rPr>
        <w:t xml:space="preserve"> </w:t>
      </w:r>
      <w:r w:rsidR="002C06DD" w:rsidRPr="0068064A">
        <w:rPr>
          <w:rFonts w:hint="cs"/>
          <w:rtl/>
        </w:rPr>
        <w:t>באים לידי ביטוי</w:t>
      </w:r>
      <w:r w:rsidR="001C0EAA" w:rsidRPr="0068064A">
        <w:rPr>
          <w:rFonts w:hint="cs"/>
          <w:rtl/>
        </w:rPr>
        <w:t>,</w:t>
      </w:r>
      <w:r w:rsidR="00E37AA4" w:rsidRPr="0068064A">
        <w:rPr>
          <w:rFonts w:hint="cs"/>
          <w:rtl/>
        </w:rPr>
        <w:t xml:space="preserve"> </w:t>
      </w:r>
      <w:r w:rsidR="001C0EAA" w:rsidRPr="0068064A">
        <w:rPr>
          <w:rFonts w:hint="cs"/>
          <w:rtl/>
        </w:rPr>
        <w:t xml:space="preserve">בין </w:t>
      </w:r>
      <w:r w:rsidR="00E37AA4" w:rsidRPr="0068064A">
        <w:rPr>
          <w:rFonts w:hint="cs"/>
          <w:rtl/>
        </w:rPr>
        <w:t>היתר</w:t>
      </w:r>
      <w:r w:rsidR="001C0EAA" w:rsidRPr="0068064A">
        <w:rPr>
          <w:rFonts w:hint="cs"/>
          <w:rtl/>
        </w:rPr>
        <w:t>,</w:t>
      </w:r>
      <w:r w:rsidR="00E37AA4" w:rsidRPr="0068064A">
        <w:rPr>
          <w:rFonts w:hint="cs"/>
          <w:rtl/>
        </w:rPr>
        <w:t xml:space="preserve"> </w:t>
      </w:r>
      <w:r w:rsidR="002C06DD" w:rsidRPr="0068064A">
        <w:rPr>
          <w:rFonts w:hint="cs"/>
          <w:rtl/>
        </w:rPr>
        <w:t>ב</w:t>
      </w:r>
      <w:r w:rsidR="001C0EAA" w:rsidRPr="0068064A">
        <w:rPr>
          <w:rFonts w:hint="cs"/>
          <w:rtl/>
        </w:rPr>
        <w:t>קושי</w:t>
      </w:r>
      <w:r w:rsidR="00E37AA4" w:rsidRPr="0068064A">
        <w:rPr>
          <w:rFonts w:hint="cs"/>
          <w:rtl/>
        </w:rPr>
        <w:t xml:space="preserve"> </w:t>
      </w:r>
      <w:r w:rsidR="00CA13CD" w:rsidRPr="0068064A">
        <w:rPr>
          <w:rFonts w:hint="cs"/>
          <w:rtl/>
        </w:rPr>
        <w:t xml:space="preserve">משמעותי </w:t>
      </w:r>
      <w:r w:rsidR="001C0EAA" w:rsidRPr="0068064A">
        <w:rPr>
          <w:rFonts w:hint="cs"/>
          <w:rtl/>
        </w:rPr>
        <w:t>ב</w:t>
      </w:r>
      <w:r w:rsidR="00E37AA4" w:rsidRPr="0068064A">
        <w:rPr>
          <w:rFonts w:hint="cs"/>
          <w:rtl/>
        </w:rPr>
        <w:t>רישום של בעלי הזכויות במרשם המקרקעין</w:t>
      </w:r>
      <w:r w:rsidR="00806B7E" w:rsidRPr="0068064A">
        <w:rPr>
          <w:rStyle w:val="ad"/>
          <w:rtl/>
        </w:rPr>
        <w:footnoteReference w:id="3"/>
      </w:r>
      <w:r w:rsidR="00051329" w:rsidRPr="0068064A">
        <w:rPr>
          <w:rFonts w:hint="cs"/>
          <w:rtl/>
        </w:rPr>
        <w:t xml:space="preserve"> </w:t>
      </w:r>
      <w:r w:rsidR="00051329" w:rsidRPr="0068064A">
        <w:rPr>
          <w:rtl/>
        </w:rPr>
        <w:t>–</w:t>
      </w:r>
      <w:r w:rsidR="00051329" w:rsidRPr="0068064A">
        <w:rPr>
          <w:rFonts w:hint="cs"/>
          <w:rtl/>
        </w:rPr>
        <w:t xml:space="preserve"> </w:t>
      </w:r>
      <w:r w:rsidR="00CD2B1B" w:rsidRPr="0068064A">
        <w:rPr>
          <w:rFonts w:hint="cs"/>
          <w:rtl/>
        </w:rPr>
        <w:t>ולכן באים לידי ביטוי בקושי</w:t>
      </w:r>
      <w:r w:rsidR="002C06DD" w:rsidRPr="0068064A">
        <w:rPr>
          <w:rFonts w:hint="cs"/>
          <w:rtl/>
        </w:rPr>
        <w:t xml:space="preserve"> ב</w:t>
      </w:r>
      <w:r w:rsidR="00051329" w:rsidRPr="0068064A">
        <w:rPr>
          <w:rFonts w:hint="cs"/>
          <w:rtl/>
        </w:rPr>
        <w:t>תהליך שיעבוד הנכסים</w:t>
      </w:r>
      <w:r w:rsidRPr="0068064A">
        <w:rPr>
          <w:rFonts w:hint="cs"/>
          <w:rtl/>
        </w:rPr>
        <w:t xml:space="preserve"> לצורך העמדת אשראי</w:t>
      </w:r>
      <w:r w:rsidR="006F6E6A" w:rsidRPr="0068064A">
        <w:rPr>
          <w:rFonts w:hint="cs"/>
          <w:rtl/>
        </w:rPr>
        <w:t xml:space="preserve"> לדיור</w:t>
      </w:r>
      <w:r w:rsidR="004A6D9E" w:rsidRPr="0068064A">
        <w:rPr>
          <w:rFonts w:hint="cs"/>
          <w:rtl/>
        </w:rPr>
        <w:t>.</w:t>
      </w:r>
      <w:r w:rsidR="00DE4753" w:rsidRPr="0068064A">
        <w:rPr>
          <w:rFonts w:hint="cs"/>
          <w:rtl/>
        </w:rPr>
        <w:t xml:space="preserve"> </w:t>
      </w:r>
      <w:r w:rsidR="004A6D9E" w:rsidRPr="0068064A">
        <w:rPr>
          <w:rFonts w:hint="cs"/>
          <w:rtl/>
        </w:rPr>
        <w:t xml:space="preserve">לאור </w:t>
      </w:r>
      <w:r w:rsidR="00A46E31" w:rsidRPr="0068064A">
        <w:rPr>
          <w:rFonts w:hint="cs"/>
          <w:rtl/>
        </w:rPr>
        <w:t xml:space="preserve">קשיים </w:t>
      </w:r>
      <w:r w:rsidR="006964D4" w:rsidRPr="0068064A">
        <w:rPr>
          <w:rFonts w:hint="cs"/>
          <w:rtl/>
        </w:rPr>
        <w:t>אלו</w:t>
      </w:r>
      <w:r w:rsidR="004A6D9E" w:rsidRPr="0068064A">
        <w:rPr>
          <w:rFonts w:hint="cs"/>
          <w:rtl/>
        </w:rPr>
        <w:t>, נאלצים חלק מ</w:t>
      </w:r>
      <w:r w:rsidR="00C74834" w:rsidRPr="0068064A">
        <w:rPr>
          <w:rFonts w:hint="cs"/>
          <w:rtl/>
        </w:rPr>
        <w:t>ה</w:t>
      </w:r>
      <w:r w:rsidR="004A6D9E" w:rsidRPr="0068064A">
        <w:rPr>
          <w:rFonts w:hint="cs"/>
          <w:rtl/>
        </w:rPr>
        <w:t xml:space="preserve">לקוחות </w:t>
      </w:r>
      <w:r w:rsidR="00C74834" w:rsidRPr="0068064A">
        <w:rPr>
          <w:rFonts w:hint="cs"/>
          <w:rtl/>
        </w:rPr>
        <w:t xml:space="preserve">במגזר </w:t>
      </w:r>
      <w:r w:rsidR="004A6D9E" w:rsidRPr="0068064A">
        <w:rPr>
          <w:rFonts w:hint="cs"/>
          <w:rtl/>
        </w:rPr>
        <w:t>הערבי ליטול הלוואות לצורכי דיור כהלוואות צרכניות</w:t>
      </w:r>
      <w:r w:rsidR="004A6D9E" w:rsidRPr="0068064A">
        <w:rPr>
          <w:rStyle w:val="ad"/>
          <w:rtl/>
        </w:rPr>
        <w:footnoteReference w:id="4"/>
      </w:r>
      <w:r w:rsidR="00A46E31" w:rsidRPr="0068064A">
        <w:rPr>
          <w:rFonts w:hint="cs"/>
          <w:rtl/>
        </w:rPr>
        <w:t xml:space="preserve"> (ללא משכון נכס)</w:t>
      </w:r>
      <w:r w:rsidR="006964D4" w:rsidRPr="0068064A">
        <w:rPr>
          <w:rFonts w:hint="cs"/>
          <w:rtl/>
        </w:rPr>
        <w:t xml:space="preserve">. הלוואות </w:t>
      </w:r>
      <w:r w:rsidR="00A46E31" w:rsidRPr="0068064A">
        <w:rPr>
          <w:rFonts w:hint="cs"/>
          <w:rtl/>
        </w:rPr>
        <w:t xml:space="preserve">צרכניות </w:t>
      </w:r>
      <w:r w:rsidR="006964D4" w:rsidRPr="0068064A">
        <w:rPr>
          <w:rFonts w:hint="cs"/>
          <w:rtl/>
        </w:rPr>
        <w:t>אלו</w:t>
      </w:r>
      <w:r w:rsidR="004A6D9E" w:rsidRPr="0068064A">
        <w:rPr>
          <w:rFonts w:hint="cs"/>
          <w:rtl/>
        </w:rPr>
        <w:t xml:space="preserve"> מתאפיינות בסכומים גבוהים</w:t>
      </w:r>
      <w:r w:rsidR="006964D4" w:rsidRPr="0068064A">
        <w:rPr>
          <w:rFonts w:hint="cs"/>
          <w:rtl/>
        </w:rPr>
        <w:t xml:space="preserve"> יותר</w:t>
      </w:r>
      <w:r w:rsidR="004A6D9E" w:rsidRPr="0068064A">
        <w:rPr>
          <w:rFonts w:hint="cs"/>
          <w:rtl/>
        </w:rPr>
        <w:t xml:space="preserve"> </w:t>
      </w:r>
      <w:proofErr w:type="spellStart"/>
      <w:r w:rsidR="004A6D9E" w:rsidRPr="0068064A">
        <w:rPr>
          <w:rFonts w:hint="cs"/>
          <w:rtl/>
        </w:rPr>
        <w:t>ובמח"מ</w:t>
      </w:r>
      <w:proofErr w:type="spellEnd"/>
      <w:r w:rsidR="004A6D9E" w:rsidRPr="0068064A">
        <w:rPr>
          <w:rFonts w:hint="cs"/>
          <w:rtl/>
        </w:rPr>
        <w:t xml:space="preserve"> ארוך יותר</w:t>
      </w:r>
      <w:r w:rsidR="00467960" w:rsidRPr="0068064A">
        <w:rPr>
          <w:rFonts w:hint="cs"/>
          <w:rtl/>
        </w:rPr>
        <w:t>,</w:t>
      </w:r>
      <w:r w:rsidR="004A6D9E" w:rsidRPr="0068064A">
        <w:rPr>
          <w:rFonts w:hint="cs"/>
          <w:rtl/>
        </w:rPr>
        <w:t xml:space="preserve"> בהשוואה להלוואות צרכניות </w:t>
      </w:r>
      <w:r w:rsidR="00267005" w:rsidRPr="0068064A">
        <w:rPr>
          <w:rFonts w:hint="cs"/>
          <w:rtl/>
        </w:rPr>
        <w:t>שאינן לצורכי דיור</w:t>
      </w:r>
      <w:r w:rsidR="004A6D9E" w:rsidRPr="0068064A">
        <w:rPr>
          <w:rFonts w:hint="cs"/>
          <w:rtl/>
        </w:rPr>
        <w:t xml:space="preserve">. </w:t>
      </w:r>
      <w:r w:rsidR="00DE4753" w:rsidRPr="0068064A">
        <w:rPr>
          <w:rFonts w:hint="cs"/>
          <w:rtl/>
        </w:rPr>
        <w:t>בנוסף, ניכר שוני בהרכב הביקוש לדיור בין המגזר הערבי למגזר היהודי: במגזר היהודי מרבית הדירות נרכשות, בעוד שבמגזר הערבי מרביתן נבנות באופן עצמאי</w:t>
      </w:r>
      <w:r w:rsidR="002832D8" w:rsidRPr="0068064A">
        <w:rPr>
          <w:rStyle w:val="ad"/>
          <w:rtl/>
        </w:rPr>
        <w:footnoteReference w:id="5"/>
      </w:r>
      <w:r w:rsidR="00DE4753" w:rsidRPr="0068064A">
        <w:rPr>
          <w:rFonts w:hint="cs"/>
          <w:rtl/>
        </w:rPr>
        <w:t>.</w:t>
      </w:r>
    </w:p>
    <w:p w:rsidR="00AC6FF8" w:rsidRPr="0068064A" w:rsidRDefault="00AC6FF8" w:rsidP="007027B3">
      <w:pPr>
        <w:pStyle w:val="2"/>
      </w:pPr>
      <w:r w:rsidRPr="0068064A">
        <w:rPr>
          <w:rFonts w:hint="cs"/>
          <w:rtl/>
        </w:rPr>
        <w:lastRenderedPageBreak/>
        <w:t>אשראי לדיור במגזר הערבי</w:t>
      </w:r>
    </w:p>
    <w:p w:rsidR="001124B6" w:rsidRPr="007027B3" w:rsidRDefault="001124B6" w:rsidP="007027B3">
      <w:pPr>
        <w:pStyle w:val="3"/>
      </w:pPr>
      <w:r w:rsidRPr="007027B3">
        <w:rPr>
          <w:rFonts w:hint="cs"/>
          <w:rtl/>
        </w:rPr>
        <w:t>הנגישות</w:t>
      </w:r>
      <w:r w:rsidRPr="007027B3">
        <w:rPr>
          <w:rtl/>
        </w:rPr>
        <w:t xml:space="preserve"> </w:t>
      </w:r>
      <w:r w:rsidRPr="007027B3">
        <w:rPr>
          <w:rFonts w:hint="cs"/>
          <w:rtl/>
        </w:rPr>
        <w:t>לאשראי</w:t>
      </w:r>
    </w:p>
    <w:p w:rsidR="00AC6FF8" w:rsidRPr="0068064A" w:rsidRDefault="00E37AA4" w:rsidP="0068064A">
      <w:pPr>
        <w:spacing w:after="120"/>
        <w:rPr>
          <w:rtl/>
        </w:rPr>
      </w:pPr>
      <w:r w:rsidRPr="0068064A">
        <w:rPr>
          <w:rFonts w:hint="cs"/>
          <w:rtl/>
        </w:rPr>
        <w:t xml:space="preserve">סוגיית </w:t>
      </w:r>
      <w:r w:rsidR="00917E5C" w:rsidRPr="0068064A">
        <w:rPr>
          <w:rFonts w:hint="cs"/>
          <w:rtl/>
        </w:rPr>
        <w:t xml:space="preserve">נגישות </w:t>
      </w:r>
      <w:r w:rsidRPr="0068064A">
        <w:rPr>
          <w:rFonts w:hint="cs"/>
          <w:rtl/>
        </w:rPr>
        <w:t xml:space="preserve">המימון לצורכי דיור </w:t>
      </w:r>
      <w:r w:rsidR="00C1239D" w:rsidRPr="0068064A">
        <w:rPr>
          <w:rFonts w:hint="cs"/>
          <w:rtl/>
        </w:rPr>
        <w:t xml:space="preserve">(משכנתאות) </w:t>
      </w:r>
      <w:r w:rsidRPr="0068064A">
        <w:rPr>
          <w:rFonts w:hint="cs"/>
          <w:rtl/>
        </w:rPr>
        <w:t>במגזר הערבי</w:t>
      </w:r>
      <w:r w:rsidR="00D24FEE" w:rsidRPr="0068064A">
        <w:rPr>
          <w:rFonts w:hint="cs"/>
          <w:rtl/>
        </w:rPr>
        <w:t xml:space="preserve"> </w:t>
      </w:r>
      <w:r w:rsidRPr="0068064A">
        <w:rPr>
          <w:rFonts w:hint="cs"/>
          <w:rtl/>
        </w:rPr>
        <w:t>עלתה</w:t>
      </w:r>
      <w:r w:rsidR="009216D4" w:rsidRPr="0068064A">
        <w:rPr>
          <w:rFonts w:hint="cs"/>
          <w:rtl/>
        </w:rPr>
        <w:t xml:space="preserve"> לסדר היום הציבורי </w:t>
      </w:r>
      <w:r w:rsidRPr="0068064A">
        <w:rPr>
          <w:rFonts w:hint="cs"/>
          <w:rtl/>
        </w:rPr>
        <w:t>בשנים האח</w:t>
      </w:r>
      <w:r w:rsidR="00E8291E" w:rsidRPr="0068064A">
        <w:rPr>
          <w:rFonts w:hint="cs"/>
          <w:rtl/>
        </w:rPr>
        <w:t>רונות</w:t>
      </w:r>
      <w:r w:rsidR="00AE717C" w:rsidRPr="0068064A">
        <w:rPr>
          <w:rFonts w:hint="cs"/>
          <w:rtl/>
        </w:rPr>
        <w:t>. הטענה</w:t>
      </w:r>
      <w:r w:rsidRPr="0068064A">
        <w:rPr>
          <w:rFonts w:hint="cs"/>
          <w:rtl/>
        </w:rPr>
        <w:t xml:space="preserve"> </w:t>
      </w:r>
      <w:r w:rsidR="00AE717C" w:rsidRPr="0068064A">
        <w:rPr>
          <w:rFonts w:hint="cs"/>
          <w:rtl/>
        </w:rPr>
        <w:t>המרכזי</w:t>
      </w:r>
      <w:r w:rsidR="00E8291E" w:rsidRPr="0068064A">
        <w:rPr>
          <w:rFonts w:hint="cs"/>
          <w:rtl/>
        </w:rPr>
        <w:t xml:space="preserve">ת </w:t>
      </w:r>
      <w:r w:rsidR="00EC21E4" w:rsidRPr="0068064A">
        <w:rPr>
          <w:rFonts w:hint="cs"/>
          <w:rtl/>
        </w:rPr>
        <w:t>שהועל</w:t>
      </w:r>
      <w:r w:rsidR="00AE717C" w:rsidRPr="0068064A">
        <w:rPr>
          <w:rFonts w:hint="cs"/>
          <w:rtl/>
        </w:rPr>
        <w:t xml:space="preserve">תה </w:t>
      </w:r>
      <w:r w:rsidR="00605DFA" w:rsidRPr="0068064A">
        <w:rPr>
          <w:rFonts w:hint="cs"/>
          <w:rtl/>
        </w:rPr>
        <w:t xml:space="preserve">בהקשר זה </w:t>
      </w:r>
      <w:r w:rsidR="00AE717C" w:rsidRPr="0068064A">
        <w:rPr>
          <w:rFonts w:hint="cs"/>
          <w:rtl/>
        </w:rPr>
        <w:t>היא</w:t>
      </w:r>
      <w:r w:rsidRPr="0068064A">
        <w:rPr>
          <w:rFonts w:hint="cs"/>
          <w:rtl/>
        </w:rPr>
        <w:t xml:space="preserve"> כי נגישותם של לקוחות המגזר הערבי לאשראי לדיור נמוכה באופן משמ</w:t>
      </w:r>
      <w:r w:rsidR="00AE717C" w:rsidRPr="0068064A">
        <w:rPr>
          <w:rFonts w:hint="cs"/>
          <w:rtl/>
        </w:rPr>
        <w:t>עותי מזו של לקוחות המגזר היהודי</w:t>
      </w:r>
      <w:r w:rsidRPr="0068064A">
        <w:rPr>
          <w:rtl/>
        </w:rPr>
        <w:t>.</w:t>
      </w:r>
      <w:r w:rsidRPr="0068064A">
        <w:rPr>
          <w:rFonts w:hint="cs"/>
          <w:rtl/>
        </w:rPr>
        <w:t xml:space="preserve"> </w:t>
      </w:r>
      <w:r w:rsidR="00AC6FF8" w:rsidRPr="0068064A">
        <w:rPr>
          <w:rFonts w:hint="cs"/>
          <w:rtl/>
        </w:rPr>
        <w:t>מ</w:t>
      </w:r>
      <w:r w:rsidR="005329FE" w:rsidRPr="0068064A">
        <w:rPr>
          <w:rFonts w:hint="cs"/>
          <w:rtl/>
        </w:rPr>
        <w:t>ה</w:t>
      </w:r>
      <w:r w:rsidR="00AC6FF8" w:rsidRPr="0068064A">
        <w:rPr>
          <w:rFonts w:hint="cs"/>
          <w:rtl/>
        </w:rPr>
        <w:t xml:space="preserve">נתונים </w:t>
      </w:r>
      <w:r w:rsidR="00AA450C" w:rsidRPr="0068064A">
        <w:rPr>
          <w:rFonts w:hint="cs"/>
          <w:rtl/>
        </w:rPr>
        <w:t xml:space="preserve">שמצויים בידי הפיקוח על הבנקים </w:t>
      </w:r>
      <w:r w:rsidR="00AC6FF8" w:rsidRPr="0068064A">
        <w:rPr>
          <w:rFonts w:hint="cs"/>
          <w:rtl/>
        </w:rPr>
        <w:t xml:space="preserve">עולה כי </w:t>
      </w:r>
      <w:r w:rsidR="00AC6FF8" w:rsidRPr="0068064A">
        <w:rPr>
          <w:rFonts w:hint="cs"/>
          <w:b/>
          <w:bCs/>
          <w:rtl/>
        </w:rPr>
        <w:t>שיעור</w:t>
      </w:r>
      <w:r w:rsidR="00AC6FF8" w:rsidRPr="0068064A">
        <w:rPr>
          <w:b/>
          <w:bCs/>
          <w:rtl/>
        </w:rPr>
        <w:t xml:space="preserve"> המשכנתאות </w:t>
      </w:r>
      <w:r w:rsidR="000F7170" w:rsidRPr="0068064A">
        <w:rPr>
          <w:rFonts w:hint="cs"/>
          <w:b/>
          <w:bCs/>
          <w:rtl/>
        </w:rPr>
        <w:t>שהועמדו</w:t>
      </w:r>
      <w:r w:rsidR="000F7170" w:rsidRPr="0068064A">
        <w:rPr>
          <w:b/>
          <w:bCs/>
          <w:rtl/>
        </w:rPr>
        <w:t xml:space="preserve"> </w:t>
      </w:r>
      <w:r w:rsidR="000F7170" w:rsidRPr="0068064A">
        <w:rPr>
          <w:rFonts w:hint="cs"/>
          <w:b/>
          <w:bCs/>
          <w:rtl/>
        </w:rPr>
        <w:t>בין</w:t>
      </w:r>
      <w:r w:rsidR="000F7170" w:rsidRPr="0068064A">
        <w:rPr>
          <w:b/>
          <w:bCs/>
          <w:rtl/>
        </w:rPr>
        <w:t xml:space="preserve"> </w:t>
      </w:r>
      <w:r w:rsidR="000F7170" w:rsidRPr="0068064A">
        <w:rPr>
          <w:rFonts w:hint="cs"/>
          <w:b/>
          <w:bCs/>
          <w:rtl/>
        </w:rPr>
        <w:t>השנים</w:t>
      </w:r>
      <w:r w:rsidR="000F7170" w:rsidRPr="0068064A">
        <w:rPr>
          <w:b/>
          <w:bCs/>
          <w:rtl/>
        </w:rPr>
        <w:t xml:space="preserve"> 201</w:t>
      </w:r>
      <w:r w:rsidR="00C233E4" w:rsidRPr="0068064A">
        <w:rPr>
          <w:rFonts w:hint="cs"/>
          <w:b/>
          <w:bCs/>
          <w:rtl/>
        </w:rPr>
        <w:t>4</w:t>
      </w:r>
      <w:r w:rsidR="000F7170" w:rsidRPr="0068064A">
        <w:rPr>
          <w:b/>
          <w:bCs/>
          <w:rtl/>
        </w:rPr>
        <w:t>-2010</w:t>
      </w:r>
      <w:r w:rsidR="00AC6FF8" w:rsidRPr="0068064A">
        <w:rPr>
          <w:b/>
          <w:bCs/>
          <w:rtl/>
        </w:rPr>
        <w:t xml:space="preserve"> </w:t>
      </w:r>
      <w:r w:rsidR="00CB7C6D" w:rsidRPr="0068064A">
        <w:rPr>
          <w:rFonts w:hint="cs"/>
          <w:b/>
          <w:bCs/>
          <w:rtl/>
        </w:rPr>
        <w:t>עבור לקוחות המגזר הערבי</w:t>
      </w:r>
      <w:r w:rsidR="009F2C0D" w:rsidRPr="0068064A">
        <w:rPr>
          <w:rStyle w:val="ad"/>
          <w:b/>
          <w:bCs/>
          <w:rtl/>
        </w:rPr>
        <w:footnoteReference w:id="6"/>
      </w:r>
      <w:r w:rsidR="0075331F" w:rsidRPr="0068064A">
        <w:rPr>
          <w:rFonts w:hint="cs"/>
          <w:b/>
          <w:bCs/>
          <w:rtl/>
        </w:rPr>
        <w:t xml:space="preserve"> ה</w:t>
      </w:r>
      <w:r w:rsidR="00381F00" w:rsidRPr="0068064A">
        <w:rPr>
          <w:rFonts w:hint="cs"/>
          <w:b/>
          <w:bCs/>
          <w:rtl/>
        </w:rPr>
        <w:t>י</w:t>
      </w:r>
      <w:r w:rsidR="0075331F" w:rsidRPr="0068064A">
        <w:rPr>
          <w:rFonts w:hint="cs"/>
          <w:b/>
          <w:bCs/>
          <w:rtl/>
        </w:rPr>
        <w:t xml:space="preserve">נו </w:t>
      </w:r>
      <w:r w:rsidR="004E76FE" w:rsidRPr="0068064A">
        <w:rPr>
          <w:rFonts w:hint="cs"/>
          <w:b/>
          <w:bCs/>
          <w:rtl/>
        </w:rPr>
        <w:t>כ-</w:t>
      </w:r>
      <w:r w:rsidR="00E313B0" w:rsidRPr="0068064A">
        <w:rPr>
          <w:rFonts w:hint="cs"/>
          <w:b/>
          <w:bCs/>
          <w:rtl/>
        </w:rPr>
        <w:t>2</w:t>
      </w:r>
      <w:r w:rsidR="0075331F" w:rsidRPr="0068064A">
        <w:rPr>
          <w:rFonts w:hint="cs"/>
          <w:b/>
          <w:bCs/>
          <w:rtl/>
        </w:rPr>
        <w:t xml:space="preserve">%, והוא </w:t>
      </w:r>
      <w:r w:rsidR="00B23526" w:rsidRPr="0068064A">
        <w:rPr>
          <w:rFonts w:hint="cs"/>
          <w:b/>
          <w:bCs/>
          <w:rtl/>
        </w:rPr>
        <w:t>זעום</w:t>
      </w:r>
      <w:r w:rsidR="00B23526" w:rsidRPr="0068064A">
        <w:rPr>
          <w:b/>
          <w:bCs/>
          <w:rtl/>
        </w:rPr>
        <w:t xml:space="preserve"> </w:t>
      </w:r>
      <w:r w:rsidR="00381F00" w:rsidRPr="0068064A">
        <w:rPr>
          <w:rFonts w:hint="cs"/>
          <w:b/>
          <w:bCs/>
          <w:rtl/>
        </w:rPr>
        <w:t>בהשוואה</w:t>
      </w:r>
      <w:r w:rsidR="00381F00" w:rsidRPr="0068064A">
        <w:rPr>
          <w:b/>
          <w:bCs/>
          <w:rtl/>
        </w:rPr>
        <w:t xml:space="preserve"> </w:t>
      </w:r>
      <w:r w:rsidR="00381F00" w:rsidRPr="0068064A">
        <w:rPr>
          <w:rFonts w:hint="cs"/>
          <w:b/>
          <w:bCs/>
          <w:rtl/>
        </w:rPr>
        <w:t>ל</w:t>
      </w:r>
      <w:r w:rsidR="000F7170" w:rsidRPr="0068064A">
        <w:rPr>
          <w:rFonts w:hint="cs"/>
          <w:b/>
          <w:bCs/>
          <w:rtl/>
        </w:rPr>
        <w:t>חלקם</w:t>
      </w:r>
      <w:r w:rsidR="000F7170" w:rsidRPr="0068064A">
        <w:rPr>
          <w:b/>
          <w:bCs/>
          <w:rtl/>
        </w:rPr>
        <w:t xml:space="preserve"> </w:t>
      </w:r>
      <w:r w:rsidR="000F7170" w:rsidRPr="0068064A">
        <w:rPr>
          <w:rFonts w:hint="cs"/>
          <w:b/>
          <w:bCs/>
          <w:rtl/>
        </w:rPr>
        <w:t>היחסי</w:t>
      </w:r>
      <w:r w:rsidR="00544ACD" w:rsidRPr="0068064A">
        <w:rPr>
          <w:rFonts w:hint="cs"/>
          <w:b/>
          <w:bCs/>
          <w:rtl/>
        </w:rPr>
        <w:t xml:space="preserve"> </w:t>
      </w:r>
      <w:r w:rsidR="00AC6FF8" w:rsidRPr="0068064A">
        <w:rPr>
          <w:b/>
          <w:bCs/>
          <w:rtl/>
        </w:rPr>
        <w:t xml:space="preserve">באוכלוסייה, </w:t>
      </w:r>
      <w:r w:rsidR="00381F00" w:rsidRPr="0068064A">
        <w:rPr>
          <w:rFonts w:hint="cs"/>
          <w:b/>
          <w:bCs/>
          <w:rtl/>
        </w:rPr>
        <w:t xml:space="preserve">העומד על </w:t>
      </w:r>
      <w:r w:rsidR="000F7170" w:rsidRPr="0068064A">
        <w:rPr>
          <w:rFonts w:hint="cs"/>
          <w:b/>
          <w:bCs/>
          <w:rtl/>
        </w:rPr>
        <w:t>כ-</w:t>
      </w:r>
      <w:r w:rsidR="004E76FE" w:rsidRPr="0068064A">
        <w:rPr>
          <w:rFonts w:hint="cs"/>
          <w:b/>
          <w:bCs/>
          <w:rtl/>
        </w:rPr>
        <w:t>21</w:t>
      </w:r>
      <w:r w:rsidR="001B1A9C" w:rsidRPr="0068064A">
        <w:rPr>
          <w:rFonts w:hint="cs"/>
          <w:b/>
          <w:bCs/>
          <w:rtl/>
        </w:rPr>
        <w:t>.4</w:t>
      </w:r>
      <w:r w:rsidR="000F7170" w:rsidRPr="0068064A">
        <w:rPr>
          <w:rFonts w:hint="cs"/>
          <w:b/>
          <w:bCs/>
          <w:rtl/>
        </w:rPr>
        <w:t>%</w:t>
      </w:r>
      <w:r w:rsidR="00AA450C" w:rsidRPr="0068064A">
        <w:rPr>
          <w:rStyle w:val="ad"/>
          <w:rtl/>
        </w:rPr>
        <w:footnoteReference w:id="7"/>
      </w:r>
      <w:r w:rsidR="000F7170" w:rsidRPr="0068064A">
        <w:rPr>
          <w:rFonts w:hint="cs"/>
          <w:rtl/>
        </w:rPr>
        <w:t xml:space="preserve"> </w:t>
      </w:r>
      <w:r w:rsidR="0075331F" w:rsidRPr="0068064A">
        <w:rPr>
          <w:rFonts w:hint="cs"/>
          <w:rtl/>
        </w:rPr>
        <w:t>(</w:t>
      </w:r>
      <w:r w:rsidR="00AC6FF8" w:rsidRPr="0068064A">
        <w:rPr>
          <w:rFonts w:hint="cs"/>
          <w:rtl/>
        </w:rPr>
        <w:t xml:space="preserve">איור 1). </w:t>
      </w:r>
      <w:r w:rsidR="00CB7C6D" w:rsidRPr="0068064A">
        <w:rPr>
          <w:rFonts w:hint="cs"/>
          <w:rtl/>
        </w:rPr>
        <w:t>ביישובים המעורבים</w:t>
      </w:r>
      <w:r w:rsidR="008A2230" w:rsidRPr="0068064A">
        <w:rPr>
          <w:rStyle w:val="ad"/>
          <w:b/>
          <w:bCs/>
          <w:rtl/>
        </w:rPr>
        <w:footnoteReference w:id="8"/>
      </w:r>
      <w:r w:rsidR="00CB7C6D" w:rsidRPr="0068064A">
        <w:rPr>
          <w:rFonts w:hint="cs"/>
          <w:rtl/>
        </w:rPr>
        <w:t xml:space="preserve"> שיעור המשכנתאות שניתנו ללקוחות המגזר הערבי עומד על כ-</w:t>
      </w:r>
      <w:r w:rsidR="00C233E4" w:rsidRPr="0068064A">
        <w:rPr>
          <w:rFonts w:hint="cs"/>
          <w:rtl/>
        </w:rPr>
        <w:t>4</w:t>
      </w:r>
      <w:r w:rsidR="00CB7C6D" w:rsidRPr="0068064A">
        <w:rPr>
          <w:rFonts w:hint="cs"/>
          <w:rtl/>
        </w:rPr>
        <w:t>%</w:t>
      </w:r>
      <w:r w:rsidR="00C233E4" w:rsidRPr="0068064A">
        <w:rPr>
          <w:rFonts w:hint="cs"/>
          <w:rtl/>
        </w:rPr>
        <w:t>,</w:t>
      </w:r>
      <w:r w:rsidR="00CB7C6D" w:rsidRPr="0068064A">
        <w:rPr>
          <w:rFonts w:hint="cs"/>
          <w:rtl/>
        </w:rPr>
        <w:t xml:space="preserve"> </w:t>
      </w:r>
      <w:r w:rsidR="00C233E4" w:rsidRPr="0068064A">
        <w:rPr>
          <w:rFonts w:hint="cs"/>
          <w:rtl/>
        </w:rPr>
        <w:t>בהשוואה</w:t>
      </w:r>
      <w:r w:rsidR="00C233E4" w:rsidRPr="0068064A">
        <w:rPr>
          <w:rtl/>
        </w:rPr>
        <w:t xml:space="preserve"> </w:t>
      </w:r>
      <w:r w:rsidR="00C233E4" w:rsidRPr="0068064A">
        <w:rPr>
          <w:rFonts w:hint="cs"/>
          <w:rtl/>
        </w:rPr>
        <w:t>לחלקם</w:t>
      </w:r>
      <w:r w:rsidR="00C233E4" w:rsidRPr="0068064A">
        <w:rPr>
          <w:rtl/>
        </w:rPr>
        <w:t xml:space="preserve"> </w:t>
      </w:r>
      <w:r w:rsidR="00C233E4" w:rsidRPr="0068064A">
        <w:rPr>
          <w:rFonts w:hint="cs"/>
          <w:rtl/>
        </w:rPr>
        <w:t>היחסי ביישובים אלה</w:t>
      </w:r>
      <w:r w:rsidR="00C233E4" w:rsidRPr="0068064A">
        <w:rPr>
          <w:rtl/>
        </w:rPr>
        <w:t xml:space="preserve"> </w:t>
      </w:r>
      <w:r w:rsidR="00C233E4" w:rsidRPr="0068064A">
        <w:rPr>
          <w:rFonts w:hint="cs"/>
          <w:rtl/>
        </w:rPr>
        <w:t>העומד על כ-</w:t>
      </w:r>
      <w:r w:rsidR="004E76FE" w:rsidRPr="0068064A">
        <w:rPr>
          <w:rFonts w:hint="cs"/>
          <w:rtl/>
        </w:rPr>
        <w:t>24</w:t>
      </w:r>
      <w:r w:rsidR="00C233E4" w:rsidRPr="0068064A">
        <w:rPr>
          <w:rFonts w:hint="cs"/>
          <w:rtl/>
        </w:rPr>
        <w:t xml:space="preserve">%. </w:t>
      </w:r>
      <w:r w:rsidR="00CB7C6D" w:rsidRPr="0068064A">
        <w:rPr>
          <w:rFonts w:hint="cs"/>
          <w:rtl/>
        </w:rPr>
        <w:t>ביישובים שאינם מעורבים שיעור המשכנתאות שניתנו ללקוחות המגזר הערבי עומד על כ-1%</w:t>
      </w:r>
      <w:r w:rsidR="001B146B" w:rsidRPr="0068064A">
        <w:rPr>
          <w:rFonts w:hint="cs"/>
          <w:rtl/>
        </w:rPr>
        <w:t xml:space="preserve"> בלבד</w:t>
      </w:r>
      <w:r w:rsidR="00C233E4" w:rsidRPr="0068064A">
        <w:rPr>
          <w:rFonts w:hint="cs"/>
          <w:rtl/>
        </w:rPr>
        <w:t>, בהשוואה</w:t>
      </w:r>
      <w:r w:rsidR="00C233E4" w:rsidRPr="0068064A">
        <w:rPr>
          <w:rtl/>
        </w:rPr>
        <w:t xml:space="preserve"> </w:t>
      </w:r>
      <w:r w:rsidR="00C233E4" w:rsidRPr="0068064A">
        <w:rPr>
          <w:rFonts w:hint="cs"/>
          <w:rtl/>
        </w:rPr>
        <w:t>לחלקם</w:t>
      </w:r>
      <w:r w:rsidR="00C233E4" w:rsidRPr="0068064A">
        <w:rPr>
          <w:rtl/>
        </w:rPr>
        <w:t xml:space="preserve"> </w:t>
      </w:r>
      <w:r w:rsidR="00C233E4" w:rsidRPr="0068064A">
        <w:rPr>
          <w:rFonts w:hint="cs"/>
          <w:rtl/>
        </w:rPr>
        <w:t>היחסי ביישובים אלה</w:t>
      </w:r>
      <w:r w:rsidR="00C233E4" w:rsidRPr="0068064A">
        <w:rPr>
          <w:rtl/>
        </w:rPr>
        <w:t xml:space="preserve"> </w:t>
      </w:r>
      <w:r w:rsidR="00C233E4" w:rsidRPr="0068064A">
        <w:rPr>
          <w:rFonts w:hint="cs"/>
          <w:rtl/>
        </w:rPr>
        <w:t>העומד על כ-</w:t>
      </w:r>
      <w:r w:rsidR="004E76FE" w:rsidRPr="0068064A">
        <w:rPr>
          <w:rFonts w:hint="cs"/>
          <w:rtl/>
        </w:rPr>
        <w:t>2</w:t>
      </w:r>
      <w:r w:rsidR="001B1A9C" w:rsidRPr="0068064A">
        <w:rPr>
          <w:rFonts w:hint="cs"/>
          <w:rtl/>
        </w:rPr>
        <w:t>0.5</w:t>
      </w:r>
      <w:r w:rsidR="00C233E4" w:rsidRPr="0068064A">
        <w:rPr>
          <w:rFonts w:hint="cs"/>
          <w:rtl/>
        </w:rPr>
        <w:t>%</w:t>
      </w:r>
      <w:r w:rsidR="00CB7C6D" w:rsidRPr="0068064A">
        <w:rPr>
          <w:rFonts w:hint="cs"/>
          <w:rtl/>
        </w:rPr>
        <w:t>.</w:t>
      </w:r>
      <w:r w:rsidR="00CB7C6D" w:rsidRPr="0068064A">
        <w:rPr>
          <w:rFonts w:hint="cs"/>
          <w:color w:val="FF0000"/>
          <w:rtl/>
        </w:rPr>
        <w:t xml:space="preserve"> </w:t>
      </w:r>
      <w:r w:rsidR="009C52EE" w:rsidRPr="0068064A">
        <w:rPr>
          <w:rFonts w:hint="cs"/>
          <w:rtl/>
        </w:rPr>
        <w:t xml:space="preserve">בעיית נגישותם של לקוחות המגזר הערבי לאשראי לדיור בולטת גם בהשוואה </w:t>
      </w:r>
      <w:r w:rsidR="005F27E6" w:rsidRPr="0068064A">
        <w:rPr>
          <w:rFonts w:hint="cs"/>
          <w:rtl/>
        </w:rPr>
        <w:t xml:space="preserve">ללקוחות </w:t>
      </w:r>
      <w:r w:rsidR="009C52EE" w:rsidRPr="0068064A">
        <w:rPr>
          <w:rFonts w:hint="cs"/>
          <w:rtl/>
        </w:rPr>
        <w:t xml:space="preserve">יהודיים באשכול חברתי-כלכלי נמוך, המאפיין את </w:t>
      </w:r>
      <w:r w:rsidR="00B23526" w:rsidRPr="0068064A">
        <w:rPr>
          <w:rFonts w:hint="cs"/>
          <w:rtl/>
        </w:rPr>
        <w:t xml:space="preserve">מרבית </w:t>
      </w:r>
      <w:r w:rsidR="005F27E6" w:rsidRPr="0068064A">
        <w:rPr>
          <w:rFonts w:hint="cs"/>
          <w:rtl/>
        </w:rPr>
        <w:t xml:space="preserve">הלקוחות </w:t>
      </w:r>
      <w:r w:rsidR="009C52EE" w:rsidRPr="0068064A">
        <w:rPr>
          <w:rFonts w:hint="cs"/>
          <w:rtl/>
        </w:rPr>
        <w:t>הערביים.</w:t>
      </w:r>
    </w:p>
    <w:p w:rsidR="00BE35AE" w:rsidRDefault="00C75EB1" w:rsidP="0068064A">
      <w:pPr>
        <w:spacing w:after="120"/>
        <w:contextualSpacing/>
        <w:jc w:val="center"/>
        <w:rPr>
          <w:noProof/>
        </w:rPr>
      </w:pPr>
      <w:r w:rsidRPr="0068064A">
        <w:rPr>
          <w:noProof/>
        </w:rPr>
        <w:drawing>
          <wp:inline distT="0" distB="0" distL="0" distR="0" wp14:anchorId="34DD9E6D" wp14:editId="351396F4">
            <wp:extent cx="5114925" cy="3162300"/>
            <wp:effectExtent l="0" t="0" r="9525" b="19050"/>
            <wp:docPr id="1" name="תרשים 1" descr="שיעור המשכנתאות שניתנו ללקוחות המגזר הערבי וחלקם היחסי באוכלוסייה, על פי סוג יישוב, 2014-2010 &#10;" title="שיעור המשכנתאות שניתנו ללקוחות המגזר הערבי"/>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64A" w:rsidDel="00C75EB1">
        <w:rPr>
          <w:noProof/>
        </w:rPr>
        <w:t xml:space="preserve"> </w:t>
      </w:r>
    </w:p>
    <w:p w:rsidR="00BE35AE" w:rsidRDefault="00BE35AE">
      <w:pPr>
        <w:bidi w:val="0"/>
        <w:rPr>
          <w:noProof/>
        </w:rPr>
      </w:pPr>
      <w:r>
        <w:rPr>
          <w:noProof/>
        </w:rPr>
        <w:br w:type="page"/>
      </w:r>
    </w:p>
    <w:p w:rsidR="001124B6" w:rsidRPr="0068064A" w:rsidRDefault="001124B6" w:rsidP="007027B3">
      <w:pPr>
        <w:pStyle w:val="3"/>
      </w:pPr>
      <w:r w:rsidRPr="0068064A">
        <w:rPr>
          <w:rFonts w:hint="cs"/>
          <w:rtl/>
        </w:rPr>
        <w:lastRenderedPageBreak/>
        <w:t>ריבית</w:t>
      </w:r>
      <w:r w:rsidR="00397B07" w:rsidRPr="0068064A">
        <w:rPr>
          <w:rFonts w:hint="cs"/>
          <w:rtl/>
        </w:rPr>
        <w:t xml:space="preserve"> המשכנתאות</w:t>
      </w:r>
      <w:r w:rsidRPr="0068064A">
        <w:rPr>
          <w:rtl/>
        </w:rPr>
        <w:t xml:space="preserve"> </w:t>
      </w:r>
    </w:p>
    <w:p w:rsidR="00303B83" w:rsidRPr="0068064A" w:rsidRDefault="00875264" w:rsidP="0068064A">
      <w:pPr>
        <w:spacing w:after="120"/>
        <w:contextualSpacing/>
        <w:rPr>
          <w:b/>
          <w:bCs/>
          <w:rtl/>
        </w:rPr>
      </w:pPr>
      <w:r w:rsidRPr="0068064A">
        <w:rPr>
          <w:rFonts w:hint="cs"/>
          <w:rtl/>
        </w:rPr>
        <w:t xml:space="preserve">בהתבסס על </w:t>
      </w:r>
      <w:r w:rsidR="006F11EF" w:rsidRPr="0068064A">
        <w:rPr>
          <w:rFonts w:hint="cs"/>
          <w:rtl/>
        </w:rPr>
        <w:t xml:space="preserve">מספרן המצומצם </w:t>
      </w:r>
      <w:r w:rsidRPr="0068064A">
        <w:rPr>
          <w:rFonts w:hint="cs"/>
          <w:rtl/>
        </w:rPr>
        <w:t xml:space="preserve">של </w:t>
      </w:r>
      <w:r w:rsidR="006F11EF" w:rsidRPr="0068064A">
        <w:rPr>
          <w:rFonts w:hint="cs"/>
          <w:rtl/>
        </w:rPr>
        <w:t xml:space="preserve">ההלוואות לדיור שניתנו </w:t>
      </w:r>
      <w:r w:rsidR="005F27E6" w:rsidRPr="0068064A">
        <w:rPr>
          <w:rFonts w:hint="cs"/>
          <w:rtl/>
        </w:rPr>
        <w:t>ל</w:t>
      </w:r>
      <w:r w:rsidR="00B02ED5" w:rsidRPr="0068064A">
        <w:rPr>
          <w:rFonts w:hint="cs"/>
          <w:rtl/>
        </w:rPr>
        <w:t>לקוחות ה</w:t>
      </w:r>
      <w:r w:rsidRPr="0068064A">
        <w:rPr>
          <w:rFonts w:hint="cs"/>
          <w:rtl/>
        </w:rPr>
        <w:t>מגזר</w:t>
      </w:r>
      <w:r w:rsidR="006F11EF" w:rsidRPr="0068064A">
        <w:rPr>
          <w:rFonts w:hint="cs"/>
          <w:rtl/>
        </w:rPr>
        <w:t xml:space="preserve"> הערבי</w:t>
      </w:r>
      <w:r w:rsidR="00E764EE" w:rsidRPr="0068064A">
        <w:rPr>
          <w:rFonts w:hint="cs"/>
          <w:rtl/>
        </w:rPr>
        <w:t>, כאמור לעיל</w:t>
      </w:r>
      <w:r w:rsidRPr="0068064A">
        <w:rPr>
          <w:rFonts w:hint="cs"/>
          <w:rtl/>
        </w:rPr>
        <w:t xml:space="preserve">, </w:t>
      </w:r>
      <w:r w:rsidR="00550EA7" w:rsidRPr="0068064A">
        <w:rPr>
          <w:rFonts w:hint="cs"/>
          <w:rtl/>
        </w:rPr>
        <w:t>נ</w:t>
      </w:r>
      <w:r w:rsidRPr="0068064A">
        <w:rPr>
          <w:rFonts w:hint="cs"/>
          <w:rtl/>
        </w:rPr>
        <w:t>בחנו הריבי</w:t>
      </w:r>
      <w:r w:rsidR="006F11EF" w:rsidRPr="0068064A">
        <w:rPr>
          <w:rFonts w:hint="cs"/>
          <w:rtl/>
        </w:rPr>
        <w:t>ו</w:t>
      </w:r>
      <w:r w:rsidRPr="0068064A">
        <w:rPr>
          <w:rFonts w:hint="cs"/>
          <w:rtl/>
        </w:rPr>
        <w:t>ת</w:t>
      </w:r>
      <w:r w:rsidR="00494D96" w:rsidRPr="0068064A">
        <w:rPr>
          <w:rFonts w:hint="cs"/>
          <w:rtl/>
        </w:rPr>
        <w:t xml:space="preserve"> על הלוואות לדיור </w:t>
      </w:r>
      <w:r w:rsidR="005F27E6" w:rsidRPr="0068064A">
        <w:rPr>
          <w:rFonts w:hint="cs"/>
          <w:rtl/>
        </w:rPr>
        <w:t xml:space="preserve">הן </w:t>
      </w:r>
      <w:r w:rsidR="00494D96" w:rsidRPr="0068064A">
        <w:rPr>
          <w:rFonts w:hint="cs"/>
          <w:rtl/>
        </w:rPr>
        <w:t>בי</w:t>
      </w:r>
      <w:r w:rsidR="005F27E6" w:rsidRPr="0068064A">
        <w:rPr>
          <w:rFonts w:hint="cs"/>
          <w:rtl/>
        </w:rPr>
        <w:t>י</w:t>
      </w:r>
      <w:r w:rsidR="00494D96" w:rsidRPr="0068064A">
        <w:rPr>
          <w:rFonts w:hint="cs"/>
          <w:rtl/>
        </w:rPr>
        <w:t xml:space="preserve">שובים </w:t>
      </w:r>
      <w:r w:rsidR="005F27E6" w:rsidRPr="0068064A">
        <w:rPr>
          <w:rFonts w:hint="cs"/>
          <w:rtl/>
        </w:rPr>
        <w:t>מעורבים והן ביישובים שאינם מעורבים</w:t>
      </w:r>
      <w:r w:rsidR="00A81DA8" w:rsidRPr="0068064A">
        <w:rPr>
          <w:rFonts w:hint="cs"/>
          <w:rtl/>
        </w:rPr>
        <w:t>.</w:t>
      </w:r>
      <w:r w:rsidR="00CC1BD0" w:rsidRPr="0068064A">
        <w:rPr>
          <w:rFonts w:hint="cs"/>
          <w:rtl/>
        </w:rPr>
        <w:t xml:space="preserve"> </w:t>
      </w:r>
      <w:r w:rsidR="00925144" w:rsidRPr="0068064A">
        <w:rPr>
          <w:rFonts w:hint="cs"/>
          <w:b/>
          <w:bCs/>
          <w:rtl/>
        </w:rPr>
        <w:t>ממצאי הבדיקה</w:t>
      </w:r>
      <w:r w:rsidRPr="0068064A">
        <w:rPr>
          <w:rFonts w:hint="cs"/>
          <w:b/>
          <w:bCs/>
          <w:rtl/>
        </w:rPr>
        <w:t xml:space="preserve"> מראים כי </w:t>
      </w:r>
      <w:r w:rsidR="005F27E6" w:rsidRPr="0068064A">
        <w:rPr>
          <w:rFonts w:hint="cs"/>
          <w:b/>
          <w:bCs/>
          <w:rtl/>
        </w:rPr>
        <w:t xml:space="preserve">ביישובים מעורבים </w:t>
      </w:r>
      <w:r w:rsidR="00EE64BE" w:rsidRPr="0068064A">
        <w:rPr>
          <w:rFonts w:hint="cs"/>
          <w:b/>
          <w:bCs/>
          <w:rtl/>
        </w:rPr>
        <w:t xml:space="preserve">קיים פער נמוך </w:t>
      </w:r>
      <w:r w:rsidR="00EC488F" w:rsidRPr="0068064A">
        <w:rPr>
          <w:rFonts w:hint="cs"/>
          <w:b/>
          <w:bCs/>
          <w:rtl/>
        </w:rPr>
        <w:t xml:space="preserve">(אך מובהק) </w:t>
      </w:r>
      <w:r w:rsidR="00EE64BE" w:rsidRPr="0068064A">
        <w:rPr>
          <w:rFonts w:hint="cs"/>
          <w:b/>
          <w:bCs/>
          <w:rtl/>
        </w:rPr>
        <w:t>של כ-0.1 נקודות אחוז</w:t>
      </w:r>
      <w:r w:rsidR="00253792" w:rsidRPr="0068064A">
        <w:rPr>
          <w:rFonts w:hint="cs"/>
          <w:b/>
          <w:bCs/>
          <w:rtl/>
        </w:rPr>
        <w:t xml:space="preserve"> </w:t>
      </w:r>
      <w:r w:rsidR="005F27E6" w:rsidRPr="0068064A">
        <w:rPr>
          <w:rFonts w:hint="cs"/>
          <w:b/>
          <w:bCs/>
          <w:rtl/>
        </w:rPr>
        <w:t>בריבית</w:t>
      </w:r>
      <w:r w:rsidR="005F27E6" w:rsidRPr="0068064A">
        <w:rPr>
          <w:b/>
          <w:bCs/>
          <w:rtl/>
        </w:rPr>
        <w:t xml:space="preserve"> </w:t>
      </w:r>
      <w:r w:rsidR="005F27E6" w:rsidRPr="0068064A">
        <w:rPr>
          <w:rFonts w:hint="cs"/>
          <w:b/>
          <w:bCs/>
          <w:rtl/>
        </w:rPr>
        <w:t>על</w:t>
      </w:r>
      <w:r w:rsidR="005F27E6" w:rsidRPr="0068064A">
        <w:rPr>
          <w:b/>
          <w:bCs/>
          <w:rtl/>
        </w:rPr>
        <w:t xml:space="preserve"> </w:t>
      </w:r>
      <w:r w:rsidR="005F27E6" w:rsidRPr="0068064A">
        <w:rPr>
          <w:rFonts w:hint="cs"/>
          <w:b/>
          <w:bCs/>
          <w:rtl/>
        </w:rPr>
        <w:t xml:space="preserve">המשכנתאות בין לקוחות </w:t>
      </w:r>
      <w:r w:rsidR="00087757" w:rsidRPr="0068064A">
        <w:rPr>
          <w:rFonts w:hint="cs"/>
          <w:b/>
          <w:bCs/>
          <w:rtl/>
        </w:rPr>
        <w:t>ערביים</w:t>
      </w:r>
      <w:r w:rsidR="005F27E6" w:rsidRPr="0068064A">
        <w:rPr>
          <w:rFonts w:hint="cs"/>
          <w:b/>
          <w:bCs/>
          <w:rtl/>
        </w:rPr>
        <w:t xml:space="preserve"> ולקוחות </w:t>
      </w:r>
      <w:r w:rsidR="00C1154A" w:rsidRPr="0068064A">
        <w:rPr>
          <w:rFonts w:hint="cs"/>
          <w:b/>
          <w:bCs/>
          <w:rtl/>
        </w:rPr>
        <w:t>י</w:t>
      </w:r>
      <w:r w:rsidR="005F27E6" w:rsidRPr="0068064A">
        <w:rPr>
          <w:rFonts w:hint="cs"/>
          <w:b/>
          <w:bCs/>
          <w:rtl/>
        </w:rPr>
        <w:t>הודי</w:t>
      </w:r>
      <w:r w:rsidR="00087757" w:rsidRPr="0068064A">
        <w:rPr>
          <w:rFonts w:hint="cs"/>
          <w:b/>
          <w:bCs/>
          <w:rtl/>
        </w:rPr>
        <w:t>ים בעלי מאפיינים</w:t>
      </w:r>
      <w:r w:rsidR="00C214C9" w:rsidRPr="0068064A">
        <w:rPr>
          <w:rFonts w:hint="cs"/>
          <w:b/>
          <w:bCs/>
          <w:rtl/>
        </w:rPr>
        <w:t xml:space="preserve"> דומים</w:t>
      </w:r>
      <w:r w:rsidR="00087757" w:rsidRPr="0068064A">
        <w:rPr>
          <w:rFonts w:hint="cs"/>
          <w:b/>
          <w:bCs/>
          <w:rtl/>
        </w:rPr>
        <w:t xml:space="preserve"> (על פי הנתונים שברשותנו</w:t>
      </w:r>
      <w:r w:rsidR="009229F1" w:rsidRPr="0068064A">
        <w:rPr>
          <w:rFonts w:hint="cs"/>
          <w:b/>
          <w:bCs/>
          <w:rtl/>
        </w:rPr>
        <w:t>, שאינם מלאים</w:t>
      </w:r>
      <w:r w:rsidR="00087757" w:rsidRPr="0068064A">
        <w:rPr>
          <w:rFonts w:hint="cs"/>
          <w:b/>
          <w:bCs/>
          <w:rtl/>
        </w:rPr>
        <w:t>)</w:t>
      </w:r>
      <w:r w:rsidR="005F27E6" w:rsidRPr="0068064A">
        <w:rPr>
          <w:rFonts w:hint="cs"/>
          <w:b/>
          <w:bCs/>
          <w:rtl/>
        </w:rPr>
        <w:t xml:space="preserve">. </w:t>
      </w:r>
      <w:r w:rsidR="00E1098D" w:rsidRPr="0068064A">
        <w:rPr>
          <w:rFonts w:hint="cs"/>
          <w:b/>
          <w:bCs/>
          <w:rtl/>
        </w:rPr>
        <w:t xml:space="preserve">לעומת זאת, </w:t>
      </w:r>
      <w:r w:rsidR="005F27E6" w:rsidRPr="0068064A">
        <w:rPr>
          <w:rFonts w:hint="cs"/>
          <w:b/>
          <w:bCs/>
          <w:rtl/>
        </w:rPr>
        <w:t>ביישובים שאינם מעורבים נמצא כי הריבית</w:t>
      </w:r>
      <w:r w:rsidR="005F27E6" w:rsidRPr="0068064A">
        <w:rPr>
          <w:b/>
          <w:bCs/>
          <w:rtl/>
        </w:rPr>
        <w:t xml:space="preserve"> </w:t>
      </w:r>
      <w:r w:rsidR="005F27E6" w:rsidRPr="0068064A">
        <w:rPr>
          <w:rFonts w:hint="cs"/>
          <w:b/>
          <w:bCs/>
          <w:rtl/>
        </w:rPr>
        <w:t>על</w:t>
      </w:r>
      <w:r w:rsidR="005F27E6" w:rsidRPr="0068064A">
        <w:rPr>
          <w:b/>
          <w:bCs/>
          <w:rtl/>
        </w:rPr>
        <w:t xml:space="preserve"> </w:t>
      </w:r>
      <w:r w:rsidR="005F27E6" w:rsidRPr="0068064A">
        <w:rPr>
          <w:rFonts w:hint="cs"/>
          <w:b/>
          <w:bCs/>
          <w:rtl/>
        </w:rPr>
        <w:t xml:space="preserve">המשכנתאות עבור לקוחות </w:t>
      </w:r>
      <w:r w:rsidR="00C1154A" w:rsidRPr="0068064A">
        <w:rPr>
          <w:rFonts w:hint="cs"/>
          <w:b/>
          <w:bCs/>
          <w:rtl/>
        </w:rPr>
        <w:t>המגזר ה</w:t>
      </w:r>
      <w:r w:rsidR="005F27E6" w:rsidRPr="0068064A">
        <w:rPr>
          <w:rFonts w:hint="cs"/>
          <w:b/>
          <w:bCs/>
          <w:rtl/>
        </w:rPr>
        <w:t>ערבי</w:t>
      </w:r>
      <w:r w:rsidR="005F27E6" w:rsidRPr="0068064A">
        <w:rPr>
          <w:b/>
          <w:bCs/>
          <w:rtl/>
        </w:rPr>
        <w:t xml:space="preserve"> </w:t>
      </w:r>
      <w:r w:rsidR="005F27E6" w:rsidRPr="0068064A">
        <w:rPr>
          <w:rFonts w:hint="cs"/>
          <w:b/>
          <w:bCs/>
          <w:rtl/>
        </w:rPr>
        <w:t>גבוהה</w:t>
      </w:r>
      <w:r w:rsidR="00EC488F" w:rsidRPr="0068064A">
        <w:rPr>
          <w:rFonts w:hint="cs"/>
          <w:b/>
          <w:bCs/>
          <w:rtl/>
        </w:rPr>
        <w:t xml:space="preserve"> (באופן מובהק)</w:t>
      </w:r>
      <w:r w:rsidR="005F27E6" w:rsidRPr="0068064A">
        <w:rPr>
          <w:rFonts w:hint="cs"/>
          <w:b/>
          <w:bCs/>
          <w:rtl/>
        </w:rPr>
        <w:t xml:space="preserve"> בכ-0.3 נקודות אחוז בהשוואה ללקוחות </w:t>
      </w:r>
      <w:r w:rsidR="00C1154A" w:rsidRPr="0068064A">
        <w:rPr>
          <w:rFonts w:hint="cs"/>
          <w:b/>
          <w:bCs/>
          <w:rtl/>
        </w:rPr>
        <w:t>המגזר ה</w:t>
      </w:r>
      <w:r w:rsidR="00C1154A" w:rsidRPr="0068064A">
        <w:rPr>
          <w:b/>
          <w:bCs/>
          <w:rtl/>
        </w:rPr>
        <w:t>יהודי</w:t>
      </w:r>
      <w:r w:rsidR="005F27E6" w:rsidRPr="0068064A">
        <w:rPr>
          <w:rFonts w:hint="cs"/>
          <w:b/>
          <w:bCs/>
          <w:rtl/>
        </w:rPr>
        <w:t xml:space="preserve"> (כאשר הריבית המשוקללת</w:t>
      </w:r>
      <w:r w:rsidR="00B75551" w:rsidRPr="0068064A">
        <w:rPr>
          <w:rStyle w:val="ad"/>
          <w:b/>
          <w:bCs/>
          <w:rtl/>
        </w:rPr>
        <w:footnoteReference w:id="9"/>
      </w:r>
      <w:r w:rsidR="005F27E6" w:rsidRPr="0068064A">
        <w:rPr>
          <w:rFonts w:hint="cs"/>
          <w:b/>
          <w:bCs/>
          <w:rtl/>
        </w:rPr>
        <w:t xml:space="preserve"> הממוצעת </w:t>
      </w:r>
      <w:r w:rsidR="009C2C49" w:rsidRPr="0068064A">
        <w:rPr>
          <w:rFonts w:hint="cs"/>
          <w:b/>
          <w:bCs/>
          <w:rtl/>
        </w:rPr>
        <w:t>בין השנים 201</w:t>
      </w:r>
      <w:r w:rsidR="003E7C4C" w:rsidRPr="0068064A">
        <w:rPr>
          <w:rFonts w:hint="cs"/>
          <w:b/>
          <w:bCs/>
          <w:rtl/>
        </w:rPr>
        <w:t>4</w:t>
      </w:r>
      <w:r w:rsidR="009C2C49" w:rsidRPr="0068064A">
        <w:rPr>
          <w:rFonts w:hint="cs"/>
          <w:b/>
          <w:bCs/>
          <w:rtl/>
        </w:rPr>
        <w:t xml:space="preserve">-2010 </w:t>
      </w:r>
      <w:r w:rsidR="005F27E6" w:rsidRPr="0068064A">
        <w:rPr>
          <w:rFonts w:hint="cs"/>
          <w:b/>
          <w:bCs/>
          <w:rtl/>
        </w:rPr>
        <w:t>עמדה על 2.7% בשנים אלו).</w:t>
      </w:r>
      <w:r w:rsidR="00FB3983" w:rsidRPr="0068064A">
        <w:rPr>
          <w:rFonts w:hint="cs"/>
          <w:rtl/>
        </w:rPr>
        <w:t xml:space="preserve"> </w:t>
      </w:r>
      <w:r w:rsidR="00B63EF1" w:rsidRPr="0068064A">
        <w:rPr>
          <w:rFonts w:hint="cs"/>
          <w:rtl/>
        </w:rPr>
        <w:t xml:space="preserve">יש לציין כי </w:t>
      </w:r>
      <w:r w:rsidR="00510CE4" w:rsidRPr="0068064A">
        <w:rPr>
          <w:rFonts w:hint="cs"/>
          <w:rtl/>
        </w:rPr>
        <w:t xml:space="preserve">הבדיקה </w:t>
      </w:r>
      <w:r w:rsidR="00017A1F" w:rsidRPr="0068064A">
        <w:rPr>
          <w:rFonts w:hint="cs"/>
          <w:rtl/>
        </w:rPr>
        <w:t>(המבוססת על רגרסיה</w:t>
      </w:r>
      <w:r w:rsidR="00C73D76" w:rsidRPr="0068064A">
        <w:rPr>
          <w:rStyle w:val="ad"/>
          <w:rtl/>
        </w:rPr>
        <w:footnoteReference w:id="10"/>
      </w:r>
      <w:r w:rsidR="00017A1F" w:rsidRPr="0068064A">
        <w:rPr>
          <w:rFonts w:hint="cs"/>
          <w:rtl/>
        </w:rPr>
        <w:t xml:space="preserve">) </w:t>
      </w:r>
      <w:r w:rsidR="00510CE4" w:rsidRPr="0068064A">
        <w:rPr>
          <w:rFonts w:hint="cs"/>
          <w:rtl/>
        </w:rPr>
        <w:t>לוקחת בחשבון</w:t>
      </w:r>
      <w:r w:rsidRPr="0068064A">
        <w:rPr>
          <w:rFonts w:hint="cs"/>
          <w:rtl/>
        </w:rPr>
        <w:t xml:space="preserve"> </w:t>
      </w:r>
      <w:r w:rsidR="00510CE4" w:rsidRPr="0068064A">
        <w:rPr>
          <w:rFonts w:hint="cs"/>
          <w:rtl/>
        </w:rPr>
        <w:t xml:space="preserve">את </w:t>
      </w:r>
      <w:r w:rsidR="0067564B" w:rsidRPr="0068064A">
        <w:rPr>
          <w:rFonts w:hint="cs"/>
          <w:rtl/>
        </w:rPr>
        <w:t xml:space="preserve">משתני </w:t>
      </w:r>
      <w:r w:rsidR="00510CE4" w:rsidRPr="0068064A">
        <w:rPr>
          <w:rFonts w:hint="cs"/>
          <w:rtl/>
        </w:rPr>
        <w:t>ה</w:t>
      </w:r>
      <w:r w:rsidR="0067564B" w:rsidRPr="0068064A">
        <w:rPr>
          <w:rFonts w:hint="cs"/>
          <w:rtl/>
        </w:rPr>
        <w:t xml:space="preserve">סיכון </w:t>
      </w:r>
      <w:r w:rsidR="009824CB" w:rsidRPr="0068064A">
        <w:rPr>
          <w:rFonts w:hint="cs"/>
          <w:rtl/>
        </w:rPr>
        <w:t>שקיימים במאגר הנתונים</w:t>
      </w:r>
      <w:r w:rsidR="00087757" w:rsidRPr="0068064A">
        <w:rPr>
          <w:rFonts w:hint="cs"/>
          <w:rtl/>
        </w:rPr>
        <w:t>,</w:t>
      </w:r>
      <w:r w:rsidR="008114B9" w:rsidRPr="0068064A">
        <w:rPr>
          <w:rFonts w:hint="cs"/>
          <w:rtl/>
        </w:rPr>
        <w:t xml:space="preserve"> </w:t>
      </w:r>
      <w:r w:rsidR="0067564B" w:rsidRPr="0068064A">
        <w:rPr>
          <w:rFonts w:hint="cs"/>
          <w:rtl/>
        </w:rPr>
        <w:t>כגון שיעור המימון (</w:t>
      </w:r>
      <w:r w:rsidR="0067564B" w:rsidRPr="0068064A">
        <w:t>LTV</w:t>
      </w:r>
      <w:r w:rsidR="0067564B" w:rsidRPr="0068064A">
        <w:rPr>
          <w:rFonts w:hint="cs"/>
          <w:rtl/>
        </w:rPr>
        <w:t>), שיעור ההחזר מההכנסה (</w:t>
      </w:r>
      <w:r w:rsidR="0067564B" w:rsidRPr="0068064A">
        <w:t>PTI</w:t>
      </w:r>
      <w:r w:rsidR="0067564B" w:rsidRPr="0068064A">
        <w:rPr>
          <w:rFonts w:hint="cs"/>
          <w:rtl/>
        </w:rPr>
        <w:t>)</w:t>
      </w:r>
      <w:r w:rsidR="00B63EF1" w:rsidRPr="0068064A">
        <w:rPr>
          <w:rFonts w:hint="cs"/>
          <w:rtl/>
        </w:rPr>
        <w:t>,</w:t>
      </w:r>
      <w:r w:rsidR="0067564B" w:rsidRPr="0068064A">
        <w:rPr>
          <w:rFonts w:hint="cs"/>
          <w:rtl/>
        </w:rPr>
        <w:t xml:space="preserve"> התקופה לפירעון</w:t>
      </w:r>
      <w:r w:rsidR="00E764EE" w:rsidRPr="0068064A">
        <w:rPr>
          <w:rFonts w:hint="cs"/>
          <w:rtl/>
        </w:rPr>
        <w:t>, ההכנסה ועוד</w:t>
      </w:r>
      <w:r w:rsidR="00017A1F" w:rsidRPr="0068064A">
        <w:rPr>
          <w:rFonts w:hint="cs"/>
          <w:rtl/>
        </w:rPr>
        <w:t xml:space="preserve"> (כמוצג בלוח</w:t>
      </w:r>
      <w:r w:rsidR="00A01933" w:rsidRPr="0068064A">
        <w:rPr>
          <w:rFonts w:hint="cs"/>
          <w:rtl/>
        </w:rPr>
        <w:t xml:space="preserve"> 1</w:t>
      </w:r>
      <w:r w:rsidR="00017A1F" w:rsidRPr="0068064A">
        <w:rPr>
          <w:rFonts w:hint="cs"/>
          <w:rtl/>
        </w:rPr>
        <w:t>)</w:t>
      </w:r>
      <w:r w:rsidR="00E673E9" w:rsidRPr="0068064A">
        <w:rPr>
          <w:rFonts w:hint="cs"/>
          <w:rtl/>
        </w:rPr>
        <w:t xml:space="preserve">, אך אינה לוקחת בחשבון משתני סיכון חשובים נוספים </w:t>
      </w:r>
      <w:r w:rsidR="00522044" w:rsidRPr="0068064A">
        <w:rPr>
          <w:rFonts w:hint="cs"/>
          <w:rtl/>
        </w:rPr>
        <w:t xml:space="preserve">כדוגמת </w:t>
      </w:r>
      <w:r w:rsidR="00E673E9" w:rsidRPr="0068064A">
        <w:rPr>
          <w:rFonts w:hint="cs"/>
          <w:rtl/>
        </w:rPr>
        <w:t xml:space="preserve">יכולת </w:t>
      </w:r>
      <w:r w:rsidR="00522044" w:rsidRPr="0068064A">
        <w:rPr>
          <w:rFonts w:hint="cs"/>
          <w:rtl/>
        </w:rPr>
        <w:t>מימוש</w:t>
      </w:r>
      <w:r w:rsidR="00E673E9" w:rsidRPr="0068064A">
        <w:rPr>
          <w:rFonts w:hint="cs"/>
          <w:rtl/>
        </w:rPr>
        <w:t xml:space="preserve"> הנכס</w:t>
      </w:r>
      <w:r w:rsidR="001B52EC" w:rsidRPr="0068064A">
        <w:rPr>
          <w:rFonts w:hint="cs"/>
          <w:rtl/>
        </w:rPr>
        <w:t xml:space="preserve"> על ידי הבנק במקרה של כשל</w:t>
      </w:r>
      <w:r w:rsidR="00E673E9" w:rsidRPr="0068064A">
        <w:rPr>
          <w:rFonts w:hint="cs"/>
          <w:rtl/>
        </w:rPr>
        <w:t>, היסטוריית האשראי של הלווה ויציבותו במקום העבודה (שכיר/עצמאי, בעל קביעות במקום העבודה וכד')</w:t>
      </w:r>
      <w:r w:rsidR="00EC488F" w:rsidRPr="0068064A">
        <w:rPr>
          <w:rFonts w:hint="cs"/>
          <w:rtl/>
        </w:rPr>
        <w:t>,</w:t>
      </w:r>
      <w:r w:rsidR="00E673E9" w:rsidRPr="0068064A">
        <w:rPr>
          <w:rFonts w:hint="cs"/>
          <w:rtl/>
        </w:rPr>
        <w:t xml:space="preserve"> שאינם קיימים במאגר הנתונים. </w:t>
      </w:r>
    </w:p>
    <w:p w:rsidR="00BE35AE" w:rsidRDefault="00303B83" w:rsidP="0068064A">
      <w:pPr>
        <w:spacing w:after="120"/>
        <w:contextualSpacing/>
        <w:rPr>
          <w:rtl/>
        </w:rPr>
      </w:pPr>
      <w:r w:rsidRPr="0068064A">
        <w:rPr>
          <w:rFonts w:hint="cs"/>
          <w:rtl/>
        </w:rPr>
        <w:t>מניתוח משתני הסיכון המשפיעים על גובה הריבית עולה כי ביישובים מעורבים</w:t>
      </w:r>
      <w:r w:rsidR="00794105" w:rsidRPr="0068064A">
        <w:rPr>
          <w:rFonts w:hint="cs"/>
          <w:rtl/>
        </w:rPr>
        <w:t>,</w:t>
      </w:r>
      <w:r w:rsidRPr="0068064A">
        <w:rPr>
          <w:rFonts w:hint="cs"/>
          <w:rtl/>
        </w:rPr>
        <w:t xml:space="preserve"> הלווים מהמגזר הערבי מתאפיינים </w:t>
      </w:r>
      <w:r w:rsidRPr="0068064A">
        <w:rPr>
          <w:rtl/>
        </w:rPr>
        <w:t>בהכנס</w:t>
      </w:r>
      <w:r w:rsidR="001B1A9C" w:rsidRPr="0068064A">
        <w:rPr>
          <w:rFonts w:hint="cs"/>
          <w:rtl/>
        </w:rPr>
        <w:t>ה נמוכה יותר של</w:t>
      </w:r>
      <w:r w:rsidRPr="0068064A">
        <w:rPr>
          <w:rtl/>
        </w:rPr>
        <w:t xml:space="preserve"> משק </w:t>
      </w:r>
      <w:r w:rsidR="00D96D97" w:rsidRPr="0068064A">
        <w:rPr>
          <w:rFonts w:hint="cs"/>
          <w:rtl/>
        </w:rPr>
        <w:t>ה</w:t>
      </w:r>
      <w:r w:rsidRPr="0068064A">
        <w:rPr>
          <w:rtl/>
        </w:rPr>
        <w:t>בית</w:t>
      </w:r>
      <w:r w:rsidRPr="0068064A">
        <w:rPr>
          <w:rFonts w:hint="cs"/>
          <w:rtl/>
        </w:rPr>
        <w:t>, בשיעור מימון גבוה יותר ובתקופה ממוצעת לפירעון ארוכה יותר</w:t>
      </w:r>
      <w:r w:rsidR="00B5732E" w:rsidRPr="0068064A">
        <w:rPr>
          <w:rFonts w:hint="cs"/>
          <w:rtl/>
        </w:rPr>
        <w:t xml:space="preserve"> </w:t>
      </w:r>
      <w:r w:rsidR="00B5732E" w:rsidRPr="0068064A">
        <w:rPr>
          <w:rtl/>
        </w:rPr>
        <w:t>בהשוואה</w:t>
      </w:r>
      <w:r w:rsidR="00B5732E" w:rsidRPr="0068064A">
        <w:rPr>
          <w:rFonts w:hint="cs"/>
          <w:rtl/>
        </w:rPr>
        <w:t xml:space="preserve"> ללווים מהמגזר היהודי</w:t>
      </w:r>
      <w:r w:rsidRPr="0068064A">
        <w:rPr>
          <w:rFonts w:hint="cs"/>
          <w:rtl/>
        </w:rPr>
        <w:t>- גורמים המעלים את הסיכון בהלוואה (לוח 1). לעומת זאת, ביישובים שאינם מעורבים שיעור המימון בהלוואות שנטלו לווים מהמגזר הערבי</w:t>
      </w:r>
      <w:r w:rsidR="00B5732E" w:rsidRPr="0068064A">
        <w:rPr>
          <w:rFonts w:hint="cs"/>
          <w:rtl/>
        </w:rPr>
        <w:t xml:space="preserve"> </w:t>
      </w:r>
      <w:r w:rsidRPr="0068064A">
        <w:rPr>
          <w:rFonts w:hint="cs"/>
          <w:rtl/>
        </w:rPr>
        <w:t>נמוך יותר מאלו במגזר היהודי, והפערים בהכנסות משק הבית נמוכים יותר</w:t>
      </w:r>
      <w:r w:rsidR="00B5732E" w:rsidRPr="0068064A">
        <w:rPr>
          <w:rFonts w:hint="cs"/>
          <w:rtl/>
        </w:rPr>
        <w:t xml:space="preserve"> (אולם קיים פער ניכר באשכול החברתי-כלכלי הממוצע)</w:t>
      </w:r>
      <w:r w:rsidRPr="0068064A">
        <w:rPr>
          <w:rFonts w:hint="cs"/>
          <w:rtl/>
        </w:rPr>
        <w:t xml:space="preserve">. </w:t>
      </w:r>
      <w:r w:rsidRPr="0068064A">
        <w:rPr>
          <w:rtl/>
        </w:rPr>
        <w:t>בנוסף, מרבית ההלוואות</w:t>
      </w:r>
      <w:r w:rsidRPr="0068064A">
        <w:rPr>
          <w:rFonts w:hint="cs"/>
          <w:rtl/>
        </w:rPr>
        <w:t xml:space="preserve"> לתושבי המגזר הערבי</w:t>
      </w:r>
      <w:r w:rsidRPr="0068064A">
        <w:rPr>
          <w:rtl/>
        </w:rPr>
        <w:t xml:space="preserve"> ביישובים </w:t>
      </w:r>
      <w:r w:rsidRPr="0068064A">
        <w:rPr>
          <w:rFonts w:hint="cs"/>
          <w:rtl/>
        </w:rPr>
        <w:t xml:space="preserve">שאינם מעורבים </w:t>
      </w:r>
      <w:r w:rsidRPr="0068064A">
        <w:rPr>
          <w:rtl/>
        </w:rPr>
        <w:t>ניתנות ללקוחות אשר אינם מחזיקים בחשבון עו"ש בבנק המלווה, מה שמעיד על הכרות מוגבלת של הבנק עם נוטל ההלוואה</w:t>
      </w:r>
      <w:r w:rsidR="00B5732E" w:rsidRPr="0068064A">
        <w:rPr>
          <w:rStyle w:val="ad"/>
          <w:rtl/>
        </w:rPr>
        <w:footnoteReference w:id="11"/>
      </w:r>
      <w:r w:rsidR="00B5732E" w:rsidRPr="0068064A">
        <w:rPr>
          <w:rFonts w:hint="cs"/>
          <w:rtl/>
        </w:rPr>
        <w:t>.</w:t>
      </w:r>
    </w:p>
    <w:p w:rsidR="00BE35AE" w:rsidRDefault="00BE35AE">
      <w:pPr>
        <w:bidi w:val="0"/>
        <w:rPr>
          <w:rtl/>
        </w:rPr>
      </w:pPr>
      <w:r>
        <w:rPr>
          <w:rtl/>
        </w:rPr>
        <w:br w:type="page"/>
      </w:r>
    </w:p>
    <w:p w:rsidR="009C1E48" w:rsidRPr="0068064A" w:rsidRDefault="009C1E48" w:rsidP="0068064A">
      <w:pPr>
        <w:spacing w:after="120"/>
        <w:contextualSpacing/>
        <w:rPr>
          <w:sz w:val="14"/>
          <w:szCs w:val="14"/>
          <w:rtl/>
        </w:rPr>
      </w:pPr>
    </w:p>
    <w:p w:rsidR="007E2500" w:rsidRPr="0068064A" w:rsidRDefault="007E2500" w:rsidP="0068064A">
      <w:pPr>
        <w:spacing w:after="120"/>
        <w:contextualSpacing/>
        <w:jc w:val="center"/>
        <w:rPr>
          <w:b/>
          <w:bCs/>
          <w:rtl/>
        </w:rPr>
      </w:pPr>
      <w:r w:rsidRPr="0068064A">
        <w:rPr>
          <w:rFonts w:hint="cs"/>
          <w:b/>
          <w:bCs/>
          <w:rtl/>
        </w:rPr>
        <w:t>לוח</w:t>
      </w:r>
      <w:r w:rsidRPr="0068064A">
        <w:rPr>
          <w:b/>
          <w:bCs/>
          <w:rtl/>
        </w:rPr>
        <w:t xml:space="preserve"> 1: מאפייני המשכנתאות ביישובים </w:t>
      </w:r>
      <w:r w:rsidR="00B86CBB" w:rsidRPr="0068064A">
        <w:rPr>
          <w:rFonts w:hint="cs"/>
          <w:b/>
          <w:bCs/>
          <w:rtl/>
        </w:rPr>
        <w:t>מעורבים</w:t>
      </w:r>
      <w:r w:rsidR="00B86CBB" w:rsidRPr="0068064A">
        <w:rPr>
          <w:b/>
          <w:bCs/>
          <w:rtl/>
        </w:rPr>
        <w:t xml:space="preserve"> </w:t>
      </w:r>
      <w:r w:rsidR="00B86CBB" w:rsidRPr="0068064A">
        <w:rPr>
          <w:rFonts w:hint="cs"/>
          <w:b/>
          <w:bCs/>
          <w:rtl/>
        </w:rPr>
        <w:t>ושאינם</w:t>
      </w:r>
      <w:r w:rsidR="00B86CBB" w:rsidRPr="0068064A">
        <w:rPr>
          <w:b/>
          <w:bCs/>
          <w:rtl/>
        </w:rPr>
        <w:t xml:space="preserve"> </w:t>
      </w:r>
      <w:r w:rsidR="00B86CBB" w:rsidRPr="0068064A">
        <w:rPr>
          <w:rFonts w:hint="cs"/>
          <w:b/>
          <w:bCs/>
          <w:rtl/>
        </w:rPr>
        <w:t>מעורבים</w:t>
      </w:r>
      <w:r w:rsidR="00B86CBB" w:rsidRPr="0068064A">
        <w:rPr>
          <w:b/>
          <w:bCs/>
          <w:rtl/>
        </w:rPr>
        <w:t xml:space="preserve">, </w:t>
      </w:r>
      <w:r w:rsidR="00B86CBB" w:rsidRPr="0068064A">
        <w:rPr>
          <w:rFonts w:hint="cs"/>
          <w:b/>
          <w:bCs/>
          <w:rtl/>
        </w:rPr>
        <w:t>לווים</w:t>
      </w:r>
      <w:r w:rsidR="00794105" w:rsidRPr="0068064A">
        <w:rPr>
          <w:rFonts w:hint="cs"/>
          <w:b/>
          <w:bCs/>
          <w:rtl/>
        </w:rPr>
        <w:t xml:space="preserve"> מהמגזר</w:t>
      </w:r>
      <w:r w:rsidR="00B86CBB" w:rsidRPr="0068064A">
        <w:rPr>
          <w:b/>
          <w:bCs/>
          <w:rtl/>
        </w:rPr>
        <w:t xml:space="preserve"> </w:t>
      </w:r>
      <w:r w:rsidR="00794105" w:rsidRPr="0068064A">
        <w:rPr>
          <w:rFonts w:hint="cs"/>
          <w:b/>
          <w:bCs/>
          <w:rtl/>
        </w:rPr>
        <w:t>ה</w:t>
      </w:r>
      <w:r w:rsidR="00B86CBB" w:rsidRPr="0068064A">
        <w:rPr>
          <w:rFonts w:hint="cs"/>
          <w:b/>
          <w:bCs/>
          <w:rtl/>
        </w:rPr>
        <w:t>יהודי</w:t>
      </w:r>
      <w:r w:rsidR="00B86CBB" w:rsidRPr="0068064A">
        <w:rPr>
          <w:b/>
          <w:bCs/>
          <w:rtl/>
        </w:rPr>
        <w:t xml:space="preserve"> ו</w:t>
      </w:r>
      <w:r w:rsidR="00794105" w:rsidRPr="0068064A">
        <w:rPr>
          <w:rFonts w:hint="cs"/>
          <w:b/>
          <w:bCs/>
          <w:rtl/>
        </w:rPr>
        <w:t>מהמגזר ה</w:t>
      </w:r>
      <w:r w:rsidRPr="0068064A">
        <w:rPr>
          <w:rFonts w:hint="cs"/>
          <w:b/>
          <w:bCs/>
          <w:rtl/>
        </w:rPr>
        <w:t>ערבי</w:t>
      </w:r>
      <w:r w:rsidR="009C1E48" w:rsidRPr="0068064A">
        <w:rPr>
          <w:b/>
          <w:bCs/>
          <w:rtl/>
        </w:rPr>
        <w:t xml:space="preserve"> (ממוצע 201</w:t>
      </w:r>
      <w:r w:rsidR="00522831" w:rsidRPr="0068064A">
        <w:rPr>
          <w:b/>
          <w:bCs/>
          <w:rtl/>
        </w:rPr>
        <w:t>4</w:t>
      </w:r>
      <w:r w:rsidR="009C1E48" w:rsidRPr="0068064A">
        <w:rPr>
          <w:b/>
          <w:bCs/>
          <w:rtl/>
        </w:rPr>
        <w:t>-2010)</w:t>
      </w:r>
    </w:p>
    <w:tbl>
      <w:tblPr>
        <w:bidiVisual/>
        <w:tblW w:w="7458" w:type="dxa"/>
        <w:jc w:val="center"/>
        <w:tblCellMar>
          <w:left w:w="0" w:type="dxa"/>
          <w:right w:w="0" w:type="dxa"/>
        </w:tblCellMar>
        <w:tblLook w:val="0600" w:firstRow="0" w:lastRow="0" w:firstColumn="0" w:lastColumn="0" w:noHBand="1" w:noVBand="1"/>
        <w:tblCaption w:val="מאפייני המשכנתאות ביישובים מעורבים ושאינם מעורב"/>
        <w:tblDescription w:val="מאפייני המשכנתאות ביישובים מעורבים ושאינם מעורבים, לווים מהמגזר היהודי ומהמגזר הערבי (ממוצע 2014-2010)"/>
      </w:tblPr>
      <w:tblGrid>
        <w:gridCol w:w="4334"/>
        <w:gridCol w:w="781"/>
        <w:gridCol w:w="781"/>
        <w:gridCol w:w="781"/>
        <w:gridCol w:w="781"/>
      </w:tblGrid>
      <w:tr w:rsidR="002D2CA9" w:rsidRPr="0068064A" w:rsidTr="00E33735">
        <w:trPr>
          <w:trHeight w:val="182"/>
          <w:jc w:val="center"/>
        </w:trPr>
        <w:tc>
          <w:tcPr>
            <w:tcW w:w="4334" w:type="dxa"/>
            <w:tcBorders>
              <w:top w:val="single" w:sz="8" w:space="0" w:color="000000"/>
              <w:left w:val="single" w:sz="4" w:space="0" w:color="000000"/>
              <w:bottom w:val="single" w:sz="4" w:space="0" w:color="000000"/>
              <w:right w:val="single" w:sz="8" w:space="0" w:color="000000"/>
            </w:tcBorders>
            <w:shd w:val="clear" w:color="auto" w:fill="4F81BD" w:themeFill="accent1"/>
            <w:tcMar>
              <w:top w:w="15" w:type="dxa"/>
              <w:left w:w="15" w:type="dxa"/>
              <w:bottom w:w="0" w:type="dxa"/>
              <w:right w:w="15" w:type="dxa"/>
            </w:tcMar>
            <w:vAlign w:val="center"/>
          </w:tcPr>
          <w:p w:rsidR="002D2CA9" w:rsidRPr="0068064A" w:rsidRDefault="002D2CA9" w:rsidP="0068064A">
            <w:pPr>
              <w:spacing w:after="120"/>
              <w:contextualSpacing/>
              <w:jc w:val="center"/>
              <w:rPr>
                <w:color w:val="FFFFFF" w:themeColor="background1"/>
                <w:sz w:val="22"/>
                <w:szCs w:val="22"/>
              </w:rPr>
            </w:pPr>
          </w:p>
        </w:tc>
        <w:tc>
          <w:tcPr>
            <w:tcW w:w="1562" w:type="dxa"/>
            <w:gridSpan w:val="2"/>
            <w:tcBorders>
              <w:top w:val="single" w:sz="8" w:space="0" w:color="000000"/>
              <w:left w:val="single" w:sz="4" w:space="0" w:color="000000"/>
              <w:bottom w:val="single" w:sz="4" w:space="0" w:color="000000"/>
              <w:right w:val="single" w:sz="4" w:space="0" w:color="000000"/>
            </w:tcBorders>
            <w:shd w:val="clear" w:color="auto" w:fill="4F81BD" w:themeFill="accent1"/>
            <w:tcMar>
              <w:top w:w="15" w:type="dxa"/>
              <w:left w:w="15" w:type="dxa"/>
              <w:bottom w:w="0" w:type="dxa"/>
              <w:right w:w="15" w:type="dxa"/>
            </w:tcMar>
            <w:vAlign w:val="center"/>
          </w:tcPr>
          <w:p w:rsidR="002D2CA9" w:rsidRPr="0068064A" w:rsidRDefault="002D2CA9" w:rsidP="0068064A">
            <w:pPr>
              <w:spacing w:after="120"/>
              <w:contextualSpacing/>
              <w:jc w:val="center"/>
              <w:rPr>
                <w:color w:val="FFFFFF" w:themeColor="background1"/>
                <w:sz w:val="22"/>
                <w:szCs w:val="22"/>
                <w:rtl/>
              </w:rPr>
            </w:pPr>
            <w:r w:rsidRPr="0068064A">
              <w:rPr>
                <w:rFonts w:hint="cs"/>
                <w:color w:val="FFFFFF" w:themeColor="background1"/>
                <w:sz w:val="22"/>
                <w:szCs w:val="22"/>
                <w:rtl/>
              </w:rPr>
              <w:t>יישובים</w:t>
            </w:r>
            <w:r w:rsidRPr="0068064A">
              <w:rPr>
                <w:color w:val="FFFFFF" w:themeColor="background1"/>
                <w:sz w:val="22"/>
                <w:szCs w:val="22"/>
                <w:rtl/>
              </w:rPr>
              <w:t xml:space="preserve"> </w:t>
            </w:r>
            <w:r w:rsidRPr="0068064A">
              <w:rPr>
                <w:rFonts w:hint="cs"/>
                <w:color w:val="FFFFFF" w:themeColor="background1"/>
                <w:sz w:val="22"/>
                <w:szCs w:val="22"/>
                <w:rtl/>
              </w:rPr>
              <w:t>מעורבים</w:t>
            </w:r>
          </w:p>
        </w:tc>
        <w:tc>
          <w:tcPr>
            <w:tcW w:w="1562" w:type="dxa"/>
            <w:gridSpan w:val="2"/>
            <w:tcBorders>
              <w:top w:val="single" w:sz="8" w:space="0" w:color="000000"/>
              <w:left w:val="single" w:sz="4" w:space="0" w:color="000000"/>
              <w:bottom w:val="single" w:sz="4" w:space="0" w:color="000000"/>
              <w:right w:val="single" w:sz="4" w:space="0" w:color="000000"/>
            </w:tcBorders>
            <w:shd w:val="clear" w:color="auto" w:fill="4F81BD" w:themeFill="accent1"/>
          </w:tcPr>
          <w:p w:rsidR="002D2CA9" w:rsidRPr="0068064A" w:rsidRDefault="002D2CA9" w:rsidP="0068064A">
            <w:pPr>
              <w:spacing w:after="120"/>
              <w:contextualSpacing/>
              <w:jc w:val="center"/>
              <w:rPr>
                <w:color w:val="FFFFFF" w:themeColor="background1"/>
                <w:sz w:val="22"/>
                <w:szCs w:val="22"/>
                <w:rtl/>
              </w:rPr>
            </w:pPr>
            <w:r w:rsidRPr="0068064A">
              <w:rPr>
                <w:rFonts w:hint="cs"/>
                <w:color w:val="FFFFFF" w:themeColor="background1"/>
                <w:sz w:val="22"/>
                <w:szCs w:val="22"/>
                <w:rtl/>
              </w:rPr>
              <w:t>יישובים</w:t>
            </w:r>
            <w:r w:rsidRPr="0068064A">
              <w:rPr>
                <w:color w:val="FFFFFF" w:themeColor="background1"/>
                <w:sz w:val="22"/>
                <w:szCs w:val="22"/>
                <w:rtl/>
              </w:rPr>
              <w:t xml:space="preserve"> </w:t>
            </w:r>
            <w:r w:rsidRPr="0068064A">
              <w:rPr>
                <w:rFonts w:hint="cs"/>
                <w:color w:val="FFFFFF" w:themeColor="background1"/>
                <w:sz w:val="22"/>
                <w:szCs w:val="22"/>
                <w:rtl/>
              </w:rPr>
              <w:t>שאינם</w:t>
            </w:r>
            <w:r w:rsidRPr="0068064A">
              <w:rPr>
                <w:color w:val="FFFFFF" w:themeColor="background1"/>
                <w:sz w:val="22"/>
                <w:szCs w:val="22"/>
                <w:rtl/>
              </w:rPr>
              <w:t xml:space="preserve"> </w:t>
            </w:r>
            <w:r w:rsidRPr="0068064A">
              <w:rPr>
                <w:rFonts w:hint="cs"/>
                <w:color w:val="FFFFFF" w:themeColor="background1"/>
                <w:sz w:val="22"/>
                <w:szCs w:val="22"/>
                <w:rtl/>
              </w:rPr>
              <w:t>מעורבים</w:t>
            </w:r>
          </w:p>
        </w:tc>
      </w:tr>
      <w:tr w:rsidR="00AE16B2" w:rsidRPr="0068064A" w:rsidTr="00E33735">
        <w:trPr>
          <w:trHeight w:val="182"/>
          <w:jc w:val="center"/>
        </w:trPr>
        <w:tc>
          <w:tcPr>
            <w:tcW w:w="4334" w:type="dxa"/>
            <w:tcBorders>
              <w:top w:val="single" w:sz="8" w:space="0" w:color="000000"/>
              <w:left w:val="single" w:sz="4" w:space="0" w:color="000000"/>
              <w:bottom w:val="single" w:sz="4" w:space="0" w:color="000000"/>
              <w:right w:val="single" w:sz="8" w:space="0" w:color="000000"/>
            </w:tcBorders>
            <w:shd w:val="clear" w:color="auto" w:fill="4F81BD" w:themeFill="accent1"/>
            <w:tcMar>
              <w:top w:w="15" w:type="dxa"/>
              <w:left w:w="15" w:type="dxa"/>
              <w:bottom w:w="0" w:type="dxa"/>
              <w:right w:w="15" w:type="dxa"/>
            </w:tcMar>
            <w:vAlign w:val="center"/>
            <w:hideMark/>
          </w:tcPr>
          <w:p w:rsidR="00AE16B2" w:rsidRPr="0068064A" w:rsidRDefault="00AE16B2" w:rsidP="0068064A">
            <w:pPr>
              <w:spacing w:after="120"/>
              <w:contextualSpacing/>
              <w:jc w:val="center"/>
              <w:rPr>
                <w:color w:val="FFFFFF" w:themeColor="background1"/>
                <w:sz w:val="22"/>
                <w:szCs w:val="22"/>
              </w:rPr>
            </w:pPr>
          </w:p>
        </w:tc>
        <w:tc>
          <w:tcPr>
            <w:tcW w:w="781" w:type="dxa"/>
            <w:tcBorders>
              <w:top w:val="single" w:sz="8" w:space="0" w:color="000000"/>
              <w:left w:val="single" w:sz="4" w:space="0" w:color="000000"/>
              <w:bottom w:val="single" w:sz="4" w:space="0" w:color="000000"/>
              <w:right w:val="single" w:sz="4" w:space="0" w:color="000000"/>
            </w:tcBorders>
            <w:shd w:val="clear" w:color="auto" w:fill="4F81BD" w:themeFill="accent1"/>
            <w:tcMar>
              <w:top w:w="15" w:type="dxa"/>
              <w:left w:w="15" w:type="dxa"/>
              <w:bottom w:w="0" w:type="dxa"/>
              <w:right w:w="15" w:type="dxa"/>
            </w:tcMar>
            <w:vAlign w:val="center"/>
            <w:hideMark/>
          </w:tcPr>
          <w:p w:rsidR="00AE16B2" w:rsidRPr="0068064A" w:rsidRDefault="00AE16B2" w:rsidP="0068064A">
            <w:pPr>
              <w:spacing w:after="120"/>
              <w:contextualSpacing/>
              <w:jc w:val="center"/>
              <w:rPr>
                <w:color w:val="FFFFFF" w:themeColor="background1"/>
                <w:sz w:val="22"/>
                <w:szCs w:val="22"/>
              </w:rPr>
            </w:pPr>
            <w:r w:rsidRPr="0068064A">
              <w:rPr>
                <w:rFonts w:hint="cs"/>
                <w:color w:val="FFFFFF" w:themeColor="background1"/>
                <w:sz w:val="22"/>
                <w:szCs w:val="22"/>
                <w:rtl/>
              </w:rPr>
              <w:t>יהודים</w:t>
            </w:r>
          </w:p>
        </w:tc>
        <w:tc>
          <w:tcPr>
            <w:tcW w:w="781" w:type="dxa"/>
            <w:tcBorders>
              <w:top w:val="single" w:sz="8" w:space="0" w:color="000000"/>
              <w:left w:val="single" w:sz="8" w:space="0" w:color="000000"/>
              <w:bottom w:val="single" w:sz="4" w:space="0" w:color="000000"/>
              <w:right w:val="single" w:sz="4" w:space="0" w:color="000000"/>
            </w:tcBorders>
            <w:shd w:val="clear" w:color="auto" w:fill="4F81BD" w:themeFill="accent1"/>
            <w:tcMar>
              <w:top w:w="15" w:type="dxa"/>
              <w:left w:w="15" w:type="dxa"/>
              <w:bottom w:w="0" w:type="dxa"/>
              <w:right w:w="15" w:type="dxa"/>
            </w:tcMar>
            <w:vAlign w:val="center"/>
            <w:hideMark/>
          </w:tcPr>
          <w:p w:rsidR="00AE16B2" w:rsidRPr="0068064A" w:rsidRDefault="00AE16B2" w:rsidP="0068064A">
            <w:pPr>
              <w:spacing w:after="120"/>
              <w:contextualSpacing/>
              <w:jc w:val="center"/>
              <w:rPr>
                <w:color w:val="FFFFFF" w:themeColor="background1"/>
                <w:sz w:val="22"/>
                <w:szCs w:val="22"/>
              </w:rPr>
            </w:pPr>
            <w:r w:rsidRPr="0068064A">
              <w:rPr>
                <w:rFonts w:hint="cs"/>
                <w:color w:val="FFFFFF" w:themeColor="background1"/>
                <w:sz w:val="22"/>
                <w:szCs w:val="22"/>
                <w:rtl/>
              </w:rPr>
              <w:t>ערבים</w:t>
            </w:r>
          </w:p>
        </w:tc>
        <w:tc>
          <w:tcPr>
            <w:tcW w:w="781" w:type="dxa"/>
            <w:tcBorders>
              <w:top w:val="single" w:sz="8" w:space="0" w:color="000000"/>
              <w:left w:val="single" w:sz="8" w:space="0" w:color="000000"/>
              <w:bottom w:val="single" w:sz="4" w:space="0" w:color="000000"/>
              <w:right w:val="single" w:sz="4" w:space="0" w:color="000000"/>
            </w:tcBorders>
            <w:shd w:val="clear" w:color="auto" w:fill="4F81BD" w:themeFill="accent1"/>
            <w:vAlign w:val="center"/>
          </w:tcPr>
          <w:p w:rsidR="00AE16B2" w:rsidRPr="0068064A" w:rsidRDefault="00AE16B2" w:rsidP="0068064A">
            <w:pPr>
              <w:spacing w:after="120"/>
              <w:contextualSpacing/>
              <w:jc w:val="center"/>
              <w:rPr>
                <w:color w:val="FFFFFF" w:themeColor="background1"/>
                <w:sz w:val="22"/>
                <w:szCs w:val="22"/>
                <w:rtl/>
              </w:rPr>
            </w:pPr>
            <w:r w:rsidRPr="0068064A">
              <w:rPr>
                <w:rFonts w:hint="cs"/>
                <w:color w:val="FFFFFF" w:themeColor="background1"/>
                <w:sz w:val="22"/>
                <w:szCs w:val="22"/>
                <w:rtl/>
              </w:rPr>
              <w:t>יהודים</w:t>
            </w:r>
          </w:p>
        </w:tc>
        <w:tc>
          <w:tcPr>
            <w:tcW w:w="781" w:type="dxa"/>
            <w:tcBorders>
              <w:top w:val="single" w:sz="8" w:space="0" w:color="000000"/>
              <w:left w:val="single" w:sz="8" w:space="0" w:color="000000"/>
              <w:bottom w:val="single" w:sz="4" w:space="0" w:color="000000"/>
              <w:right w:val="single" w:sz="4" w:space="0" w:color="000000"/>
            </w:tcBorders>
            <w:shd w:val="clear" w:color="auto" w:fill="4F81BD" w:themeFill="accent1"/>
            <w:vAlign w:val="center"/>
          </w:tcPr>
          <w:p w:rsidR="00AE16B2" w:rsidRPr="0068064A" w:rsidRDefault="00AE16B2" w:rsidP="0068064A">
            <w:pPr>
              <w:spacing w:after="120"/>
              <w:contextualSpacing/>
              <w:jc w:val="center"/>
              <w:rPr>
                <w:color w:val="FFFFFF" w:themeColor="background1"/>
                <w:sz w:val="22"/>
                <w:szCs w:val="22"/>
                <w:rtl/>
              </w:rPr>
            </w:pPr>
            <w:r w:rsidRPr="0068064A">
              <w:rPr>
                <w:rFonts w:hint="cs"/>
                <w:color w:val="FFFFFF" w:themeColor="background1"/>
                <w:sz w:val="22"/>
                <w:szCs w:val="22"/>
                <w:rtl/>
              </w:rPr>
              <w:t>ערבים</w:t>
            </w:r>
          </w:p>
        </w:tc>
      </w:tr>
      <w:tr w:rsidR="009B3E9E" w:rsidRPr="0068064A" w:rsidTr="004165A8">
        <w:trPr>
          <w:trHeight w:val="182"/>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tl/>
              </w:rPr>
            </w:pPr>
            <w:r w:rsidRPr="0068064A">
              <w:rPr>
                <w:rFonts w:hint="cs"/>
                <w:sz w:val="22"/>
                <w:szCs w:val="22"/>
                <w:rtl/>
              </w:rPr>
              <w:t>שיעור</w:t>
            </w:r>
            <w:r w:rsidRPr="0068064A">
              <w:rPr>
                <w:sz w:val="22"/>
                <w:szCs w:val="22"/>
                <w:rtl/>
              </w:rPr>
              <w:t xml:space="preserve"> </w:t>
            </w:r>
            <w:r w:rsidRPr="0068064A">
              <w:rPr>
                <w:rFonts w:hint="cs"/>
                <w:sz w:val="22"/>
                <w:szCs w:val="22"/>
                <w:rtl/>
              </w:rPr>
              <w:t>מימון</w:t>
            </w:r>
            <w:r w:rsidRPr="0068064A">
              <w:rPr>
                <w:sz w:val="22"/>
                <w:szCs w:val="22"/>
                <w:rtl/>
              </w:rPr>
              <w:t xml:space="preserve"> </w:t>
            </w:r>
            <w:r w:rsidRPr="0068064A">
              <w:rPr>
                <w:rFonts w:hint="cs"/>
                <w:sz w:val="22"/>
                <w:szCs w:val="22"/>
                <w:rtl/>
              </w:rPr>
              <w:t>ביחס</w:t>
            </w:r>
            <w:r w:rsidRPr="0068064A">
              <w:rPr>
                <w:sz w:val="22"/>
                <w:szCs w:val="22"/>
                <w:rtl/>
              </w:rPr>
              <w:t xml:space="preserve"> </w:t>
            </w:r>
            <w:r w:rsidRPr="0068064A">
              <w:rPr>
                <w:rFonts w:hint="cs"/>
                <w:sz w:val="22"/>
                <w:szCs w:val="22"/>
                <w:rtl/>
              </w:rPr>
              <w:t>לשווי</w:t>
            </w:r>
            <w:r w:rsidRPr="0068064A">
              <w:rPr>
                <w:sz w:val="22"/>
                <w:szCs w:val="22"/>
                <w:rtl/>
              </w:rPr>
              <w:t xml:space="preserve"> </w:t>
            </w:r>
            <w:r w:rsidRPr="0068064A">
              <w:rPr>
                <w:rFonts w:hint="cs"/>
                <w:sz w:val="22"/>
                <w:szCs w:val="22"/>
                <w:rtl/>
              </w:rPr>
              <w:t>הנכס</w:t>
            </w:r>
            <w:r w:rsidRPr="0068064A">
              <w:rPr>
                <w:sz w:val="22"/>
                <w:szCs w:val="22"/>
                <w:rtl/>
              </w:rPr>
              <w:t xml:space="preserve"> (</w:t>
            </w:r>
            <w:r w:rsidRPr="0068064A">
              <w:rPr>
                <w:sz w:val="22"/>
                <w:szCs w:val="22"/>
              </w:rPr>
              <w:t>LTV</w:t>
            </w:r>
            <w:r w:rsidRPr="0068064A">
              <w:rPr>
                <w:sz w:val="22"/>
                <w:szCs w:val="22"/>
                <w:rtl/>
              </w:rPr>
              <w:t>)</w:t>
            </w:r>
          </w:p>
        </w:tc>
        <w:tc>
          <w:tcPr>
            <w:tcW w:w="781" w:type="dxa"/>
            <w:tcBorders>
              <w:top w:val="single" w:sz="4" w:space="0" w:color="000000"/>
              <w:left w:val="single" w:sz="4"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47%</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56%</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47%</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43%</w:t>
            </w:r>
          </w:p>
        </w:tc>
      </w:tr>
      <w:tr w:rsidR="009B3E9E" w:rsidRPr="0068064A" w:rsidTr="004165A8">
        <w:trPr>
          <w:trHeight w:val="182"/>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tl/>
              </w:rPr>
            </w:pPr>
            <w:r w:rsidRPr="0068064A">
              <w:rPr>
                <w:rFonts w:hint="cs"/>
                <w:sz w:val="22"/>
                <w:szCs w:val="22"/>
                <w:rtl/>
              </w:rPr>
              <w:t>שיעור</w:t>
            </w:r>
            <w:r w:rsidRPr="0068064A">
              <w:rPr>
                <w:sz w:val="22"/>
                <w:szCs w:val="22"/>
                <w:rtl/>
              </w:rPr>
              <w:t xml:space="preserve"> </w:t>
            </w:r>
            <w:r w:rsidRPr="0068064A">
              <w:rPr>
                <w:rFonts w:hint="cs"/>
                <w:sz w:val="22"/>
                <w:szCs w:val="22"/>
                <w:rtl/>
              </w:rPr>
              <w:t>החזר</w:t>
            </w:r>
            <w:r w:rsidRPr="0068064A">
              <w:rPr>
                <w:sz w:val="22"/>
                <w:szCs w:val="22"/>
                <w:rtl/>
              </w:rPr>
              <w:t xml:space="preserve"> </w:t>
            </w:r>
            <w:r w:rsidRPr="0068064A">
              <w:rPr>
                <w:rFonts w:hint="cs"/>
                <w:sz w:val="22"/>
                <w:szCs w:val="22"/>
                <w:rtl/>
              </w:rPr>
              <w:t>המשכנתא</w:t>
            </w:r>
            <w:r w:rsidRPr="0068064A">
              <w:rPr>
                <w:sz w:val="22"/>
                <w:szCs w:val="22"/>
                <w:rtl/>
              </w:rPr>
              <w:t xml:space="preserve"> </w:t>
            </w:r>
            <w:r w:rsidRPr="0068064A">
              <w:rPr>
                <w:rFonts w:hint="cs"/>
                <w:sz w:val="22"/>
                <w:szCs w:val="22"/>
                <w:rtl/>
              </w:rPr>
              <w:t>מההכנסה</w:t>
            </w:r>
            <w:r w:rsidRPr="0068064A">
              <w:rPr>
                <w:sz w:val="22"/>
                <w:szCs w:val="22"/>
                <w:rtl/>
              </w:rPr>
              <w:t xml:space="preserve"> (</w:t>
            </w:r>
            <w:r w:rsidRPr="0068064A">
              <w:rPr>
                <w:sz w:val="22"/>
                <w:szCs w:val="22"/>
              </w:rPr>
              <w:t>PTI</w:t>
            </w:r>
            <w:r w:rsidRPr="0068064A">
              <w:rPr>
                <w:sz w:val="22"/>
                <w:szCs w:val="22"/>
                <w:rtl/>
              </w:rPr>
              <w:t>)</w:t>
            </w:r>
          </w:p>
        </w:tc>
        <w:tc>
          <w:tcPr>
            <w:tcW w:w="781" w:type="dxa"/>
            <w:tcBorders>
              <w:top w:val="single" w:sz="4" w:space="0" w:color="000000"/>
              <w:left w:val="single" w:sz="4"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29%</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27%</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28%</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25%</w:t>
            </w:r>
          </w:p>
        </w:tc>
      </w:tr>
      <w:tr w:rsidR="009B3E9E" w:rsidRPr="0068064A" w:rsidTr="004165A8">
        <w:trPr>
          <w:trHeight w:val="182"/>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Pr>
            </w:pPr>
            <w:r w:rsidRPr="0068064A">
              <w:rPr>
                <w:rFonts w:hint="cs"/>
                <w:sz w:val="22"/>
                <w:szCs w:val="22"/>
                <w:rtl/>
              </w:rPr>
              <w:t>תקופה</w:t>
            </w:r>
            <w:r w:rsidRPr="0068064A">
              <w:rPr>
                <w:sz w:val="22"/>
                <w:szCs w:val="22"/>
                <w:rtl/>
              </w:rPr>
              <w:t xml:space="preserve"> </w:t>
            </w:r>
            <w:r w:rsidRPr="0068064A">
              <w:rPr>
                <w:rFonts w:hint="cs"/>
                <w:sz w:val="22"/>
                <w:szCs w:val="22"/>
                <w:rtl/>
              </w:rPr>
              <w:t>לפירעון</w:t>
            </w:r>
            <w:r w:rsidRPr="0068064A">
              <w:rPr>
                <w:sz w:val="22"/>
                <w:szCs w:val="22"/>
                <w:rtl/>
              </w:rPr>
              <w:t xml:space="preserve"> </w:t>
            </w:r>
            <w:r w:rsidRPr="0068064A">
              <w:rPr>
                <w:rFonts w:hint="cs"/>
                <w:sz w:val="22"/>
                <w:szCs w:val="22"/>
                <w:rtl/>
              </w:rPr>
              <w:t>של</w:t>
            </w:r>
            <w:r w:rsidRPr="0068064A">
              <w:rPr>
                <w:sz w:val="22"/>
                <w:szCs w:val="22"/>
                <w:rtl/>
              </w:rPr>
              <w:t xml:space="preserve"> </w:t>
            </w:r>
            <w:r w:rsidRPr="0068064A">
              <w:rPr>
                <w:rFonts w:hint="cs"/>
                <w:sz w:val="22"/>
                <w:szCs w:val="22"/>
                <w:rtl/>
              </w:rPr>
              <w:t>המשכנתא</w:t>
            </w:r>
            <w:r w:rsidRPr="0068064A">
              <w:rPr>
                <w:sz w:val="22"/>
                <w:szCs w:val="22"/>
                <w:rtl/>
              </w:rPr>
              <w:t xml:space="preserve">, </w:t>
            </w:r>
            <w:r w:rsidRPr="0068064A">
              <w:rPr>
                <w:rFonts w:hint="cs"/>
                <w:sz w:val="22"/>
                <w:szCs w:val="22"/>
                <w:rtl/>
              </w:rPr>
              <w:t>שנים</w:t>
            </w:r>
          </w:p>
        </w:tc>
        <w:tc>
          <w:tcPr>
            <w:tcW w:w="781" w:type="dxa"/>
            <w:tcBorders>
              <w:top w:val="single" w:sz="4" w:space="0" w:color="000000"/>
              <w:left w:val="single" w:sz="4"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17.5</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18.6</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18.1</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19.4</w:t>
            </w:r>
          </w:p>
        </w:tc>
      </w:tr>
      <w:tr w:rsidR="009B3E9E" w:rsidRPr="0068064A" w:rsidTr="004165A8">
        <w:trPr>
          <w:trHeight w:val="182"/>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Pr>
            </w:pPr>
            <w:r w:rsidRPr="0068064A">
              <w:rPr>
                <w:rFonts w:hint="cs"/>
                <w:sz w:val="22"/>
                <w:szCs w:val="22"/>
                <w:rtl/>
              </w:rPr>
              <w:t>הכנסת</w:t>
            </w:r>
            <w:r w:rsidRPr="0068064A">
              <w:rPr>
                <w:sz w:val="22"/>
                <w:szCs w:val="22"/>
                <w:rtl/>
              </w:rPr>
              <w:t xml:space="preserve"> </w:t>
            </w:r>
            <w:r w:rsidRPr="0068064A">
              <w:rPr>
                <w:rFonts w:hint="cs"/>
                <w:sz w:val="22"/>
                <w:szCs w:val="22"/>
                <w:rtl/>
              </w:rPr>
              <w:t>משק</w:t>
            </w:r>
            <w:r w:rsidRPr="0068064A">
              <w:rPr>
                <w:sz w:val="22"/>
                <w:szCs w:val="22"/>
                <w:rtl/>
              </w:rPr>
              <w:t xml:space="preserve"> </w:t>
            </w:r>
            <w:r w:rsidRPr="0068064A">
              <w:rPr>
                <w:rFonts w:hint="cs"/>
                <w:sz w:val="22"/>
                <w:szCs w:val="22"/>
                <w:rtl/>
              </w:rPr>
              <w:t>בית</w:t>
            </w:r>
            <w:r w:rsidRPr="0068064A">
              <w:rPr>
                <w:sz w:val="22"/>
                <w:szCs w:val="22"/>
                <w:rtl/>
              </w:rPr>
              <w:t xml:space="preserve">, </w:t>
            </w:r>
            <w:r w:rsidRPr="0068064A">
              <w:rPr>
                <w:rFonts w:hint="cs"/>
                <w:sz w:val="22"/>
                <w:szCs w:val="22"/>
                <w:rtl/>
              </w:rPr>
              <w:t>ש</w:t>
            </w:r>
            <w:r w:rsidRPr="0068064A">
              <w:rPr>
                <w:sz w:val="22"/>
                <w:szCs w:val="22"/>
                <w:rtl/>
              </w:rPr>
              <w:t>"ח</w:t>
            </w:r>
          </w:p>
        </w:tc>
        <w:tc>
          <w:tcPr>
            <w:tcW w:w="781" w:type="dxa"/>
            <w:tcBorders>
              <w:top w:val="single" w:sz="4" w:space="0" w:color="000000"/>
              <w:left w:val="single" w:sz="4"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20,140</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15,030</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17,440</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14,450</w:t>
            </w:r>
          </w:p>
        </w:tc>
      </w:tr>
      <w:tr w:rsidR="009B3E9E" w:rsidRPr="0068064A" w:rsidTr="004165A8">
        <w:trPr>
          <w:trHeight w:val="198"/>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Pr>
            </w:pPr>
            <w:r w:rsidRPr="0068064A">
              <w:rPr>
                <w:rFonts w:hint="cs"/>
                <w:sz w:val="22"/>
                <w:szCs w:val="22"/>
                <w:rtl/>
              </w:rPr>
              <w:t>שיעור</w:t>
            </w:r>
            <w:r w:rsidRPr="0068064A">
              <w:rPr>
                <w:sz w:val="22"/>
                <w:szCs w:val="22"/>
                <w:rtl/>
              </w:rPr>
              <w:t xml:space="preserve"> </w:t>
            </w:r>
            <w:r w:rsidRPr="0068064A">
              <w:rPr>
                <w:rFonts w:hint="cs"/>
                <w:sz w:val="22"/>
                <w:szCs w:val="22"/>
                <w:rtl/>
              </w:rPr>
              <w:t>בעלות</w:t>
            </w:r>
            <w:r w:rsidRPr="0068064A">
              <w:rPr>
                <w:sz w:val="22"/>
                <w:szCs w:val="22"/>
                <w:rtl/>
              </w:rPr>
              <w:t xml:space="preserve"> </w:t>
            </w:r>
            <w:r w:rsidRPr="0068064A">
              <w:rPr>
                <w:rFonts w:hint="cs"/>
                <w:sz w:val="22"/>
                <w:szCs w:val="22"/>
                <w:rtl/>
              </w:rPr>
              <w:t>על</w:t>
            </w:r>
            <w:r w:rsidRPr="0068064A">
              <w:rPr>
                <w:sz w:val="22"/>
                <w:szCs w:val="22"/>
                <w:rtl/>
              </w:rPr>
              <w:t xml:space="preserve"> </w:t>
            </w:r>
            <w:r w:rsidRPr="0068064A">
              <w:rPr>
                <w:rFonts w:hint="cs"/>
                <w:sz w:val="22"/>
                <w:szCs w:val="22"/>
                <w:rtl/>
              </w:rPr>
              <w:t>חשבון</w:t>
            </w:r>
            <w:r w:rsidRPr="0068064A">
              <w:rPr>
                <w:sz w:val="22"/>
                <w:szCs w:val="22"/>
                <w:rtl/>
              </w:rPr>
              <w:t xml:space="preserve"> </w:t>
            </w:r>
            <w:r w:rsidRPr="0068064A">
              <w:rPr>
                <w:rFonts w:hint="cs"/>
                <w:sz w:val="22"/>
                <w:szCs w:val="22"/>
                <w:rtl/>
              </w:rPr>
              <w:t>עו</w:t>
            </w:r>
            <w:r w:rsidRPr="0068064A">
              <w:rPr>
                <w:sz w:val="22"/>
                <w:szCs w:val="22"/>
                <w:rtl/>
              </w:rPr>
              <w:t xml:space="preserve">"ש </w:t>
            </w:r>
            <w:r w:rsidRPr="0068064A">
              <w:rPr>
                <w:rFonts w:hint="cs"/>
                <w:sz w:val="22"/>
                <w:szCs w:val="22"/>
                <w:rtl/>
              </w:rPr>
              <w:t>בבנק</w:t>
            </w:r>
            <w:r w:rsidRPr="0068064A">
              <w:rPr>
                <w:sz w:val="22"/>
                <w:szCs w:val="22"/>
                <w:rtl/>
              </w:rPr>
              <w:t xml:space="preserve"> </w:t>
            </w:r>
            <w:r w:rsidRPr="0068064A">
              <w:rPr>
                <w:rFonts w:hint="cs"/>
                <w:sz w:val="22"/>
                <w:szCs w:val="22"/>
                <w:rtl/>
              </w:rPr>
              <w:t>בו</w:t>
            </w:r>
            <w:r w:rsidRPr="0068064A">
              <w:rPr>
                <w:sz w:val="22"/>
                <w:szCs w:val="22"/>
                <w:rtl/>
              </w:rPr>
              <w:t xml:space="preserve"> </w:t>
            </w:r>
            <w:r w:rsidRPr="0068064A">
              <w:rPr>
                <w:rFonts w:hint="cs"/>
                <w:sz w:val="22"/>
                <w:szCs w:val="22"/>
                <w:rtl/>
              </w:rPr>
              <w:t>ניתנה</w:t>
            </w:r>
            <w:r w:rsidRPr="0068064A">
              <w:rPr>
                <w:sz w:val="22"/>
                <w:szCs w:val="22"/>
                <w:rtl/>
              </w:rPr>
              <w:t xml:space="preserve"> </w:t>
            </w:r>
            <w:r w:rsidRPr="0068064A">
              <w:rPr>
                <w:rFonts w:hint="cs"/>
                <w:sz w:val="22"/>
                <w:szCs w:val="22"/>
                <w:rtl/>
              </w:rPr>
              <w:t>המשכנתא</w:t>
            </w:r>
          </w:p>
        </w:tc>
        <w:tc>
          <w:tcPr>
            <w:tcW w:w="781" w:type="dxa"/>
            <w:tcBorders>
              <w:top w:val="single" w:sz="4" w:space="0" w:color="000000"/>
              <w:left w:val="single" w:sz="4"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79%</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70%</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82%</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highlight w:val="yellow"/>
                <w:rtl/>
              </w:rPr>
            </w:pPr>
            <w:r w:rsidRPr="0068064A">
              <w:rPr>
                <w:color w:val="FFFFFF" w:themeColor="background1"/>
                <w:sz w:val="22"/>
                <w:szCs w:val="22"/>
                <w:rtl/>
              </w:rPr>
              <w:t>42%</w:t>
            </w:r>
          </w:p>
        </w:tc>
      </w:tr>
      <w:tr w:rsidR="009B3E9E" w:rsidRPr="0068064A" w:rsidTr="004165A8">
        <w:trPr>
          <w:trHeight w:val="182"/>
          <w:jc w:val="center"/>
        </w:trPr>
        <w:tc>
          <w:tcPr>
            <w:tcW w:w="433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rsidR="009B3E9E" w:rsidRPr="0068064A" w:rsidRDefault="009B3E9E" w:rsidP="0068064A">
            <w:pPr>
              <w:spacing w:after="120"/>
              <w:contextualSpacing/>
              <w:jc w:val="center"/>
              <w:rPr>
                <w:sz w:val="22"/>
                <w:szCs w:val="22"/>
              </w:rPr>
            </w:pPr>
            <w:r w:rsidRPr="0068064A">
              <w:rPr>
                <w:rFonts w:hint="cs"/>
                <w:sz w:val="22"/>
                <w:szCs w:val="22"/>
                <w:rtl/>
              </w:rPr>
              <w:t>אשכול</w:t>
            </w:r>
            <w:r w:rsidRPr="0068064A">
              <w:rPr>
                <w:sz w:val="22"/>
                <w:szCs w:val="22"/>
                <w:rtl/>
              </w:rPr>
              <w:t xml:space="preserve"> </w:t>
            </w:r>
            <w:r w:rsidRPr="0068064A">
              <w:rPr>
                <w:rFonts w:hint="cs"/>
                <w:sz w:val="22"/>
                <w:szCs w:val="22"/>
                <w:rtl/>
              </w:rPr>
              <w:t>חברתי</w:t>
            </w:r>
            <w:r w:rsidR="001B1A9C" w:rsidRPr="0068064A">
              <w:rPr>
                <w:sz w:val="22"/>
                <w:szCs w:val="22"/>
                <w:rtl/>
              </w:rPr>
              <w:t>-</w:t>
            </w:r>
            <w:r w:rsidRPr="0068064A">
              <w:rPr>
                <w:rFonts w:hint="cs"/>
                <w:sz w:val="22"/>
                <w:szCs w:val="22"/>
                <w:rtl/>
              </w:rPr>
              <w:t>כלכלי</w:t>
            </w:r>
            <w:r w:rsidRPr="0068064A">
              <w:rPr>
                <w:sz w:val="22"/>
                <w:szCs w:val="22"/>
                <w:rtl/>
              </w:rPr>
              <w:t xml:space="preserve"> </w:t>
            </w:r>
            <w:r w:rsidRPr="0068064A">
              <w:rPr>
                <w:rFonts w:hint="cs"/>
                <w:sz w:val="22"/>
                <w:szCs w:val="22"/>
                <w:rtl/>
              </w:rPr>
              <w:t>של</w:t>
            </w:r>
            <w:r w:rsidRPr="0068064A">
              <w:rPr>
                <w:sz w:val="22"/>
                <w:szCs w:val="22"/>
                <w:rtl/>
              </w:rPr>
              <w:t xml:space="preserve"> </w:t>
            </w:r>
            <w:r w:rsidRPr="0068064A">
              <w:rPr>
                <w:rFonts w:hint="cs"/>
                <w:sz w:val="22"/>
                <w:szCs w:val="22"/>
                <w:rtl/>
              </w:rPr>
              <w:t>היישוב</w:t>
            </w:r>
            <w:r w:rsidR="00D96D97" w:rsidRPr="0068064A">
              <w:rPr>
                <w:rStyle w:val="ad"/>
                <w:sz w:val="22"/>
                <w:szCs w:val="22"/>
                <w:rtl/>
              </w:rPr>
              <w:footnoteReference w:id="12"/>
            </w:r>
          </w:p>
        </w:tc>
        <w:tc>
          <w:tcPr>
            <w:tcW w:w="781" w:type="dxa"/>
            <w:tcBorders>
              <w:top w:val="single" w:sz="4" w:space="0" w:color="000000"/>
              <w:left w:val="single" w:sz="4" w:space="0" w:color="000000"/>
              <w:bottom w:val="single" w:sz="4" w:space="0" w:color="000000"/>
              <w:right w:val="single" w:sz="4" w:space="0" w:color="000000"/>
            </w:tcBorders>
            <w:shd w:val="clear" w:color="auto" w:fill="9BBB59" w:themeFill="accent3"/>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5.8</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tcMar>
              <w:top w:w="15" w:type="dxa"/>
              <w:left w:w="15" w:type="dxa"/>
              <w:bottom w:w="0" w:type="dxa"/>
              <w:right w:w="15" w:type="dxa"/>
            </w:tcMar>
            <w:vAlign w:val="center"/>
            <w:hideMark/>
          </w:tcPr>
          <w:p w:rsidR="009B3E9E" w:rsidRPr="0068064A" w:rsidRDefault="009B3E9E" w:rsidP="0068064A">
            <w:pPr>
              <w:spacing w:after="120"/>
              <w:contextualSpacing/>
              <w:jc w:val="center"/>
              <w:rPr>
                <w:color w:val="FFFFFF" w:themeColor="background1"/>
                <w:sz w:val="22"/>
                <w:szCs w:val="22"/>
              </w:rPr>
            </w:pPr>
            <w:r w:rsidRPr="0068064A">
              <w:rPr>
                <w:color w:val="FFFFFF" w:themeColor="background1"/>
                <w:sz w:val="22"/>
                <w:szCs w:val="22"/>
                <w:rtl/>
              </w:rPr>
              <w:t>5.6</w:t>
            </w:r>
          </w:p>
        </w:tc>
        <w:tc>
          <w:tcPr>
            <w:tcW w:w="781" w:type="dxa"/>
            <w:tcBorders>
              <w:top w:val="single" w:sz="4" w:space="0" w:color="000000"/>
              <w:left w:val="single" w:sz="8" w:space="0" w:color="000000"/>
              <w:bottom w:val="single" w:sz="4" w:space="0" w:color="000000"/>
              <w:right w:val="single" w:sz="4" w:space="0" w:color="000000"/>
            </w:tcBorders>
            <w:shd w:val="clear" w:color="auto" w:fill="9BBB59" w:themeFill="accent3"/>
            <w:vAlign w:val="center"/>
          </w:tcPr>
          <w:p w:rsidR="009B3E9E" w:rsidRPr="0068064A" w:rsidRDefault="009B3E9E" w:rsidP="0068064A">
            <w:pPr>
              <w:spacing w:after="120"/>
              <w:contextualSpacing/>
              <w:jc w:val="center"/>
              <w:rPr>
                <w:color w:val="FFFFFF" w:themeColor="background1"/>
                <w:sz w:val="22"/>
                <w:szCs w:val="22"/>
                <w:rtl/>
              </w:rPr>
            </w:pPr>
            <w:r w:rsidRPr="0068064A">
              <w:rPr>
                <w:color w:val="FFFFFF" w:themeColor="background1"/>
                <w:sz w:val="22"/>
                <w:szCs w:val="22"/>
                <w:rtl/>
              </w:rPr>
              <w:t>5.7</w:t>
            </w:r>
          </w:p>
        </w:tc>
        <w:tc>
          <w:tcPr>
            <w:tcW w:w="781" w:type="dxa"/>
            <w:tcBorders>
              <w:top w:val="single" w:sz="4" w:space="0" w:color="000000"/>
              <w:left w:val="single" w:sz="8" w:space="0" w:color="000000"/>
              <w:bottom w:val="single" w:sz="4" w:space="0" w:color="000000"/>
              <w:right w:val="single" w:sz="4" w:space="0" w:color="000000"/>
            </w:tcBorders>
            <w:shd w:val="clear" w:color="auto" w:fill="C0504D" w:themeFill="accent2"/>
            <w:vAlign w:val="center"/>
          </w:tcPr>
          <w:p w:rsidR="009B3E9E" w:rsidRPr="0068064A" w:rsidRDefault="009B3E9E" w:rsidP="0068064A">
            <w:pPr>
              <w:spacing w:after="120"/>
              <w:contextualSpacing/>
              <w:jc w:val="center"/>
              <w:rPr>
                <w:color w:val="FFFFFF" w:themeColor="background1"/>
                <w:sz w:val="22"/>
                <w:szCs w:val="22"/>
                <w:rtl/>
              </w:rPr>
            </w:pPr>
            <w:r w:rsidRPr="0068064A">
              <w:rPr>
                <w:color w:val="FFFFFF" w:themeColor="background1"/>
                <w:sz w:val="22"/>
                <w:szCs w:val="22"/>
                <w:rtl/>
              </w:rPr>
              <w:t>3.1</w:t>
            </w:r>
          </w:p>
        </w:tc>
      </w:tr>
    </w:tbl>
    <w:p w:rsidR="00BE35AE" w:rsidRDefault="00BE35AE" w:rsidP="0068064A">
      <w:pPr>
        <w:rPr>
          <w:rFonts w:hint="cs"/>
          <w:rtl/>
        </w:rPr>
      </w:pPr>
    </w:p>
    <w:p w:rsidR="00013079" w:rsidRPr="00BE35AE" w:rsidRDefault="00AA5CC2" w:rsidP="00BE35AE">
      <w:pPr>
        <w:rPr>
          <w:rtl/>
        </w:rPr>
      </w:pPr>
      <w:r w:rsidRPr="00BE35AE">
        <w:rPr>
          <w:rFonts w:hint="cs"/>
          <w:rtl/>
        </w:rPr>
        <w:t xml:space="preserve">מדד המסומן באדום הנו מדד שמעלה את סיכון </w:t>
      </w:r>
      <w:r w:rsidR="00B142C7" w:rsidRPr="00BE35AE">
        <w:rPr>
          <w:rFonts w:hint="cs"/>
          <w:rtl/>
        </w:rPr>
        <w:t>ההלוואה</w:t>
      </w:r>
      <w:r w:rsidRPr="00BE35AE">
        <w:rPr>
          <w:rFonts w:hint="cs"/>
          <w:rtl/>
        </w:rPr>
        <w:t xml:space="preserve">, ואילו מדד המסומן בירוק </w:t>
      </w:r>
      <w:r w:rsidRPr="00BE35AE">
        <w:rPr>
          <w:rtl/>
        </w:rPr>
        <w:t>–</w:t>
      </w:r>
      <w:r w:rsidRPr="00BE35AE">
        <w:rPr>
          <w:rFonts w:hint="cs"/>
          <w:rtl/>
        </w:rPr>
        <w:t xml:space="preserve"> מוריד את סיכון </w:t>
      </w:r>
      <w:r w:rsidR="00B142C7" w:rsidRPr="00BE35AE">
        <w:rPr>
          <w:rFonts w:hint="cs"/>
          <w:rtl/>
        </w:rPr>
        <w:t>ההלוואה</w:t>
      </w:r>
      <w:r w:rsidRPr="00BE35AE">
        <w:rPr>
          <w:rFonts w:hint="cs"/>
          <w:rtl/>
        </w:rPr>
        <w:t>.</w:t>
      </w:r>
    </w:p>
    <w:p w:rsidR="00AA5CC2" w:rsidRPr="0068064A" w:rsidRDefault="00AA5CC2" w:rsidP="0068064A">
      <w:pPr>
        <w:rPr>
          <w:rtl/>
        </w:rPr>
      </w:pPr>
    </w:p>
    <w:p w:rsidR="00AC6FF8" w:rsidRPr="0068064A" w:rsidRDefault="00224443" w:rsidP="007027B3">
      <w:pPr>
        <w:pStyle w:val="2"/>
        <w:rPr>
          <w:rtl/>
        </w:rPr>
      </w:pPr>
      <w:r w:rsidRPr="0068064A">
        <w:rPr>
          <w:rFonts w:hint="cs"/>
          <w:rtl/>
        </w:rPr>
        <w:t xml:space="preserve">הסברים אפשריים לפערים </w:t>
      </w:r>
      <w:r w:rsidR="002C55E9" w:rsidRPr="0068064A">
        <w:rPr>
          <w:rFonts w:hint="cs"/>
          <w:rtl/>
        </w:rPr>
        <w:t xml:space="preserve">בנגישות למשכנתא </w:t>
      </w:r>
      <w:r w:rsidR="006D024D" w:rsidRPr="0068064A">
        <w:rPr>
          <w:rFonts w:hint="cs"/>
          <w:rtl/>
        </w:rPr>
        <w:t>עבור</w:t>
      </w:r>
      <w:r w:rsidRPr="0068064A">
        <w:rPr>
          <w:rFonts w:hint="cs"/>
          <w:rtl/>
        </w:rPr>
        <w:t xml:space="preserve"> </w:t>
      </w:r>
      <w:r w:rsidR="006D024D" w:rsidRPr="0068064A">
        <w:rPr>
          <w:rFonts w:hint="cs"/>
          <w:rtl/>
        </w:rPr>
        <w:t>נכסים ב</w:t>
      </w:r>
      <w:r w:rsidRPr="0068064A">
        <w:rPr>
          <w:rFonts w:hint="cs"/>
          <w:rtl/>
        </w:rPr>
        <w:t xml:space="preserve">יישובים יהודיים </w:t>
      </w:r>
      <w:r w:rsidR="002C55E9" w:rsidRPr="0068064A">
        <w:rPr>
          <w:rFonts w:hint="cs"/>
          <w:rtl/>
        </w:rPr>
        <w:t xml:space="preserve">לעומת </w:t>
      </w:r>
      <w:r w:rsidRPr="0068064A">
        <w:rPr>
          <w:rFonts w:hint="cs"/>
          <w:rtl/>
        </w:rPr>
        <w:t>יישובים ערביים</w:t>
      </w:r>
      <w:r w:rsidR="002F1FC4" w:rsidRPr="0068064A">
        <w:rPr>
          <w:rFonts w:hint="cs"/>
          <w:rtl/>
        </w:rPr>
        <w:t>:</w:t>
      </w:r>
    </w:p>
    <w:p w:rsidR="00974D03" w:rsidRPr="0068064A" w:rsidRDefault="00974D03" w:rsidP="0068064A">
      <w:pPr>
        <w:pStyle w:val="a0"/>
        <w:numPr>
          <w:ilvl w:val="1"/>
          <w:numId w:val="23"/>
        </w:numPr>
        <w:spacing w:after="120"/>
      </w:pPr>
      <w:r w:rsidRPr="007027B3">
        <w:rPr>
          <w:rStyle w:val="30"/>
          <w:rFonts w:hint="cs"/>
          <w:rtl/>
        </w:rPr>
        <w:t xml:space="preserve">קשיים ברישום הנכס והעמדתו כבטוחה לצורך לקיחת משכנתא ביישובים הערביים </w:t>
      </w:r>
      <w:r w:rsidRPr="0068064A">
        <w:rPr>
          <w:rtl/>
        </w:rPr>
        <w:t>–</w:t>
      </w:r>
      <w:r w:rsidRPr="0068064A">
        <w:rPr>
          <w:rFonts w:hint="cs"/>
          <w:rtl/>
        </w:rPr>
        <w:t xml:space="preserve"> חלק </w:t>
      </w:r>
      <w:r w:rsidR="009E3E8E" w:rsidRPr="0068064A">
        <w:rPr>
          <w:rFonts w:hint="cs"/>
          <w:rtl/>
        </w:rPr>
        <w:t>ניכר</w:t>
      </w:r>
      <w:r w:rsidRPr="0068064A">
        <w:rPr>
          <w:rFonts w:hint="cs"/>
          <w:rtl/>
        </w:rPr>
        <w:t xml:space="preserve"> מהנכסים ביישובים הערביים בנויים על קרקעות מושע (בעלות משותפת על מקרקעין) ללא חלוקה מסודרת לחלקות או בבעלות משפחתית. בעיה זו מקשה על הלווים להעמיד את הנכס הספציפי כבטוחה לצורך קבלת אשראי לדיור. </w:t>
      </w:r>
    </w:p>
    <w:p w:rsidR="006E3B3D" w:rsidRPr="0068064A" w:rsidRDefault="00974D03" w:rsidP="0068064A">
      <w:pPr>
        <w:pStyle w:val="a0"/>
        <w:numPr>
          <w:ilvl w:val="1"/>
          <w:numId w:val="23"/>
        </w:numPr>
        <w:spacing w:after="120"/>
      </w:pPr>
      <w:r w:rsidRPr="007027B3">
        <w:rPr>
          <w:rStyle w:val="30"/>
          <w:rFonts w:hint="cs"/>
          <w:rtl/>
        </w:rPr>
        <w:t>קשיים במימוש הנכס במקרה של חדלות פירעון הלווה</w:t>
      </w:r>
      <w:r w:rsidRPr="0068064A">
        <w:rPr>
          <w:rFonts w:hint="cs"/>
          <w:rtl/>
        </w:rPr>
        <w:t xml:space="preserve"> </w:t>
      </w:r>
      <w:r w:rsidRPr="0068064A">
        <w:rPr>
          <w:rtl/>
        </w:rPr>
        <w:t>–</w:t>
      </w:r>
      <w:r w:rsidRPr="0068064A">
        <w:rPr>
          <w:rFonts w:hint="cs"/>
          <w:rtl/>
        </w:rPr>
        <w:t xml:space="preserve"> מאפייניו הייחודיים של שוק הדיור במגזר הערבי מגבילים את יכולת המימוש של הנכס בידי הבנק במקרה של חדלות פירעון, </w:t>
      </w:r>
      <w:r w:rsidR="009E3E8E" w:rsidRPr="0068064A">
        <w:rPr>
          <w:rFonts w:hint="cs"/>
          <w:rtl/>
        </w:rPr>
        <w:t>ו</w:t>
      </w:r>
      <w:r w:rsidRPr="0068064A">
        <w:rPr>
          <w:rFonts w:hint="cs"/>
          <w:rtl/>
        </w:rPr>
        <w:t xml:space="preserve">בכך </w:t>
      </w:r>
      <w:r w:rsidR="009E3E8E" w:rsidRPr="0068064A">
        <w:rPr>
          <w:rFonts w:hint="cs"/>
          <w:rtl/>
        </w:rPr>
        <w:t>מ</w:t>
      </w:r>
      <w:r w:rsidRPr="0068064A">
        <w:rPr>
          <w:rFonts w:hint="cs"/>
          <w:rtl/>
        </w:rPr>
        <w:t>גד</w:t>
      </w:r>
      <w:r w:rsidR="009E3E8E" w:rsidRPr="0068064A">
        <w:rPr>
          <w:rFonts w:hint="cs"/>
          <w:rtl/>
        </w:rPr>
        <w:t>י</w:t>
      </w:r>
      <w:r w:rsidRPr="0068064A">
        <w:rPr>
          <w:rFonts w:hint="cs"/>
          <w:rtl/>
        </w:rPr>
        <w:t>ל</w:t>
      </w:r>
      <w:r w:rsidR="009E3E8E" w:rsidRPr="0068064A">
        <w:rPr>
          <w:rFonts w:hint="cs"/>
          <w:rtl/>
        </w:rPr>
        <w:t xml:space="preserve">ים </w:t>
      </w:r>
      <w:r w:rsidR="00516F42" w:rsidRPr="0068064A">
        <w:rPr>
          <w:rFonts w:hint="cs"/>
          <w:rtl/>
        </w:rPr>
        <w:t xml:space="preserve">באופן טבעי </w:t>
      </w:r>
      <w:r w:rsidR="009E3E8E" w:rsidRPr="0068064A">
        <w:rPr>
          <w:rFonts w:hint="cs"/>
          <w:rtl/>
        </w:rPr>
        <w:t xml:space="preserve">את </w:t>
      </w:r>
      <w:r w:rsidR="00516F42" w:rsidRPr="0068064A">
        <w:rPr>
          <w:rFonts w:hint="cs"/>
          <w:rtl/>
        </w:rPr>
        <w:t>ה</w:t>
      </w:r>
      <w:r w:rsidRPr="0068064A">
        <w:rPr>
          <w:rFonts w:hint="cs"/>
          <w:rtl/>
        </w:rPr>
        <w:t>סיכון</w:t>
      </w:r>
      <w:r w:rsidR="002F1FC4" w:rsidRPr="0068064A">
        <w:rPr>
          <w:rFonts w:hint="cs"/>
          <w:rtl/>
        </w:rPr>
        <w:t xml:space="preserve"> </w:t>
      </w:r>
      <w:r w:rsidR="00516F42" w:rsidRPr="0068064A">
        <w:rPr>
          <w:rFonts w:hint="cs"/>
          <w:rtl/>
        </w:rPr>
        <w:t>ב</w:t>
      </w:r>
      <w:r w:rsidR="002F1FC4" w:rsidRPr="0068064A">
        <w:rPr>
          <w:rFonts w:hint="cs"/>
          <w:rtl/>
        </w:rPr>
        <w:t>הלוואה.</w:t>
      </w:r>
    </w:p>
    <w:p w:rsidR="002F1FC4" w:rsidRPr="0068064A" w:rsidRDefault="00974D03" w:rsidP="0068064A">
      <w:pPr>
        <w:pStyle w:val="a0"/>
        <w:numPr>
          <w:ilvl w:val="1"/>
          <w:numId w:val="23"/>
        </w:numPr>
        <w:spacing w:after="120"/>
        <w:rPr>
          <w:rtl/>
        </w:rPr>
      </w:pPr>
      <w:r w:rsidRPr="007027B3">
        <w:rPr>
          <w:rStyle w:val="30"/>
          <w:rFonts w:hint="cs"/>
          <w:rtl/>
        </w:rPr>
        <w:t>המבנה התחרותי</w:t>
      </w:r>
      <w:r w:rsidR="0031785A" w:rsidRPr="007027B3">
        <w:rPr>
          <w:rStyle w:val="30"/>
          <w:rFonts w:hint="cs"/>
          <w:rtl/>
        </w:rPr>
        <w:t xml:space="preserve"> של תחום </w:t>
      </w:r>
      <w:r w:rsidR="00546423" w:rsidRPr="007027B3">
        <w:rPr>
          <w:rStyle w:val="30"/>
          <w:rFonts w:hint="cs"/>
          <w:rtl/>
        </w:rPr>
        <w:t xml:space="preserve">האשראי לדיור </w:t>
      </w:r>
      <w:r w:rsidR="0031785A" w:rsidRPr="007027B3">
        <w:rPr>
          <w:rStyle w:val="30"/>
          <w:rFonts w:hint="cs"/>
          <w:rtl/>
        </w:rPr>
        <w:t>במגזר הערבי</w:t>
      </w:r>
      <w:r w:rsidRPr="0068064A">
        <w:rPr>
          <w:rFonts w:hint="cs"/>
          <w:b/>
          <w:bCs/>
          <w:rtl/>
        </w:rPr>
        <w:t xml:space="preserve"> </w:t>
      </w:r>
      <w:r w:rsidRPr="0068064A">
        <w:rPr>
          <w:rtl/>
        </w:rPr>
        <w:t>–</w:t>
      </w:r>
      <w:r w:rsidR="00B93ED8" w:rsidRPr="0068064A">
        <w:rPr>
          <w:rFonts w:hint="cs"/>
          <w:rtl/>
        </w:rPr>
        <w:t xml:space="preserve"> </w:t>
      </w:r>
      <w:r w:rsidRPr="0068064A">
        <w:rPr>
          <w:rFonts w:hint="cs"/>
          <w:rtl/>
        </w:rPr>
        <w:t>הקשיים במשכון</w:t>
      </w:r>
      <w:r w:rsidR="00C57DF9" w:rsidRPr="0068064A">
        <w:rPr>
          <w:rFonts w:hint="cs"/>
          <w:rtl/>
        </w:rPr>
        <w:t xml:space="preserve"> ובמימוש </w:t>
      </w:r>
      <w:r w:rsidRPr="0068064A">
        <w:rPr>
          <w:rFonts w:hint="cs"/>
          <w:rtl/>
        </w:rPr>
        <w:t xml:space="preserve">הנכסים </w:t>
      </w:r>
      <w:r w:rsidR="0038110E" w:rsidRPr="0068064A">
        <w:rPr>
          <w:rFonts w:hint="cs"/>
          <w:rtl/>
        </w:rPr>
        <w:t>הביאו לכך שחלק מהבנקים הדירו רגליהם</w:t>
      </w:r>
      <w:r w:rsidRPr="0068064A">
        <w:rPr>
          <w:rFonts w:hint="cs"/>
          <w:rtl/>
        </w:rPr>
        <w:t xml:space="preserve"> משוק האשראי לדיור ביישובים ערביים</w:t>
      </w:r>
      <w:r w:rsidR="00CF7ABD" w:rsidRPr="0068064A">
        <w:rPr>
          <w:rFonts w:hint="cs"/>
          <w:rtl/>
        </w:rPr>
        <w:t>,</w:t>
      </w:r>
      <w:r w:rsidRPr="0068064A">
        <w:rPr>
          <w:rFonts w:hint="cs"/>
          <w:rtl/>
        </w:rPr>
        <w:t xml:space="preserve"> ו</w:t>
      </w:r>
      <w:r w:rsidR="0038110E" w:rsidRPr="0068064A">
        <w:rPr>
          <w:rFonts w:hint="cs"/>
          <w:rtl/>
        </w:rPr>
        <w:t xml:space="preserve">לכן התחרות </w:t>
      </w:r>
      <w:r w:rsidR="00C57DF9" w:rsidRPr="0068064A">
        <w:rPr>
          <w:rFonts w:hint="cs"/>
          <w:rtl/>
        </w:rPr>
        <w:t>ב</w:t>
      </w:r>
      <w:r w:rsidR="0065645C" w:rsidRPr="0068064A">
        <w:rPr>
          <w:rFonts w:hint="cs"/>
          <w:rtl/>
        </w:rPr>
        <w:t>שוק זה</w:t>
      </w:r>
      <w:r w:rsidR="00C57DF9" w:rsidRPr="0068064A">
        <w:rPr>
          <w:rFonts w:hint="cs"/>
          <w:rtl/>
        </w:rPr>
        <w:t xml:space="preserve"> </w:t>
      </w:r>
      <w:r w:rsidR="0038110E" w:rsidRPr="0068064A">
        <w:rPr>
          <w:rFonts w:hint="cs"/>
          <w:rtl/>
        </w:rPr>
        <w:t>מצומצמת</w:t>
      </w:r>
      <w:r w:rsidR="00C57DF9" w:rsidRPr="0068064A">
        <w:rPr>
          <w:rFonts w:hint="cs"/>
          <w:rtl/>
        </w:rPr>
        <w:t>.</w:t>
      </w:r>
      <w:r w:rsidR="00A21EE1" w:rsidRPr="0068064A">
        <w:rPr>
          <w:rFonts w:hint="cs"/>
          <w:rtl/>
        </w:rPr>
        <w:t xml:space="preserve"> </w:t>
      </w:r>
      <w:r w:rsidR="0065645C" w:rsidRPr="0068064A">
        <w:rPr>
          <w:rFonts w:hint="cs"/>
          <w:rtl/>
        </w:rPr>
        <w:t>בעקבות זאת,</w:t>
      </w:r>
      <w:r w:rsidR="00C57DF9" w:rsidRPr="0068064A">
        <w:rPr>
          <w:rFonts w:hint="cs"/>
          <w:rtl/>
        </w:rPr>
        <w:t xml:space="preserve"> </w:t>
      </w:r>
      <w:r w:rsidR="00A21EE1" w:rsidRPr="0068064A">
        <w:rPr>
          <w:rFonts w:hint="cs"/>
          <w:rtl/>
        </w:rPr>
        <w:t xml:space="preserve">חלק מלקוחות </w:t>
      </w:r>
      <w:r w:rsidR="0065645C" w:rsidRPr="0068064A">
        <w:rPr>
          <w:rFonts w:hint="cs"/>
          <w:rtl/>
        </w:rPr>
        <w:t>ה</w:t>
      </w:r>
      <w:r w:rsidR="00A21EE1" w:rsidRPr="0068064A">
        <w:rPr>
          <w:rFonts w:hint="cs"/>
          <w:rtl/>
        </w:rPr>
        <w:t>מגזר הערבי</w:t>
      </w:r>
      <w:r w:rsidR="0031785A" w:rsidRPr="0068064A">
        <w:rPr>
          <w:rFonts w:hint="cs"/>
          <w:rtl/>
        </w:rPr>
        <w:t xml:space="preserve"> </w:t>
      </w:r>
      <w:r w:rsidR="0065645C" w:rsidRPr="0068064A">
        <w:rPr>
          <w:rFonts w:hint="cs"/>
          <w:rtl/>
        </w:rPr>
        <w:t>נאלצים ליטול</w:t>
      </w:r>
      <w:r w:rsidR="00C57DF9" w:rsidRPr="0068064A">
        <w:rPr>
          <w:rFonts w:hint="cs"/>
          <w:rtl/>
        </w:rPr>
        <w:t xml:space="preserve"> </w:t>
      </w:r>
      <w:r w:rsidR="00A21EE1" w:rsidRPr="0068064A">
        <w:rPr>
          <w:rFonts w:hint="cs"/>
          <w:rtl/>
        </w:rPr>
        <w:t xml:space="preserve">הלוואות </w:t>
      </w:r>
      <w:r w:rsidR="00C57DF9" w:rsidRPr="0068064A">
        <w:rPr>
          <w:rFonts w:hint="cs"/>
          <w:rtl/>
        </w:rPr>
        <w:t xml:space="preserve">צרכניות כחלופה </w:t>
      </w:r>
      <w:r w:rsidR="00A21EE1" w:rsidRPr="0068064A">
        <w:rPr>
          <w:rFonts w:hint="cs"/>
          <w:rtl/>
        </w:rPr>
        <w:t>ל</w:t>
      </w:r>
      <w:r w:rsidR="00C57DF9" w:rsidRPr="0068064A">
        <w:rPr>
          <w:rFonts w:hint="cs"/>
          <w:rtl/>
        </w:rPr>
        <w:t>משכנתאות</w:t>
      </w:r>
      <w:r w:rsidR="00A21EE1" w:rsidRPr="0068064A">
        <w:rPr>
          <w:rStyle w:val="ad"/>
          <w:rtl/>
        </w:rPr>
        <w:footnoteReference w:id="13"/>
      </w:r>
      <w:r w:rsidRPr="0068064A">
        <w:rPr>
          <w:rFonts w:hint="cs"/>
          <w:rtl/>
        </w:rPr>
        <w:t xml:space="preserve">. </w:t>
      </w:r>
      <w:r w:rsidR="0065645C" w:rsidRPr="0068064A">
        <w:rPr>
          <w:rFonts w:hint="cs"/>
          <w:rtl/>
        </w:rPr>
        <w:t>מנגד</w:t>
      </w:r>
      <w:r w:rsidR="0065645C" w:rsidRPr="0068064A">
        <w:rPr>
          <w:rtl/>
        </w:rPr>
        <w:t xml:space="preserve">, </w:t>
      </w:r>
      <w:r w:rsidR="00B93ED8" w:rsidRPr="0068064A">
        <w:rPr>
          <w:rFonts w:hint="cs"/>
          <w:rtl/>
        </w:rPr>
        <w:t xml:space="preserve">בשנים </w:t>
      </w:r>
      <w:r w:rsidR="002F1FC4" w:rsidRPr="0068064A">
        <w:rPr>
          <w:rtl/>
        </w:rPr>
        <w:t xml:space="preserve">האחרונות הבנקים </w:t>
      </w:r>
      <w:r w:rsidR="00B93ED8" w:rsidRPr="0068064A">
        <w:rPr>
          <w:rFonts w:hint="cs"/>
          <w:rtl/>
        </w:rPr>
        <w:t>מרחיבים</w:t>
      </w:r>
      <w:r w:rsidR="002F1FC4" w:rsidRPr="0068064A">
        <w:rPr>
          <w:rtl/>
        </w:rPr>
        <w:t xml:space="preserve"> </w:t>
      </w:r>
      <w:r w:rsidR="00B93ED8" w:rsidRPr="0068064A">
        <w:rPr>
          <w:rFonts w:hint="cs"/>
          <w:rtl/>
        </w:rPr>
        <w:t xml:space="preserve">את </w:t>
      </w:r>
      <w:r w:rsidR="002F1FC4" w:rsidRPr="0068064A">
        <w:rPr>
          <w:rtl/>
        </w:rPr>
        <w:t>פעילות</w:t>
      </w:r>
      <w:r w:rsidR="00B93ED8" w:rsidRPr="0068064A">
        <w:rPr>
          <w:rFonts w:hint="cs"/>
          <w:rtl/>
        </w:rPr>
        <w:t>ם</w:t>
      </w:r>
      <w:r w:rsidR="00B93ED8" w:rsidRPr="0068064A">
        <w:rPr>
          <w:rtl/>
        </w:rPr>
        <w:t xml:space="preserve"> בקרב</w:t>
      </w:r>
      <w:r w:rsidR="002F1FC4" w:rsidRPr="0068064A">
        <w:rPr>
          <w:rtl/>
        </w:rPr>
        <w:t xml:space="preserve"> המג</w:t>
      </w:r>
      <w:r w:rsidR="00B93ED8" w:rsidRPr="0068064A">
        <w:rPr>
          <w:rtl/>
        </w:rPr>
        <w:t>זר הערבי</w:t>
      </w:r>
      <w:r w:rsidR="002F1FC4" w:rsidRPr="0068064A">
        <w:rPr>
          <w:rtl/>
        </w:rPr>
        <w:t xml:space="preserve"> </w:t>
      </w:r>
      <w:r w:rsidR="00B93ED8" w:rsidRPr="0068064A">
        <w:rPr>
          <w:rFonts w:hint="cs"/>
          <w:rtl/>
        </w:rPr>
        <w:t>ו</w:t>
      </w:r>
      <w:r w:rsidR="002F1FC4" w:rsidRPr="0068064A">
        <w:rPr>
          <w:rtl/>
        </w:rPr>
        <w:t>הדבר משתקף, בין היתר</w:t>
      </w:r>
      <w:r w:rsidR="002F1FC4" w:rsidRPr="0068064A">
        <w:rPr>
          <w:rFonts w:hint="cs"/>
          <w:rtl/>
        </w:rPr>
        <w:t xml:space="preserve">, </w:t>
      </w:r>
      <w:r w:rsidR="002F1FC4" w:rsidRPr="0068064A">
        <w:rPr>
          <w:rtl/>
        </w:rPr>
        <w:t xml:space="preserve">בפתיחת סניפים </w:t>
      </w:r>
      <w:r w:rsidR="006B5F84" w:rsidRPr="0068064A">
        <w:rPr>
          <w:rFonts w:hint="cs"/>
          <w:rtl/>
        </w:rPr>
        <w:t xml:space="preserve">רבים </w:t>
      </w:r>
      <w:r w:rsidR="00B93ED8" w:rsidRPr="0068064A">
        <w:rPr>
          <w:rFonts w:hint="cs"/>
          <w:rtl/>
        </w:rPr>
        <w:t>ב</w:t>
      </w:r>
      <w:r w:rsidR="002F1FC4" w:rsidRPr="0068064A">
        <w:rPr>
          <w:rtl/>
        </w:rPr>
        <w:t>יישוב</w:t>
      </w:r>
      <w:r w:rsidR="00B93ED8" w:rsidRPr="0068064A">
        <w:rPr>
          <w:rFonts w:hint="cs"/>
          <w:rtl/>
        </w:rPr>
        <w:t>ים</w:t>
      </w:r>
      <w:r w:rsidR="002F1FC4" w:rsidRPr="0068064A">
        <w:rPr>
          <w:rtl/>
        </w:rPr>
        <w:t xml:space="preserve"> </w:t>
      </w:r>
      <w:r w:rsidR="002F1FC4" w:rsidRPr="0068064A">
        <w:rPr>
          <w:rtl/>
        </w:rPr>
        <w:lastRenderedPageBreak/>
        <w:t>ערבי</w:t>
      </w:r>
      <w:r w:rsidR="00B93ED8" w:rsidRPr="0068064A">
        <w:rPr>
          <w:rFonts w:hint="cs"/>
          <w:rtl/>
        </w:rPr>
        <w:t>ים</w:t>
      </w:r>
      <w:r w:rsidR="006B5F84" w:rsidRPr="0068064A">
        <w:rPr>
          <w:rFonts w:hint="cs"/>
          <w:rtl/>
        </w:rPr>
        <w:t>,</w:t>
      </w:r>
      <w:r w:rsidR="002F1FC4" w:rsidRPr="0068064A">
        <w:rPr>
          <w:rtl/>
        </w:rPr>
        <w:t xml:space="preserve"> </w:t>
      </w:r>
      <w:r w:rsidR="00B93ED8" w:rsidRPr="0068064A">
        <w:rPr>
          <w:rFonts w:hint="cs"/>
          <w:rtl/>
        </w:rPr>
        <w:t>בשונה מהמגמה ביישובים היהודיים והמעורבים.</w:t>
      </w:r>
      <w:r w:rsidR="002F1FC4" w:rsidRPr="0068064A">
        <w:rPr>
          <w:rFonts w:hint="cs"/>
          <w:rtl/>
        </w:rPr>
        <w:t xml:space="preserve"> </w:t>
      </w:r>
      <w:r w:rsidR="006B5F84" w:rsidRPr="0068064A">
        <w:rPr>
          <w:rFonts w:hint="cs"/>
          <w:rtl/>
        </w:rPr>
        <w:t>נתוני הפיקוח על הבנקים מראים כי מספר סניפי הבנקים במגזר כמעט והוכפל</w:t>
      </w:r>
      <w:r w:rsidR="00301673" w:rsidRPr="0068064A">
        <w:rPr>
          <w:rFonts w:hint="cs"/>
          <w:rtl/>
        </w:rPr>
        <w:t xml:space="preserve"> בעשר ה</w:t>
      </w:r>
      <w:r w:rsidR="006B5F84" w:rsidRPr="0068064A">
        <w:rPr>
          <w:rFonts w:hint="cs"/>
          <w:rtl/>
        </w:rPr>
        <w:t>שנים האחרונות</w:t>
      </w:r>
      <w:r w:rsidR="002738D9" w:rsidRPr="0068064A">
        <w:rPr>
          <w:rFonts w:hint="cs"/>
          <w:rtl/>
        </w:rPr>
        <w:t xml:space="preserve"> (איור 2)</w:t>
      </w:r>
      <w:r w:rsidR="006B5F84" w:rsidRPr="0068064A">
        <w:rPr>
          <w:rFonts w:hint="cs"/>
          <w:rtl/>
        </w:rPr>
        <w:t xml:space="preserve">. </w:t>
      </w:r>
      <w:r w:rsidR="004B6D38" w:rsidRPr="0068064A">
        <w:rPr>
          <w:rFonts w:hint="cs"/>
          <w:rtl/>
        </w:rPr>
        <w:t>המיקוד הגובר של הבנקים במג</w:t>
      </w:r>
      <w:r w:rsidR="006B5F84" w:rsidRPr="0068064A">
        <w:rPr>
          <w:rFonts w:hint="cs"/>
          <w:rtl/>
        </w:rPr>
        <w:t xml:space="preserve">זר הערבי </w:t>
      </w:r>
      <w:r w:rsidR="002F1FC4" w:rsidRPr="0068064A">
        <w:rPr>
          <w:rtl/>
        </w:rPr>
        <w:t xml:space="preserve">צפוי להוביל להגברת </w:t>
      </w:r>
      <w:r w:rsidR="009E3E8E" w:rsidRPr="0068064A">
        <w:rPr>
          <w:rtl/>
        </w:rPr>
        <w:t>היצע</w:t>
      </w:r>
      <w:r w:rsidR="002F1FC4" w:rsidRPr="0068064A">
        <w:rPr>
          <w:rtl/>
        </w:rPr>
        <w:t xml:space="preserve"> השירותים הפיננסיים למגזר </w:t>
      </w:r>
      <w:r w:rsidR="00B93ED8" w:rsidRPr="0068064A">
        <w:rPr>
          <w:rFonts w:hint="cs"/>
          <w:rtl/>
        </w:rPr>
        <w:t>הערבי</w:t>
      </w:r>
      <w:r w:rsidR="009E3E8E" w:rsidRPr="0068064A">
        <w:rPr>
          <w:rFonts w:hint="cs"/>
          <w:rtl/>
        </w:rPr>
        <w:t>,</w:t>
      </w:r>
      <w:r w:rsidR="002F1FC4" w:rsidRPr="0068064A">
        <w:rPr>
          <w:rtl/>
        </w:rPr>
        <w:t xml:space="preserve"> ובהם היצע האשראי לדיור.</w:t>
      </w:r>
    </w:p>
    <w:p w:rsidR="00A57AAB" w:rsidRPr="0068064A" w:rsidRDefault="00A57AAB" w:rsidP="0068064A">
      <w:pPr>
        <w:pStyle w:val="a0"/>
        <w:spacing w:after="120"/>
        <w:ind w:left="715"/>
        <w:rPr>
          <w:rFonts w:hint="cs"/>
          <w:rtl/>
        </w:rPr>
      </w:pPr>
    </w:p>
    <w:p w:rsidR="001B241B" w:rsidRDefault="001B241B" w:rsidP="0068064A">
      <w:pPr>
        <w:pStyle w:val="a0"/>
        <w:spacing w:after="120"/>
        <w:ind w:left="715"/>
        <w:jc w:val="center"/>
        <w:rPr>
          <w:rFonts w:hint="cs"/>
          <w:rtl/>
        </w:rPr>
      </w:pPr>
      <w:r w:rsidRPr="0068064A">
        <w:rPr>
          <w:noProof/>
        </w:rPr>
        <w:drawing>
          <wp:inline distT="0" distB="0" distL="0" distR="0" wp14:anchorId="4B92F0C2" wp14:editId="5F2B2A10">
            <wp:extent cx="4063041" cy="3036498"/>
            <wp:effectExtent l="0" t="0" r="0" b="0"/>
            <wp:docPr id="7" name="תרשים 7" descr="התפתחות מספר הסניפים לפי מגזרי האוכלוסייה, סך המערכת הבנקאית,  2005עד 2016&#10;" title="התפתחות מספר הסניפים לפי מגזרי האוכלוסייה"/>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35AE" w:rsidRPr="0068064A" w:rsidRDefault="00BE35AE" w:rsidP="0068064A">
      <w:pPr>
        <w:pStyle w:val="a0"/>
        <w:spacing w:after="120"/>
        <w:ind w:left="715"/>
        <w:jc w:val="center"/>
        <w:rPr>
          <w:rtl/>
        </w:rPr>
      </w:pPr>
    </w:p>
    <w:p w:rsidR="0008487D" w:rsidRPr="0068064A" w:rsidRDefault="0008487D" w:rsidP="007027B3">
      <w:pPr>
        <w:pStyle w:val="2"/>
        <w:rPr>
          <w:rtl/>
        </w:rPr>
      </w:pPr>
      <w:r w:rsidRPr="0068064A">
        <w:rPr>
          <w:rFonts w:hint="cs"/>
          <w:rtl/>
        </w:rPr>
        <w:t>פתרונות</w:t>
      </w:r>
      <w:r w:rsidR="00C57DF9" w:rsidRPr="0068064A">
        <w:rPr>
          <w:rFonts w:hint="cs"/>
          <w:rtl/>
        </w:rPr>
        <w:t xml:space="preserve"> </w:t>
      </w:r>
    </w:p>
    <w:p w:rsidR="00C57DF9" w:rsidRPr="0068064A" w:rsidRDefault="00B55F11" w:rsidP="0068064A">
      <w:pPr>
        <w:spacing w:after="120"/>
        <w:rPr>
          <w:rtl/>
        </w:rPr>
      </w:pPr>
      <w:r w:rsidRPr="0068064A">
        <w:rPr>
          <w:rFonts w:hint="cs"/>
          <w:rtl/>
        </w:rPr>
        <w:t xml:space="preserve">הועדות השונות שעסקו </w:t>
      </w:r>
      <w:r w:rsidR="00C11170" w:rsidRPr="0068064A">
        <w:rPr>
          <w:rFonts w:hint="cs"/>
          <w:rtl/>
        </w:rPr>
        <w:t xml:space="preserve">לאורך השנים </w:t>
      </w:r>
      <w:r w:rsidRPr="0068064A">
        <w:rPr>
          <w:rFonts w:hint="cs"/>
          <w:rtl/>
        </w:rPr>
        <w:t xml:space="preserve">בקידום פתרונות לסוגיית הדיור במגזר הערבי </w:t>
      </w:r>
      <w:r w:rsidR="00C11170" w:rsidRPr="0068064A">
        <w:rPr>
          <w:rFonts w:hint="cs"/>
          <w:rtl/>
        </w:rPr>
        <w:t>העלו</w:t>
      </w:r>
      <w:r w:rsidRPr="0068064A">
        <w:rPr>
          <w:rFonts w:hint="cs"/>
          <w:rtl/>
        </w:rPr>
        <w:t xml:space="preserve"> מגוון רחב של צעדים </w:t>
      </w:r>
      <w:r w:rsidR="00C241A1" w:rsidRPr="0068064A">
        <w:rPr>
          <w:rFonts w:hint="cs"/>
          <w:rtl/>
        </w:rPr>
        <w:t xml:space="preserve">בהם </w:t>
      </w:r>
      <w:r w:rsidRPr="0068064A">
        <w:rPr>
          <w:rFonts w:hint="cs"/>
          <w:rtl/>
        </w:rPr>
        <w:t>ניתן לנקוט</w:t>
      </w:r>
      <w:r w:rsidRPr="0068064A">
        <w:rPr>
          <w:rStyle w:val="ad"/>
          <w:rtl/>
        </w:rPr>
        <w:footnoteReference w:id="14"/>
      </w:r>
      <w:r w:rsidRPr="0068064A">
        <w:rPr>
          <w:rFonts w:hint="cs"/>
          <w:rtl/>
        </w:rPr>
        <w:t>.</w:t>
      </w:r>
      <w:r w:rsidR="00C11170" w:rsidRPr="0068064A">
        <w:rPr>
          <w:rFonts w:hint="cs"/>
          <w:rtl/>
        </w:rPr>
        <w:t xml:space="preserve"> על מנת </w:t>
      </w:r>
      <w:r w:rsidR="00DB0DA4" w:rsidRPr="0068064A">
        <w:rPr>
          <w:rFonts w:hint="cs"/>
          <w:rtl/>
        </w:rPr>
        <w:t xml:space="preserve">לסייע בהגברת היצע האשראי לדיור למגזר הערבי יש </w:t>
      </w:r>
      <w:r w:rsidRPr="0068064A">
        <w:rPr>
          <w:rFonts w:hint="cs"/>
          <w:rtl/>
        </w:rPr>
        <w:t>לקדם</w:t>
      </w:r>
      <w:r w:rsidR="00DB0DA4" w:rsidRPr="0068064A">
        <w:rPr>
          <w:rFonts w:hint="cs"/>
          <w:rtl/>
        </w:rPr>
        <w:t xml:space="preserve"> תכניות ממשלתיות לרישום זכויות במרשם המקרקעין</w:t>
      </w:r>
      <w:r w:rsidRPr="0068064A">
        <w:rPr>
          <w:rFonts w:hint="cs"/>
          <w:rtl/>
        </w:rPr>
        <w:t xml:space="preserve">. רישום מסודר במרשם המקרקעין של הזכויות בנכסים יוכל להגדיל את היכולת של הלווים להעמיד את הנכסים כבטוחה ולכן יפחית את הסיכון שבהלוואה. </w:t>
      </w:r>
      <w:r w:rsidR="00375647" w:rsidRPr="0068064A">
        <w:rPr>
          <w:rFonts w:hint="cs"/>
          <w:rtl/>
        </w:rPr>
        <w:t xml:space="preserve">כמו כן, מימוש החלטת הממשלה (מספר 922) </w:t>
      </w:r>
      <w:r w:rsidR="0076667D" w:rsidRPr="0068064A">
        <w:rPr>
          <w:rFonts w:hint="cs"/>
          <w:rtl/>
        </w:rPr>
        <w:t>צפוי לה</w:t>
      </w:r>
      <w:r w:rsidR="00375647" w:rsidRPr="0068064A">
        <w:rPr>
          <w:rFonts w:hint="cs"/>
          <w:rtl/>
        </w:rPr>
        <w:t>גדיל את היצע הדירות למגזר הערבי, ו</w:t>
      </w:r>
      <w:r w:rsidR="0076667D" w:rsidRPr="0068064A">
        <w:rPr>
          <w:rFonts w:hint="cs"/>
          <w:rtl/>
        </w:rPr>
        <w:t>ל</w:t>
      </w:r>
      <w:r w:rsidR="00375647" w:rsidRPr="0068064A">
        <w:rPr>
          <w:rFonts w:hint="cs"/>
          <w:rtl/>
        </w:rPr>
        <w:t xml:space="preserve">אפשר לתושבי המגזר </w:t>
      </w:r>
      <w:r w:rsidR="008B2CA7" w:rsidRPr="0068064A">
        <w:rPr>
          <w:rFonts w:hint="cs"/>
          <w:rtl/>
        </w:rPr>
        <w:t>ל</w:t>
      </w:r>
      <w:r w:rsidR="006766CE" w:rsidRPr="0068064A">
        <w:rPr>
          <w:rFonts w:hint="cs"/>
          <w:rtl/>
        </w:rPr>
        <w:t>י</w:t>
      </w:r>
      <w:r w:rsidR="008B2CA7" w:rsidRPr="0068064A">
        <w:rPr>
          <w:rFonts w:hint="cs"/>
          <w:rtl/>
        </w:rPr>
        <w:t xml:space="preserve">טול </w:t>
      </w:r>
      <w:r w:rsidR="00375647" w:rsidRPr="0068064A">
        <w:rPr>
          <w:rFonts w:hint="cs"/>
          <w:rtl/>
        </w:rPr>
        <w:t>משכנתאות בגין נכסים אלה, הניתנים לרישום ולשעבוד כבטוחה.</w:t>
      </w:r>
    </w:p>
    <w:sectPr w:rsidR="00C57DF9" w:rsidRPr="0068064A" w:rsidSect="0068064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397"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26" w:rsidRDefault="00952126" w:rsidP="00721FBE">
      <w:pPr>
        <w:spacing w:line="240" w:lineRule="auto"/>
      </w:pPr>
      <w:r>
        <w:separator/>
      </w:r>
    </w:p>
    <w:p w:rsidR="00952126" w:rsidRDefault="00952126"/>
  </w:endnote>
  <w:endnote w:type="continuationSeparator" w:id="0">
    <w:p w:rsidR="00952126" w:rsidRDefault="00952126" w:rsidP="00721FBE">
      <w:pPr>
        <w:spacing w:line="240" w:lineRule="auto"/>
      </w:pPr>
      <w:r>
        <w:continuationSeparator/>
      </w:r>
    </w:p>
    <w:p w:rsidR="00952126" w:rsidRDefault="00952126"/>
  </w:endnote>
  <w:endnote w:type="continuationNotice" w:id="1">
    <w:p w:rsidR="00952126" w:rsidRDefault="00952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B" w:rsidRDefault="00683E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20" w:rsidRPr="00683EFB" w:rsidRDefault="00906220" w:rsidP="00683EFB">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20" w:rsidRPr="00683EFB" w:rsidRDefault="00906220" w:rsidP="00683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26" w:rsidRDefault="00952126" w:rsidP="006E70B3">
      <w:pPr>
        <w:spacing w:line="240" w:lineRule="auto"/>
      </w:pPr>
      <w:r>
        <w:separator/>
      </w:r>
    </w:p>
    <w:p w:rsidR="00952126" w:rsidRDefault="00952126"/>
  </w:footnote>
  <w:footnote w:type="continuationSeparator" w:id="0">
    <w:p w:rsidR="00952126" w:rsidRDefault="00952126" w:rsidP="00A93135">
      <w:pPr>
        <w:spacing w:line="240" w:lineRule="auto"/>
      </w:pPr>
      <w:r>
        <w:continuationSeparator/>
      </w:r>
    </w:p>
    <w:p w:rsidR="00952126" w:rsidRDefault="00952126"/>
  </w:footnote>
  <w:footnote w:type="continuationNotice" w:id="1">
    <w:p w:rsidR="00952126" w:rsidRDefault="00952126" w:rsidP="00A93135">
      <w:pPr>
        <w:spacing w:line="240" w:lineRule="auto"/>
      </w:pPr>
    </w:p>
    <w:p w:rsidR="00952126" w:rsidRDefault="00952126"/>
  </w:footnote>
  <w:footnote w:id="2">
    <w:p w:rsidR="007F48BC" w:rsidRPr="007027B3" w:rsidRDefault="007F48BC" w:rsidP="007F48BC">
      <w:pPr>
        <w:pStyle w:val="ab"/>
        <w:spacing w:line="276" w:lineRule="auto"/>
        <w:rPr>
          <w:rtl/>
        </w:rPr>
      </w:pPr>
      <w:r w:rsidRPr="007027B3">
        <w:rPr>
          <w:rStyle w:val="ad"/>
        </w:rPr>
        <w:footnoteRef/>
      </w:r>
      <w:r w:rsidRPr="007027B3">
        <w:rPr>
          <w:rStyle w:val="ad"/>
          <w:rtl/>
        </w:rPr>
        <w:t xml:space="preserve"> </w:t>
      </w:r>
      <w:r w:rsidRPr="007027B3">
        <w:rPr>
          <w:rFonts w:hint="cs"/>
          <w:rtl/>
        </w:rPr>
        <w:t>ועדת החקירה הממלכתית לבירור ההתנגשויות בין כוחות הביטחון לבין אזרחים ישראלים באוקטובר 2000 (2003).</w:t>
      </w:r>
    </w:p>
  </w:footnote>
  <w:footnote w:id="3">
    <w:p w:rsidR="00806B7E" w:rsidRPr="007027B3" w:rsidRDefault="00806B7E" w:rsidP="000552D3">
      <w:pPr>
        <w:pStyle w:val="ab"/>
        <w:rPr>
          <w:rtl/>
        </w:rPr>
      </w:pPr>
      <w:r w:rsidRPr="007027B3">
        <w:rPr>
          <w:rStyle w:val="ad"/>
        </w:rPr>
        <w:footnoteRef/>
      </w:r>
      <w:r w:rsidRPr="007027B3">
        <w:rPr>
          <w:rStyle w:val="ad"/>
          <w:rtl/>
        </w:rPr>
        <w:t xml:space="preserve"> </w:t>
      </w:r>
      <w:r w:rsidRPr="007027B3">
        <w:rPr>
          <w:rFonts w:hint="cs"/>
          <w:rtl/>
        </w:rPr>
        <w:t xml:space="preserve">בדוח השנתי של מבקר המדינה מספר 58ב לשנת 2007 </w:t>
      </w:r>
      <w:r w:rsidR="00D84281" w:rsidRPr="007027B3">
        <w:rPr>
          <w:rFonts w:hint="cs"/>
          <w:rtl/>
        </w:rPr>
        <w:t xml:space="preserve">אף </w:t>
      </w:r>
      <w:r w:rsidRPr="007027B3">
        <w:rPr>
          <w:rFonts w:hint="cs"/>
          <w:rtl/>
        </w:rPr>
        <w:t xml:space="preserve">נטען כי במגזר המיעוטים קיים נוהג לפיו נעשית העברת בעלות על נכסים באמצעות רישום אצל עורך דין פרטי ולא באמצעות הטאבו. </w:t>
      </w:r>
    </w:p>
  </w:footnote>
  <w:footnote w:id="4">
    <w:p w:rsidR="004B4157" w:rsidRPr="007027B3" w:rsidRDefault="004A6D9E" w:rsidP="004B4157">
      <w:pPr>
        <w:pStyle w:val="ab"/>
        <w:rPr>
          <w:rtl/>
        </w:rPr>
      </w:pPr>
      <w:r w:rsidRPr="007027B3">
        <w:rPr>
          <w:rStyle w:val="ad"/>
        </w:rPr>
        <w:footnoteRef/>
      </w:r>
      <w:r w:rsidRPr="007027B3">
        <w:rPr>
          <w:rStyle w:val="ad"/>
          <w:rtl/>
        </w:rPr>
        <w:t xml:space="preserve"> </w:t>
      </w:r>
      <w:r w:rsidRPr="007027B3">
        <w:rPr>
          <w:rFonts w:hint="cs"/>
          <w:rtl/>
        </w:rPr>
        <w:t xml:space="preserve">נקודה זו מקבלת חיזוק מניתוח סקר </w:t>
      </w:r>
      <w:r w:rsidR="00700AA5" w:rsidRPr="007027B3">
        <w:rPr>
          <w:rFonts w:hint="cs"/>
          <w:rtl/>
        </w:rPr>
        <w:t xml:space="preserve">"משקי בית בישראל-סקר ארוך טווח" </w:t>
      </w:r>
      <w:r w:rsidRPr="007027B3">
        <w:rPr>
          <w:rFonts w:hint="cs"/>
          <w:rtl/>
        </w:rPr>
        <w:t xml:space="preserve">של הלמ"ס (2016). מהסקר עולה כי שיעור </w:t>
      </w:r>
      <w:proofErr w:type="spellStart"/>
      <w:r w:rsidRPr="007027B3">
        <w:rPr>
          <w:rFonts w:hint="cs"/>
          <w:rtl/>
        </w:rPr>
        <w:t>נוטלי</w:t>
      </w:r>
      <w:proofErr w:type="spellEnd"/>
      <w:r w:rsidRPr="007027B3">
        <w:rPr>
          <w:rFonts w:hint="cs"/>
          <w:rtl/>
        </w:rPr>
        <w:t xml:space="preserve"> המשכנתאות בקרב המגזר הערבי נמוך מהותית מזה במגזר היהודי (8% לעומת 32%). לעומת זאת, שיעור ההלוואות שלא לדיור בקרב המגזר הערבי גבוה מזה </w:t>
      </w:r>
      <w:r w:rsidR="00F27090" w:rsidRPr="007027B3">
        <w:rPr>
          <w:rFonts w:hint="cs"/>
          <w:rtl/>
        </w:rPr>
        <w:t>ש</w:t>
      </w:r>
      <w:r w:rsidRPr="007027B3">
        <w:rPr>
          <w:rFonts w:hint="cs"/>
          <w:rtl/>
        </w:rPr>
        <w:t>במגזר היהודי (40% לעומת 29%).</w:t>
      </w:r>
      <w:r w:rsidR="004B4157" w:rsidRPr="007027B3">
        <w:rPr>
          <w:rFonts w:hint="cs"/>
          <w:rtl/>
        </w:rPr>
        <w:t xml:space="preserve"> בנוסף עולה מהסקר כי שיעור משקי הבית שכלל אינו נוטל הלוואות דומה בשני המגזרים.</w:t>
      </w:r>
    </w:p>
  </w:footnote>
  <w:footnote w:id="5">
    <w:p w:rsidR="002832D8" w:rsidRPr="00455CF8" w:rsidRDefault="002832D8" w:rsidP="002832D8">
      <w:pPr>
        <w:pStyle w:val="ab"/>
        <w:rPr>
          <w:sz w:val="18"/>
          <w:szCs w:val="18"/>
          <w:rtl/>
        </w:rPr>
      </w:pPr>
      <w:r w:rsidRPr="007027B3">
        <w:rPr>
          <w:rStyle w:val="ad"/>
        </w:rPr>
        <w:footnoteRef/>
      </w:r>
      <w:r w:rsidRPr="007027B3">
        <w:rPr>
          <w:rStyle w:val="ad"/>
          <w:rtl/>
        </w:rPr>
        <w:t xml:space="preserve"> </w:t>
      </w:r>
      <w:r w:rsidRPr="007027B3">
        <w:rPr>
          <w:rFonts w:hint="cs"/>
          <w:rtl/>
        </w:rPr>
        <w:t xml:space="preserve">מבוסס על ניתוח סקר </w:t>
      </w:r>
      <w:r w:rsidR="00F755C8" w:rsidRPr="007027B3">
        <w:rPr>
          <w:rFonts w:hint="cs"/>
          <w:rtl/>
        </w:rPr>
        <w:t>"</w:t>
      </w:r>
      <w:r w:rsidRPr="007027B3">
        <w:rPr>
          <w:rFonts w:hint="cs"/>
          <w:rtl/>
        </w:rPr>
        <w:t>משקי בית</w:t>
      </w:r>
      <w:r w:rsidR="00F755C8" w:rsidRPr="007027B3">
        <w:rPr>
          <w:rFonts w:hint="cs"/>
          <w:rtl/>
        </w:rPr>
        <w:t xml:space="preserve"> בישראל-סקר ארוך טווח"</w:t>
      </w:r>
      <w:r w:rsidRPr="007027B3">
        <w:rPr>
          <w:rFonts w:hint="cs"/>
          <w:rtl/>
        </w:rPr>
        <w:t xml:space="preserve"> של הלמ"ס (2016).</w:t>
      </w:r>
    </w:p>
  </w:footnote>
  <w:footnote w:id="6">
    <w:p w:rsidR="009F2C0D" w:rsidRPr="007027B3" w:rsidRDefault="009F2C0D" w:rsidP="00180F27">
      <w:pPr>
        <w:pStyle w:val="ab"/>
        <w:rPr>
          <w:rtl/>
        </w:rPr>
      </w:pPr>
      <w:r w:rsidRPr="007027B3">
        <w:rPr>
          <w:rStyle w:val="ad"/>
        </w:rPr>
        <w:footnoteRef/>
      </w:r>
      <w:r w:rsidRPr="007027B3">
        <w:rPr>
          <w:rtl/>
        </w:rPr>
        <w:t xml:space="preserve"> </w:t>
      </w:r>
      <w:r w:rsidRPr="007027B3">
        <w:rPr>
          <w:rFonts w:hint="cs"/>
          <w:rtl/>
        </w:rPr>
        <w:t>זיהוי לקוחות המגזר הערבי נעשה באמצעות מתודולוגיה המתבססת על מאפייני הלקוחות.</w:t>
      </w:r>
    </w:p>
  </w:footnote>
  <w:footnote w:id="7">
    <w:p w:rsidR="00AA450C" w:rsidRPr="007027B3" w:rsidRDefault="00AA450C">
      <w:pPr>
        <w:pStyle w:val="ab"/>
        <w:rPr>
          <w:rtl/>
        </w:rPr>
      </w:pPr>
      <w:r w:rsidRPr="007027B3">
        <w:rPr>
          <w:rStyle w:val="ad"/>
        </w:rPr>
        <w:footnoteRef/>
      </w:r>
      <w:r w:rsidRPr="007027B3">
        <w:rPr>
          <w:rStyle w:val="ad"/>
          <w:rtl/>
        </w:rPr>
        <w:t xml:space="preserve"> </w:t>
      </w:r>
      <w:r w:rsidRPr="007027B3">
        <w:rPr>
          <w:rFonts w:hint="cs"/>
          <w:rtl/>
        </w:rPr>
        <w:t xml:space="preserve">נכון לסוף שנת 2015. </w:t>
      </w:r>
    </w:p>
  </w:footnote>
  <w:footnote w:id="8">
    <w:p w:rsidR="008A2230" w:rsidRPr="00AA450C" w:rsidRDefault="008A2230" w:rsidP="008A2230">
      <w:pPr>
        <w:pStyle w:val="ab"/>
        <w:rPr>
          <w:sz w:val="20"/>
          <w:szCs w:val="20"/>
          <w:rtl/>
        </w:rPr>
      </w:pPr>
      <w:r w:rsidRPr="007027B3">
        <w:rPr>
          <w:rStyle w:val="ad"/>
        </w:rPr>
        <w:footnoteRef/>
      </w:r>
      <w:r w:rsidRPr="007027B3">
        <w:rPr>
          <w:rStyle w:val="ad"/>
          <w:rtl/>
        </w:rPr>
        <w:t xml:space="preserve"> </w:t>
      </w:r>
      <w:r w:rsidRPr="007027B3">
        <w:rPr>
          <w:rFonts w:hint="cs"/>
          <w:rtl/>
        </w:rPr>
        <w:t>יישובים מעורבים מוגדרים כיישובים בהם האוכלוסייה הערבית מהווה למעלה מ-10% מהתושבים, ופחות מ-90% מהם. יישובים אלה הם: ירושלים, תל אביב-יפו, עכו, חיפה, רמלה, לוד, נצרת עילית ומעלות תרשיחא. תושביהם של יישובים אלה מהווים כ-24.3% מכלל האוכלוסייה.</w:t>
      </w:r>
    </w:p>
  </w:footnote>
  <w:footnote w:id="9">
    <w:p w:rsidR="00B75551" w:rsidRPr="007027B3" w:rsidRDefault="00B75551" w:rsidP="00B75551">
      <w:pPr>
        <w:pStyle w:val="ab"/>
        <w:rPr>
          <w:rtl/>
        </w:rPr>
      </w:pPr>
      <w:r w:rsidRPr="007027B3">
        <w:rPr>
          <w:rStyle w:val="ad"/>
        </w:rPr>
        <w:footnoteRef/>
      </w:r>
      <w:r w:rsidRPr="007027B3">
        <w:rPr>
          <w:rStyle w:val="ad"/>
          <w:rtl/>
        </w:rPr>
        <w:t xml:space="preserve"> </w:t>
      </w:r>
      <w:r w:rsidRPr="007027B3">
        <w:rPr>
          <w:rtl/>
        </w:rPr>
        <w:t xml:space="preserve">הריבית המשוקללת מחושבת כממוצע המשוקלל של הריבית הנקובה </w:t>
      </w:r>
      <w:r w:rsidRPr="007027B3">
        <w:rPr>
          <w:rFonts w:hint="cs"/>
          <w:rtl/>
        </w:rPr>
        <w:t xml:space="preserve">בעת החיתום </w:t>
      </w:r>
      <w:r w:rsidRPr="007027B3">
        <w:rPr>
          <w:rtl/>
        </w:rPr>
        <w:t>לפי משקל הביצוע בכל אחד ממסלולי ההלוואה.</w:t>
      </w:r>
    </w:p>
  </w:footnote>
  <w:footnote w:id="10">
    <w:p w:rsidR="00C73D76" w:rsidRPr="007027B3" w:rsidRDefault="00C73D76">
      <w:pPr>
        <w:pStyle w:val="ab"/>
        <w:rPr>
          <w:rtl/>
        </w:rPr>
      </w:pPr>
      <w:r w:rsidRPr="007027B3">
        <w:rPr>
          <w:rStyle w:val="ad"/>
        </w:rPr>
        <w:footnoteRef/>
      </w:r>
      <w:r w:rsidRPr="007027B3">
        <w:rPr>
          <w:rtl/>
        </w:rPr>
        <w:t xml:space="preserve"> </w:t>
      </w:r>
      <w:r w:rsidRPr="007027B3">
        <w:rPr>
          <w:rFonts w:hint="cs"/>
          <w:rtl/>
        </w:rPr>
        <w:t xml:space="preserve">ברגרסיות נכללו מעל 400 אלף </w:t>
      </w:r>
      <w:r w:rsidR="000F76B8" w:rsidRPr="007027B3">
        <w:rPr>
          <w:rFonts w:hint="cs"/>
          <w:rtl/>
        </w:rPr>
        <w:t>הלוואות.</w:t>
      </w:r>
    </w:p>
  </w:footnote>
  <w:footnote w:id="11">
    <w:p w:rsidR="00B5732E" w:rsidRPr="008B2CA7" w:rsidRDefault="00B5732E" w:rsidP="00B5732E">
      <w:pPr>
        <w:pStyle w:val="ab"/>
        <w:rPr>
          <w:rtl/>
        </w:rPr>
      </w:pPr>
      <w:r w:rsidRPr="007027B3">
        <w:rPr>
          <w:rStyle w:val="ad"/>
        </w:rPr>
        <w:footnoteRef/>
      </w:r>
      <w:r w:rsidRPr="007027B3">
        <w:rPr>
          <w:rStyle w:val="ad"/>
          <w:rtl/>
        </w:rPr>
        <w:t xml:space="preserve"> </w:t>
      </w:r>
      <w:r w:rsidRPr="007027B3">
        <w:rPr>
          <w:rFonts w:hint="cs"/>
          <w:rtl/>
        </w:rPr>
        <w:t>מניתוח סקר "משקי בית בישראל-סקר ארוך טווח" של הלמ"ס (2016)</w:t>
      </w:r>
      <w:r w:rsidRPr="007027B3">
        <w:rPr>
          <w:rtl/>
        </w:rPr>
        <w:t xml:space="preserve"> </w:t>
      </w:r>
      <w:r w:rsidRPr="007027B3">
        <w:rPr>
          <w:rFonts w:hint="cs"/>
          <w:rtl/>
        </w:rPr>
        <w:t>עולה כי כ-</w:t>
      </w:r>
      <w:r w:rsidRPr="007027B3">
        <w:rPr>
          <w:rtl/>
        </w:rPr>
        <w:t xml:space="preserve">55% ממשקי הבית הערבים </w:t>
      </w:r>
      <w:r w:rsidRPr="007027B3">
        <w:rPr>
          <w:rFonts w:hint="cs"/>
          <w:rtl/>
        </w:rPr>
        <w:t xml:space="preserve">מעידים כי </w:t>
      </w:r>
      <w:r w:rsidRPr="007027B3">
        <w:rPr>
          <w:rtl/>
        </w:rPr>
        <w:t>היו במינוס ב"לפחות אחד מהחשבונות במהלך השנה האחרונה" בחשבון ה</w:t>
      </w:r>
      <w:r w:rsidRPr="007027B3">
        <w:rPr>
          <w:rFonts w:hint="cs"/>
          <w:rtl/>
        </w:rPr>
        <w:t>עו"ש</w:t>
      </w:r>
      <w:r w:rsidRPr="007027B3">
        <w:rPr>
          <w:rtl/>
        </w:rPr>
        <w:t xml:space="preserve">, לעומת </w:t>
      </w:r>
      <w:r w:rsidRPr="007027B3">
        <w:rPr>
          <w:rFonts w:hint="cs"/>
          <w:rtl/>
        </w:rPr>
        <w:t>כ-</w:t>
      </w:r>
      <w:r w:rsidRPr="007027B3">
        <w:rPr>
          <w:rtl/>
        </w:rPr>
        <w:t xml:space="preserve">46% </w:t>
      </w:r>
      <w:r w:rsidRPr="007027B3">
        <w:rPr>
          <w:rFonts w:hint="cs"/>
          <w:rtl/>
        </w:rPr>
        <w:t>בקרב משקי הבית ב</w:t>
      </w:r>
      <w:r w:rsidRPr="007027B3">
        <w:rPr>
          <w:rtl/>
        </w:rPr>
        <w:t>אוכלוסייה היהודית</w:t>
      </w:r>
      <w:r w:rsidRPr="007027B3">
        <w:rPr>
          <w:rFonts w:hint="cs"/>
          <w:rtl/>
        </w:rPr>
        <w:t>. בנוסף עולה מהסקר כי כ-14% ממשקי הבית הערבים כלל אינם מחזיקים בחשבון עו"ש בבנקים. ממצאים אלה מחזקים את חשיבות המידע המתקבל מקיום חשבון עו"ש בבנק המלווה.</w:t>
      </w:r>
    </w:p>
  </w:footnote>
  <w:footnote w:id="12">
    <w:p w:rsidR="00D96D97" w:rsidRPr="007027B3" w:rsidRDefault="00D96D97" w:rsidP="00E33735">
      <w:pPr>
        <w:spacing w:line="240" w:lineRule="auto"/>
        <w:rPr>
          <w:rtl/>
        </w:rPr>
      </w:pPr>
      <w:r w:rsidRPr="007027B3">
        <w:rPr>
          <w:rStyle w:val="ad"/>
        </w:rPr>
        <w:footnoteRef/>
      </w:r>
      <w:r w:rsidRPr="007027B3">
        <w:rPr>
          <w:rtl/>
        </w:rPr>
        <w:t xml:space="preserve"> </w:t>
      </w:r>
      <w:r w:rsidRPr="007027B3">
        <w:rPr>
          <w:rtl/>
        </w:rPr>
        <w:t>ככל שהמספר יותר נמוך, כך הרמה החברתית-כלכלית של היישוב נמוכה יותר. הדירוג הנו של הלשכה המרכזית לסטטיסטיק</w:t>
      </w:r>
      <w:r w:rsidRPr="007027B3">
        <w:rPr>
          <w:rFonts w:hint="cs"/>
          <w:rtl/>
        </w:rPr>
        <w:t xml:space="preserve">ה. כמו כן, ההבדל בממוצע האשכול החברתי-כלכלי בין יהודים וערבים ביישובים מעורבים נובע משיעור גבוה יותר של לקוחות ערביים ביישובים מעורבים בעלי אשכול חברתי-כלכלי נמוך יותר. </w:t>
      </w:r>
    </w:p>
  </w:footnote>
  <w:footnote w:id="13">
    <w:p w:rsidR="00A21EE1" w:rsidRDefault="00A21EE1" w:rsidP="00060FEE">
      <w:pPr>
        <w:pStyle w:val="ab"/>
        <w:rPr>
          <w:rtl/>
        </w:rPr>
      </w:pPr>
      <w:r w:rsidRPr="007027B3">
        <w:rPr>
          <w:rStyle w:val="ad"/>
        </w:rPr>
        <w:footnoteRef/>
      </w:r>
      <w:r w:rsidRPr="007027B3">
        <w:rPr>
          <w:rStyle w:val="ad"/>
          <w:rtl/>
        </w:rPr>
        <w:t xml:space="preserve"> </w:t>
      </w:r>
      <w:r w:rsidR="008D0E5C" w:rsidRPr="007027B3">
        <w:rPr>
          <w:rFonts w:hint="cs"/>
          <w:rtl/>
        </w:rPr>
        <w:t>כפי שצוין ב</w:t>
      </w:r>
      <w:r w:rsidR="0065645C" w:rsidRPr="007027B3">
        <w:rPr>
          <w:rFonts w:hint="cs"/>
          <w:rtl/>
        </w:rPr>
        <w:t xml:space="preserve">הערת שוליים מס' </w:t>
      </w:r>
      <w:r w:rsidR="00E52DE9" w:rsidRPr="007027B3">
        <w:rPr>
          <w:rFonts w:hint="cs"/>
          <w:rtl/>
        </w:rPr>
        <w:t>3</w:t>
      </w:r>
      <w:r w:rsidR="0065645C" w:rsidRPr="007027B3">
        <w:rPr>
          <w:rFonts w:hint="cs"/>
          <w:rtl/>
        </w:rPr>
        <w:t>.</w:t>
      </w:r>
    </w:p>
  </w:footnote>
  <w:footnote w:id="14">
    <w:p w:rsidR="00B55F11" w:rsidRPr="007027B3" w:rsidRDefault="00B55F11" w:rsidP="000022DC">
      <w:pPr>
        <w:pStyle w:val="ab"/>
        <w:spacing w:line="276" w:lineRule="auto"/>
      </w:pPr>
      <w:r w:rsidRPr="007027B3">
        <w:rPr>
          <w:rStyle w:val="ad"/>
        </w:rPr>
        <w:footnoteRef/>
      </w:r>
      <w:r w:rsidRPr="007027B3">
        <w:rPr>
          <w:rtl/>
        </w:rPr>
        <w:t xml:space="preserve"> </w:t>
      </w:r>
      <w:r w:rsidRPr="007027B3">
        <w:rPr>
          <w:rFonts w:hint="cs"/>
          <w:rtl/>
        </w:rPr>
        <w:t>בהתבסס על מסקנות צוות 120 הימים להתמודדות עם מצוקת הדיור ביישובי המיעוטים (יוני 2015) והצעת הרשות לפיתוח כלכלי של מגזר המיעוטים במשרד ראש הממשלה לפתרון סוגיית התכנון והדיור במגזר הערבי (ספטמבר 2011).</w:t>
      </w:r>
    </w:p>
    <w:p w:rsidR="00B55F11" w:rsidRPr="00A90D08" w:rsidRDefault="00B55F11" w:rsidP="00B55F11">
      <w:pPr>
        <w:pStyle w:val="ab"/>
        <w:spacing w:line="276" w:lineRule="auto"/>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B" w:rsidRDefault="00683E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B" w:rsidRDefault="00683E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FB" w:rsidRDefault="00683E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E4C"/>
    <w:multiLevelType w:val="hybridMultilevel"/>
    <w:tmpl w:val="5BA0632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
    <w:nsid w:val="0B696CDE"/>
    <w:multiLevelType w:val="multilevel"/>
    <w:tmpl w:val="875E91B6"/>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E2543D"/>
    <w:multiLevelType w:val="multilevel"/>
    <w:tmpl w:val="B914B256"/>
    <w:lvl w:ilvl="0">
      <w:start w:val="1"/>
      <w:numFmt w:val="bullet"/>
      <w:lvlText w:val=""/>
      <w:lvlJc w:val="left"/>
      <w:pPr>
        <w:ind w:left="360" w:hanging="360"/>
      </w:pPr>
      <w:rPr>
        <w:rFonts w:ascii="Symbol" w:hAnsi="Symbol" w:hint="default"/>
        <w:b/>
        <w:bCs/>
        <w:lang w:bidi="he-IL"/>
      </w:rPr>
    </w:lvl>
    <w:lvl w:ilvl="1">
      <w:start w:val="1"/>
      <w:numFmt w:val="decimal"/>
      <w:lvlText w:val="%1.%2."/>
      <w:lvlJc w:val="left"/>
      <w:pPr>
        <w:ind w:left="716" w:hanging="432"/>
      </w:pPr>
      <w:rPr>
        <w:rFonts w:cs="David"/>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1722E2"/>
    <w:multiLevelType w:val="hybridMultilevel"/>
    <w:tmpl w:val="6EA8A094"/>
    <w:lvl w:ilvl="0" w:tplc="FCDE6006">
      <w:start w:val="1"/>
      <w:numFmt w:val="bullet"/>
      <w:lvlText w:val=""/>
      <w:lvlJc w:val="left"/>
      <w:pPr>
        <w:ind w:left="360" w:hanging="360"/>
      </w:pPr>
      <w:rPr>
        <w:rFonts w:ascii="Symbol" w:hAnsi="Symbol" w:hint="default"/>
        <w:color w:val="auto"/>
        <w:lang w:bidi="he-IL"/>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8C20CC6"/>
    <w:multiLevelType w:val="hybridMultilevel"/>
    <w:tmpl w:val="4FC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974D2"/>
    <w:multiLevelType w:val="hybridMultilevel"/>
    <w:tmpl w:val="F656D42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6">
    <w:nsid w:val="2CC40C0F"/>
    <w:multiLevelType w:val="hybridMultilevel"/>
    <w:tmpl w:val="3FFA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01A33"/>
    <w:multiLevelType w:val="hybridMultilevel"/>
    <w:tmpl w:val="5222597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A555D6"/>
    <w:multiLevelType w:val="hybridMultilevel"/>
    <w:tmpl w:val="AD52D788"/>
    <w:lvl w:ilvl="0" w:tplc="F60249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D6F2E"/>
    <w:multiLevelType w:val="multilevel"/>
    <w:tmpl w:val="F580BD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6539AF"/>
    <w:multiLevelType w:val="hybridMultilevel"/>
    <w:tmpl w:val="19461BD8"/>
    <w:lvl w:ilvl="0" w:tplc="0B1A5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E16706"/>
    <w:multiLevelType w:val="hybridMultilevel"/>
    <w:tmpl w:val="03B21752"/>
    <w:lvl w:ilvl="0" w:tplc="2CF40B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B21F2"/>
    <w:multiLevelType w:val="hybridMultilevel"/>
    <w:tmpl w:val="D87232B8"/>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3">
    <w:nsid w:val="37F15190"/>
    <w:multiLevelType w:val="multilevel"/>
    <w:tmpl w:val="E036228E"/>
    <w:lvl w:ilvl="0">
      <w:start w:val="1"/>
      <w:numFmt w:val="decimal"/>
      <w:lvlText w:val="%1."/>
      <w:lvlJc w:val="center"/>
      <w:pPr>
        <w:ind w:left="720" w:hanging="360"/>
      </w:pPr>
      <w:rPr>
        <w:rFonts w:hint="default"/>
        <w:b w:val="0"/>
        <w:bCs w:val="0"/>
        <w:color w:val="auto"/>
      </w:rPr>
    </w:lvl>
    <w:lvl w:ilvl="1">
      <w:start w:val="1"/>
      <w:numFmt w:val="decimal"/>
      <w:isLgl/>
      <w:lvlText w:val="%1.%2."/>
      <w:lvlJc w:val="left"/>
      <w:pPr>
        <w:ind w:left="728" w:hanging="360"/>
      </w:pPr>
      <w:rPr>
        <w:rFonts w:hint="default"/>
        <w:color w:val="0070C0"/>
      </w:rPr>
    </w:lvl>
    <w:lvl w:ilvl="2">
      <w:start w:val="1"/>
      <w:numFmt w:val="decimal"/>
      <w:isLgl/>
      <w:lvlText w:val="%1.%2.%3."/>
      <w:lvlJc w:val="left"/>
      <w:pPr>
        <w:ind w:left="1096" w:hanging="720"/>
      </w:pPr>
      <w:rPr>
        <w:rFonts w:hint="default"/>
        <w:color w:val="0070C0"/>
      </w:rPr>
    </w:lvl>
    <w:lvl w:ilvl="3">
      <w:start w:val="1"/>
      <w:numFmt w:val="decimal"/>
      <w:isLgl/>
      <w:lvlText w:val="%1.%2.%3.%4."/>
      <w:lvlJc w:val="left"/>
      <w:pPr>
        <w:ind w:left="1104" w:hanging="720"/>
      </w:pPr>
      <w:rPr>
        <w:rFonts w:hint="default"/>
        <w:color w:val="0070C0"/>
      </w:rPr>
    </w:lvl>
    <w:lvl w:ilvl="4">
      <w:start w:val="1"/>
      <w:numFmt w:val="decimal"/>
      <w:isLgl/>
      <w:lvlText w:val="%1.%2.%3.%4.%5."/>
      <w:lvlJc w:val="left"/>
      <w:pPr>
        <w:ind w:left="1472" w:hanging="1080"/>
      </w:pPr>
      <w:rPr>
        <w:rFonts w:hint="default"/>
        <w:color w:val="0070C0"/>
      </w:rPr>
    </w:lvl>
    <w:lvl w:ilvl="5">
      <w:start w:val="1"/>
      <w:numFmt w:val="decimal"/>
      <w:isLgl/>
      <w:lvlText w:val="%1.%2.%3.%4.%5.%6."/>
      <w:lvlJc w:val="left"/>
      <w:pPr>
        <w:ind w:left="1480" w:hanging="1080"/>
      </w:pPr>
      <w:rPr>
        <w:rFonts w:hint="default"/>
        <w:color w:val="0070C0"/>
      </w:rPr>
    </w:lvl>
    <w:lvl w:ilvl="6">
      <w:start w:val="1"/>
      <w:numFmt w:val="decimal"/>
      <w:isLgl/>
      <w:lvlText w:val="%1.%2.%3.%4.%5.%6.%7."/>
      <w:lvlJc w:val="left"/>
      <w:pPr>
        <w:ind w:left="1488" w:hanging="1080"/>
      </w:pPr>
      <w:rPr>
        <w:rFonts w:hint="default"/>
        <w:color w:val="0070C0"/>
      </w:rPr>
    </w:lvl>
    <w:lvl w:ilvl="7">
      <w:start w:val="1"/>
      <w:numFmt w:val="decimal"/>
      <w:isLgl/>
      <w:lvlText w:val="%1.%2.%3.%4.%5.%6.%7.%8."/>
      <w:lvlJc w:val="left"/>
      <w:pPr>
        <w:ind w:left="1856" w:hanging="1440"/>
      </w:pPr>
      <w:rPr>
        <w:rFonts w:hint="default"/>
        <w:color w:val="0070C0"/>
      </w:rPr>
    </w:lvl>
    <w:lvl w:ilvl="8">
      <w:start w:val="1"/>
      <w:numFmt w:val="decimal"/>
      <w:isLgl/>
      <w:lvlText w:val="%1.%2.%3.%4.%5.%6.%7.%8.%9."/>
      <w:lvlJc w:val="left"/>
      <w:pPr>
        <w:ind w:left="1864" w:hanging="1440"/>
      </w:pPr>
      <w:rPr>
        <w:rFonts w:hint="default"/>
        <w:color w:val="0070C0"/>
      </w:rPr>
    </w:lvl>
  </w:abstractNum>
  <w:abstractNum w:abstractNumId="14">
    <w:nsid w:val="3D301994"/>
    <w:multiLevelType w:val="multilevel"/>
    <w:tmpl w:val="DDBC1E78"/>
    <w:lvl w:ilvl="0">
      <w:start w:val="1"/>
      <w:numFmt w:val="bullet"/>
      <w:lvlText w:val=""/>
      <w:lvlJc w:val="left"/>
      <w:pPr>
        <w:ind w:left="720" w:hanging="360"/>
      </w:pPr>
      <w:rPr>
        <w:rFonts w:ascii="Symbol" w:hAnsi="Symbol" w:hint="default"/>
      </w:rPr>
    </w:lvl>
    <w:lvl w:ilvl="1">
      <w:start w:val="1"/>
      <w:numFmt w:val="decimal"/>
      <w:lvlText w:val="%1.%2."/>
      <w:lvlJc w:val="left"/>
      <w:pPr>
        <w:ind w:left="1076"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1BE6858"/>
    <w:multiLevelType w:val="hybridMultilevel"/>
    <w:tmpl w:val="8C32E34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
    <w:nsid w:val="4D6C6032"/>
    <w:multiLevelType w:val="hybridMultilevel"/>
    <w:tmpl w:val="00729850"/>
    <w:lvl w:ilvl="0" w:tplc="24960868">
      <w:numFmt w:val="bullet"/>
      <w:lvlText w:val="-"/>
      <w:lvlJc w:val="left"/>
      <w:pPr>
        <w:ind w:left="720" w:hanging="360"/>
      </w:pPr>
      <w:rPr>
        <w:rFonts w:ascii="Times New Roman" w:eastAsiaTheme="minorHAns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77FE1"/>
    <w:multiLevelType w:val="multilevel"/>
    <w:tmpl w:val="3F26EB4E"/>
    <w:lvl w:ilvl="0">
      <w:start w:val="1"/>
      <w:numFmt w:val="decimal"/>
      <w:pStyle w:val="2"/>
      <w:lvlText w:val="%1."/>
      <w:lvlJc w:val="left"/>
      <w:pPr>
        <w:ind w:left="360" w:hanging="360"/>
      </w:pPr>
      <w:rPr>
        <w:rFonts w:hint="default"/>
        <w:b/>
        <w:bCs/>
      </w:rPr>
    </w:lvl>
    <w:lvl w:ilvl="1">
      <w:start w:val="1"/>
      <w:numFmt w:val="decimal"/>
      <w:pStyle w:val="3"/>
      <w:lvlText w:val="%1.%2."/>
      <w:lvlJc w:val="left"/>
      <w:pPr>
        <w:ind w:left="432" w:hanging="432"/>
      </w:pPr>
      <w:rPr>
        <w:rFonts w:cs="David"/>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1E369C"/>
    <w:multiLevelType w:val="multilevel"/>
    <w:tmpl w:val="285258F2"/>
    <w:lvl w:ilvl="0">
      <w:start w:val="3"/>
      <w:numFmt w:val="decimal"/>
      <w:lvlText w:val="%1."/>
      <w:lvlJc w:val="left"/>
      <w:pPr>
        <w:ind w:left="360" w:hanging="360"/>
      </w:pPr>
      <w:rPr>
        <w:rFonts w:hint="default"/>
        <w:b/>
      </w:rPr>
    </w:lvl>
    <w:lvl w:ilvl="1">
      <w:start w:val="1"/>
      <w:numFmt w:val="decimal"/>
      <w:lvlText w:val="%1.%2."/>
      <w:lvlJc w:val="left"/>
      <w:pPr>
        <w:ind w:left="786" w:hanging="360"/>
      </w:pPr>
      <w:rPr>
        <w:rFonts w:cs="David"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nsid w:val="5CAB432A"/>
    <w:multiLevelType w:val="hybridMultilevel"/>
    <w:tmpl w:val="DFA8B18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0">
    <w:nsid w:val="65831CFC"/>
    <w:multiLevelType w:val="multilevel"/>
    <w:tmpl w:val="583AFFC0"/>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332493"/>
    <w:multiLevelType w:val="hybridMultilevel"/>
    <w:tmpl w:val="E3A85014"/>
    <w:lvl w:ilvl="0" w:tplc="C4D4959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F0770"/>
    <w:multiLevelType w:val="hybridMultilevel"/>
    <w:tmpl w:val="FF48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930D3"/>
    <w:multiLevelType w:val="hybridMultilevel"/>
    <w:tmpl w:val="FA44B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DF770C"/>
    <w:multiLevelType w:val="hybridMultilevel"/>
    <w:tmpl w:val="C03E8636"/>
    <w:lvl w:ilvl="0" w:tplc="B3763DBC">
      <w:numFmt w:val="bullet"/>
      <w:lvlText w:val="-"/>
      <w:lvlJc w:val="left"/>
      <w:pPr>
        <w:ind w:left="728" w:hanging="360"/>
      </w:pPr>
      <w:rPr>
        <w:rFonts w:ascii="Times New Roman" w:eastAsiaTheme="minorHAnsi" w:hAnsi="Times New Roman" w:cs="David"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5">
    <w:nsid w:val="7FFB16B7"/>
    <w:multiLevelType w:val="hybridMultilevel"/>
    <w:tmpl w:val="EC8097BA"/>
    <w:lvl w:ilvl="0" w:tplc="0DD4C898">
      <w:numFmt w:val="bullet"/>
      <w:lvlText w:val="-"/>
      <w:lvlJc w:val="left"/>
      <w:pPr>
        <w:ind w:left="720" w:hanging="360"/>
      </w:pPr>
      <w:rPr>
        <w:rFonts w:ascii="Times New Roman" w:eastAsiaTheme="minorHAnsi" w:hAnsi="Times New Roman"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0"/>
  </w:num>
  <w:num w:numId="5">
    <w:abstractNumId w:val="21"/>
  </w:num>
  <w:num w:numId="6">
    <w:abstractNumId w:val="7"/>
  </w:num>
  <w:num w:numId="7">
    <w:abstractNumId w:val="23"/>
  </w:num>
  <w:num w:numId="8">
    <w:abstractNumId w:val="15"/>
  </w:num>
  <w:num w:numId="9">
    <w:abstractNumId w:val="12"/>
  </w:num>
  <w:num w:numId="10">
    <w:abstractNumId w:val="19"/>
  </w:num>
  <w:num w:numId="11">
    <w:abstractNumId w:val="4"/>
  </w:num>
  <w:num w:numId="12">
    <w:abstractNumId w:val="0"/>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1"/>
  </w:num>
  <w:num w:numId="18">
    <w:abstractNumId w:val="14"/>
  </w:num>
  <w:num w:numId="19">
    <w:abstractNumId w:val="1"/>
  </w:num>
  <w:num w:numId="20">
    <w:abstractNumId w:val="3"/>
  </w:num>
  <w:num w:numId="21">
    <w:abstractNumId w:val="9"/>
  </w:num>
  <w:num w:numId="22">
    <w:abstractNumId w:val="10"/>
  </w:num>
  <w:num w:numId="23">
    <w:abstractNumId w:val="17"/>
  </w:num>
  <w:num w:numId="24">
    <w:abstractNumId w:val="22"/>
  </w:num>
  <w:num w:numId="25">
    <w:abstractNumId w:val="18"/>
  </w:num>
  <w:num w:numId="26">
    <w:abstractNumId w:val="6"/>
  </w:num>
  <w:num w:numId="27">
    <w:abstractNumId w:val="2"/>
  </w:num>
  <w:num w:numId="28">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rson w15:author="boiuser">
    <w15:presenceInfo w15:providerId="None" w15:userId="bo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BE"/>
    <w:rsid w:val="00000D15"/>
    <w:rsid w:val="00001285"/>
    <w:rsid w:val="000018FE"/>
    <w:rsid w:val="000022DC"/>
    <w:rsid w:val="0000278A"/>
    <w:rsid w:val="00002CE6"/>
    <w:rsid w:val="00003304"/>
    <w:rsid w:val="00003B8D"/>
    <w:rsid w:val="00004683"/>
    <w:rsid w:val="000048DC"/>
    <w:rsid w:val="00005354"/>
    <w:rsid w:val="00005C5B"/>
    <w:rsid w:val="00005CAA"/>
    <w:rsid w:val="00005D35"/>
    <w:rsid w:val="0000605D"/>
    <w:rsid w:val="00006B8C"/>
    <w:rsid w:val="00006F6A"/>
    <w:rsid w:val="000070F0"/>
    <w:rsid w:val="00007DAB"/>
    <w:rsid w:val="00007F5B"/>
    <w:rsid w:val="00011B29"/>
    <w:rsid w:val="00013079"/>
    <w:rsid w:val="00013DA2"/>
    <w:rsid w:val="00014419"/>
    <w:rsid w:val="00014735"/>
    <w:rsid w:val="00014C0C"/>
    <w:rsid w:val="00014C62"/>
    <w:rsid w:val="00014E5D"/>
    <w:rsid w:val="00015E66"/>
    <w:rsid w:val="00015EB3"/>
    <w:rsid w:val="00016219"/>
    <w:rsid w:val="0001786F"/>
    <w:rsid w:val="00017A1F"/>
    <w:rsid w:val="00017DD1"/>
    <w:rsid w:val="00017E11"/>
    <w:rsid w:val="00017ED8"/>
    <w:rsid w:val="00020B33"/>
    <w:rsid w:val="00020DD6"/>
    <w:rsid w:val="0002196C"/>
    <w:rsid w:val="000221CF"/>
    <w:rsid w:val="0002263A"/>
    <w:rsid w:val="0002282E"/>
    <w:rsid w:val="00022967"/>
    <w:rsid w:val="000238FB"/>
    <w:rsid w:val="00023E2E"/>
    <w:rsid w:val="00023F35"/>
    <w:rsid w:val="0002439F"/>
    <w:rsid w:val="00025401"/>
    <w:rsid w:val="0002586F"/>
    <w:rsid w:val="00025B50"/>
    <w:rsid w:val="000262BF"/>
    <w:rsid w:val="000267E5"/>
    <w:rsid w:val="00026A1A"/>
    <w:rsid w:val="00026A47"/>
    <w:rsid w:val="00027CAA"/>
    <w:rsid w:val="00027CBE"/>
    <w:rsid w:val="00031076"/>
    <w:rsid w:val="00031A7D"/>
    <w:rsid w:val="00032102"/>
    <w:rsid w:val="0003301E"/>
    <w:rsid w:val="00033CD1"/>
    <w:rsid w:val="00033F9D"/>
    <w:rsid w:val="000347C6"/>
    <w:rsid w:val="0003520A"/>
    <w:rsid w:val="00035247"/>
    <w:rsid w:val="000368C3"/>
    <w:rsid w:val="0003696E"/>
    <w:rsid w:val="00037B1E"/>
    <w:rsid w:val="000401E3"/>
    <w:rsid w:val="00041127"/>
    <w:rsid w:val="000411F7"/>
    <w:rsid w:val="00041398"/>
    <w:rsid w:val="0004159B"/>
    <w:rsid w:val="00041F24"/>
    <w:rsid w:val="00042F32"/>
    <w:rsid w:val="00043BB2"/>
    <w:rsid w:val="000441DE"/>
    <w:rsid w:val="000444F1"/>
    <w:rsid w:val="000448B7"/>
    <w:rsid w:val="000453F3"/>
    <w:rsid w:val="000460A3"/>
    <w:rsid w:val="0004691F"/>
    <w:rsid w:val="0005120B"/>
    <w:rsid w:val="00051329"/>
    <w:rsid w:val="00051531"/>
    <w:rsid w:val="00051BDC"/>
    <w:rsid w:val="00051E08"/>
    <w:rsid w:val="00052F53"/>
    <w:rsid w:val="00052FE2"/>
    <w:rsid w:val="00053287"/>
    <w:rsid w:val="00053872"/>
    <w:rsid w:val="00053E0F"/>
    <w:rsid w:val="0005495C"/>
    <w:rsid w:val="00054BA3"/>
    <w:rsid w:val="00054E98"/>
    <w:rsid w:val="00055261"/>
    <w:rsid w:val="000552D3"/>
    <w:rsid w:val="00055936"/>
    <w:rsid w:val="00056486"/>
    <w:rsid w:val="00056C44"/>
    <w:rsid w:val="00056D0F"/>
    <w:rsid w:val="00057A86"/>
    <w:rsid w:val="00060B05"/>
    <w:rsid w:val="00060FEE"/>
    <w:rsid w:val="000619BA"/>
    <w:rsid w:val="000627CD"/>
    <w:rsid w:val="000628BD"/>
    <w:rsid w:val="00062BC1"/>
    <w:rsid w:val="000635A9"/>
    <w:rsid w:val="00063703"/>
    <w:rsid w:val="00063902"/>
    <w:rsid w:val="00063DF5"/>
    <w:rsid w:val="00064DCB"/>
    <w:rsid w:val="0006508D"/>
    <w:rsid w:val="00065C8A"/>
    <w:rsid w:val="00066687"/>
    <w:rsid w:val="0006706C"/>
    <w:rsid w:val="00067735"/>
    <w:rsid w:val="00067C02"/>
    <w:rsid w:val="0007003A"/>
    <w:rsid w:val="0007083B"/>
    <w:rsid w:val="0007090F"/>
    <w:rsid w:val="00072624"/>
    <w:rsid w:val="000726CC"/>
    <w:rsid w:val="00072E25"/>
    <w:rsid w:val="00073793"/>
    <w:rsid w:val="00073E34"/>
    <w:rsid w:val="00073F62"/>
    <w:rsid w:val="000740F2"/>
    <w:rsid w:val="0007564B"/>
    <w:rsid w:val="00075729"/>
    <w:rsid w:val="0007654C"/>
    <w:rsid w:val="00076D50"/>
    <w:rsid w:val="00077F7F"/>
    <w:rsid w:val="0008002F"/>
    <w:rsid w:val="00080799"/>
    <w:rsid w:val="00081851"/>
    <w:rsid w:val="00082171"/>
    <w:rsid w:val="000821EF"/>
    <w:rsid w:val="00082C66"/>
    <w:rsid w:val="00082F23"/>
    <w:rsid w:val="000832CC"/>
    <w:rsid w:val="000837D2"/>
    <w:rsid w:val="00083DB4"/>
    <w:rsid w:val="000843D9"/>
    <w:rsid w:val="000846AA"/>
    <w:rsid w:val="0008487D"/>
    <w:rsid w:val="00084A2E"/>
    <w:rsid w:val="00085884"/>
    <w:rsid w:val="0008593C"/>
    <w:rsid w:val="00085CC2"/>
    <w:rsid w:val="000866C2"/>
    <w:rsid w:val="00086861"/>
    <w:rsid w:val="00086F4C"/>
    <w:rsid w:val="00087161"/>
    <w:rsid w:val="0008744B"/>
    <w:rsid w:val="00087663"/>
    <w:rsid w:val="00087757"/>
    <w:rsid w:val="00087BA2"/>
    <w:rsid w:val="00087F51"/>
    <w:rsid w:val="00090F6F"/>
    <w:rsid w:val="00091204"/>
    <w:rsid w:val="00091208"/>
    <w:rsid w:val="0009173B"/>
    <w:rsid w:val="00091996"/>
    <w:rsid w:val="00092014"/>
    <w:rsid w:val="0009222E"/>
    <w:rsid w:val="000935C4"/>
    <w:rsid w:val="00094802"/>
    <w:rsid w:val="00094C3E"/>
    <w:rsid w:val="000970C5"/>
    <w:rsid w:val="00097594"/>
    <w:rsid w:val="000979DF"/>
    <w:rsid w:val="00097C53"/>
    <w:rsid w:val="000A1B27"/>
    <w:rsid w:val="000A2D42"/>
    <w:rsid w:val="000A31E9"/>
    <w:rsid w:val="000A345B"/>
    <w:rsid w:val="000A3635"/>
    <w:rsid w:val="000A36D4"/>
    <w:rsid w:val="000A579F"/>
    <w:rsid w:val="000A5ABA"/>
    <w:rsid w:val="000A5BF8"/>
    <w:rsid w:val="000A5EEF"/>
    <w:rsid w:val="000A61D8"/>
    <w:rsid w:val="000A7767"/>
    <w:rsid w:val="000B00EE"/>
    <w:rsid w:val="000B043F"/>
    <w:rsid w:val="000B1288"/>
    <w:rsid w:val="000B28E7"/>
    <w:rsid w:val="000B2C99"/>
    <w:rsid w:val="000B2ED8"/>
    <w:rsid w:val="000B43AE"/>
    <w:rsid w:val="000B45DA"/>
    <w:rsid w:val="000B4A65"/>
    <w:rsid w:val="000B4DED"/>
    <w:rsid w:val="000B53A4"/>
    <w:rsid w:val="000B60F6"/>
    <w:rsid w:val="000B6D8D"/>
    <w:rsid w:val="000B6E93"/>
    <w:rsid w:val="000B778A"/>
    <w:rsid w:val="000B78AF"/>
    <w:rsid w:val="000C08EF"/>
    <w:rsid w:val="000C102C"/>
    <w:rsid w:val="000C1E24"/>
    <w:rsid w:val="000C25B1"/>
    <w:rsid w:val="000C36F9"/>
    <w:rsid w:val="000C42A6"/>
    <w:rsid w:val="000C5BC4"/>
    <w:rsid w:val="000C5D3F"/>
    <w:rsid w:val="000C5DE7"/>
    <w:rsid w:val="000C6BA6"/>
    <w:rsid w:val="000C7608"/>
    <w:rsid w:val="000D081E"/>
    <w:rsid w:val="000D1538"/>
    <w:rsid w:val="000D1B67"/>
    <w:rsid w:val="000D236B"/>
    <w:rsid w:val="000D3425"/>
    <w:rsid w:val="000D3E2B"/>
    <w:rsid w:val="000D5355"/>
    <w:rsid w:val="000D541C"/>
    <w:rsid w:val="000D55C7"/>
    <w:rsid w:val="000D5635"/>
    <w:rsid w:val="000D5BEA"/>
    <w:rsid w:val="000D5C7A"/>
    <w:rsid w:val="000D5E9A"/>
    <w:rsid w:val="000D65DA"/>
    <w:rsid w:val="000D76EF"/>
    <w:rsid w:val="000E07C0"/>
    <w:rsid w:val="000E0BD8"/>
    <w:rsid w:val="000E1807"/>
    <w:rsid w:val="000E192F"/>
    <w:rsid w:val="000E29A7"/>
    <w:rsid w:val="000E35A0"/>
    <w:rsid w:val="000E3B9A"/>
    <w:rsid w:val="000E4022"/>
    <w:rsid w:val="000E43A9"/>
    <w:rsid w:val="000E4EB9"/>
    <w:rsid w:val="000E5375"/>
    <w:rsid w:val="000E555A"/>
    <w:rsid w:val="000E5833"/>
    <w:rsid w:val="000E58FC"/>
    <w:rsid w:val="000E6CCB"/>
    <w:rsid w:val="000E6FE7"/>
    <w:rsid w:val="000E7349"/>
    <w:rsid w:val="000F0C90"/>
    <w:rsid w:val="000F10D3"/>
    <w:rsid w:val="000F14A8"/>
    <w:rsid w:val="000F153C"/>
    <w:rsid w:val="000F2503"/>
    <w:rsid w:val="000F2796"/>
    <w:rsid w:val="000F3213"/>
    <w:rsid w:val="000F50A4"/>
    <w:rsid w:val="000F6635"/>
    <w:rsid w:val="000F6E65"/>
    <w:rsid w:val="000F7170"/>
    <w:rsid w:val="000F76B8"/>
    <w:rsid w:val="000F7CD2"/>
    <w:rsid w:val="000F7DB9"/>
    <w:rsid w:val="001003A3"/>
    <w:rsid w:val="00100598"/>
    <w:rsid w:val="00100834"/>
    <w:rsid w:val="001018A5"/>
    <w:rsid w:val="0010212F"/>
    <w:rsid w:val="001029D3"/>
    <w:rsid w:val="00102E08"/>
    <w:rsid w:val="0010347E"/>
    <w:rsid w:val="00104624"/>
    <w:rsid w:val="00104B1A"/>
    <w:rsid w:val="0010508F"/>
    <w:rsid w:val="001052AA"/>
    <w:rsid w:val="00105713"/>
    <w:rsid w:val="001058D9"/>
    <w:rsid w:val="001060F1"/>
    <w:rsid w:val="00106168"/>
    <w:rsid w:val="0010661E"/>
    <w:rsid w:val="00106B95"/>
    <w:rsid w:val="00106E25"/>
    <w:rsid w:val="001076F2"/>
    <w:rsid w:val="00107A1F"/>
    <w:rsid w:val="00110567"/>
    <w:rsid w:val="00110A87"/>
    <w:rsid w:val="00110B79"/>
    <w:rsid w:val="00111204"/>
    <w:rsid w:val="0011146F"/>
    <w:rsid w:val="0011198F"/>
    <w:rsid w:val="001124B6"/>
    <w:rsid w:val="001127AF"/>
    <w:rsid w:val="001130DB"/>
    <w:rsid w:val="00113C6C"/>
    <w:rsid w:val="00114DB9"/>
    <w:rsid w:val="001150F7"/>
    <w:rsid w:val="00116860"/>
    <w:rsid w:val="0011751C"/>
    <w:rsid w:val="001175E2"/>
    <w:rsid w:val="0012019E"/>
    <w:rsid w:val="00120671"/>
    <w:rsid w:val="001206B7"/>
    <w:rsid w:val="0012218F"/>
    <w:rsid w:val="00122C5A"/>
    <w:rsid w:val="001232F6"/>
    <w:rsid w:val="00125A3F"/>
    <w:rsid w:val="00125AAE"/>
    <w:rsid w:val="00125B48"/>
    <w:rsid w:val="001262F9"/>
    <w:rsid w:val="00126599"/>
    <w:rsid w:val="00126AAF"/>
    <w:rsid w:val="00126E66"/>
    <w:rsid w:val="001276C3"/>
    <w:rsid w:val="001278A9"/>
    <w:rsid w:val="00127D2D"/>
    <w:rsid w:val="00130558"/>
    <w:rsid w:val="001315F4"/>
    <w:rsid w:val="00131ED2"/>
    <w:rsid w:val="00131F08"/>
    <w:rsid w:val="0013245D"/>
    <w:rsid w:val="0013327D"/>
    <w:rsid w:val="00133479"/>
    <w:rsid w:val="001336BA"/>
    <w:rsid w:val="0013396D"/>
    <w:rsid w:val="001347D6"/>
    <w:rsid w:val="00134C92"/>
    <w:rsid w:val="00134EFA"/>
    <w:rsid w:val="00135A02"/>
    <w:rsid w:val="00136AA2"/>
    <w:rsid w:val="00140737"/>
    <w:rsid w:val="00140A61"/>
    <w:rsid w:val="00141020"/>
    <w:rsid w:val="001413EF"/>
    <w:rsid w:val="00141426"/>
    <w:rsid w:val="00141A2D"/>
    <w:rsid w:val="00141EBD"/>
    <w:rsid w:val="00142140"/>
    <w:rsid w:val="00143090"/>
    <w:rsid w:val="001440E4"/>
    <w:rsid w:val="00144661"/>
    <w:rsid w:val="001449E5"/>
    <w:rsid w:val="0014588B"/>
    <w:rsid w:val="0014631F"/>
    <w:rsid w:val="00146BE8"/>
    <w:rsid w:val="00150344"/>
    <w:rsid w:val="0015167A"/>
    <w:rsid w:val="00151CD5"/>
    <w:rsid w:val="00152332"/>
    <w:rsid w:val="001531C9"/>
    <w:rsid w:val="00153442"/>
    <w:rsid w:val="001538C4"/>
    <w:rsid w:val="00153E38"/>
    <w:rsid w:val="00154012"/>
    <w:rsid w:val="001543DE"/>
    <w:rsid w:val="00154913"/>
    <w:rsid w:val="00154A42"/>
    <w:rsid w:val="00154B76"/>
    <w:rsid w:val="00155261"/>
    <w:rsid w:val="001552F6"/>
    <w:rsid w:val="00155915"/>
    <w:rsid w:val="00155A09"/>
    <w:rsid w:val="001562BF"/>
    <w:rsid w:val="001574F8"/>
    <w:rsid w:val="00157DF0"/>
    <w:rsid w:val="00157E59"/>
    <w:rsid w:val="00160C86"/>
    <w:rsid w:val="001617D2"/>
    <w:rsid w:val="00162098"/>
    <w:rsid w:val="00162191"/>
    <w:rsid w:val="001625FB"/>
    <w:rsid w:val="00163697"/>
    <w:rsid w:val="001636F2"/>
    <w:rsid w:val="001638F9"/>
    <w:rsid w:val="001639DC"/>
    <w:rsid w:val="00163E9B"/>
    <w:rsid w:val="001654B5"/>
    <w:rsid w:val="00165D31"/>
    <w:rsid w:val="001663BC"/>
    <w:rsid w:val="00166540"/>
    <w:rsid w:val="001666F8"/>
    <w:rsid w:val="00166816"/>
    <w:rsid w:val="00166B91"/>
    <w:rsid w:val="00166D2D"/>
    <w:rsid w:val="0016766F"/>
    <w:rsid w:val="001703E6"/>
    <w:rsid w:val="001704E3"/>
    <w:rsid w:val="001706E5"/>
    <w:rsid w:val="00170D59"/>
    <w:rsid w:val="00171015"/>
    <w:rsid w:val="00171057"/>
    <w:rsid w:val="00172259"/>
    <w:rsid w:val="0017435F"/>
    <w:rsid w:val="00175321"/>
    <w:rsid w:val="00175656"/>
    <w:rsid w:val="00176BE1"/>
    <w:rsid w:val="00176EFF"/>
    <w:rsid w:val="00177008"/>
    <w:rsid w:val="00177271"/>
    <w:rsid w:val="00177884"/>
    <w:rsid w:val="00177A96"/>
    <w:rsid w:val="00177F1C"/>
    <w:rsid w:val="001807E3"/>
    <w:rsid w:val="001809AE"/>
    <w:rsid w:val="00180EB5"/>
    <w:rsid w:val="00180F27"/>
    <w:rsid w:val="00181372"/>
    <w:rsid w:val="00181ABB"/>
    <w:rsid w:val="001835B1"/>
    <w:rsid w:val="00183DE9"/>
    <w:rsid w:val="00184B73"/>
    <w:rsid w:val="00184C5F"/>
    <w:rsid w:val="001852D2"/>
    <w:rsid w:val="0018562D"/>
    <w:rsid w:val="001863D4"/>
    <w:rsid w:val="001863F1"/>
    <w:rsid w:val="001866E8"/>
    <w:rsid w:val="0018737F"/>
    <w:rsid w:val="00187510"/>
    <w:rsid w:val="00187638"/>
    <w:rsid w:val="00187746"/>
    <w:rsid w:val="0019001E"/>
    <w:rsid w:val="001909E0"/>
    <w:rsid w:val="00190C00"/>
    <w:rsid w:val="00190D3C"/>
    <w:rsid w:val="00190F6E"/>
    <w:rsid w:val="001912AC"/>
    <w:rsid w:val="0019139D"/>
    <w:rsid w:val="00191D6A"/>
    <w:rsid w:val="00192095"/>
    <w:rsid w:val="001928B9"/>
    <w:rsid w:val="001928F2"/>
    <w:rsid w:val="00192E34"/>
    <w:rsid w:val="00193F75"/>
    <w:rsid w:val="00194DE4"/>
    <w:rsid w:val="001951B7"/>
    <w:rsid w:val="00195201"/>
    <w:rsid w:val="00195307"/>
    <w:rsid w:val="001955C1"/>
    <w:rsid w:val="00196585"/>
    <w:rsid w:val="00196F58"/>
    <w:rsid w:val="00197A42"/>
    <w:rsid w:val="00197F15"/>
    <w:rsid w:val="001A037B"/>
    <w:rsid w:val="001A038D"/>
    <w:rsid w:val="001A049E"/>
    <w:rsid w:val="001A06BA"/>
    <w:rsid w:val="001A0BE5"/>
    <w:rsid w:val="001A0F07"/>
    <w:rsid w:val="001A1A91"/>
    <w:rsid w:val="001A1E0A"/>
    <w:rsid w:val="001A1E32"/>
    <w:rsid w:val="001A26CB"/>
    <w:rsid w:val="001A2CCB"/>
    <w:rsid w:val="001A409C"/>
    <w:rsid w:val="001A435F"/>
    <w:rsid w:val="001A57C7"/>
    <w:rsid w:val="001A5A1F"/>
    <w:rsid w:val="001A5C06"/>
    <w:rsid w:val="001A5D6C"/>
    <w:rsid w:val="001A7147"/>
    <w:rsid w:val="001B0274"/>
    <w:rsid w:val="001B068D"/>
    <w:rsid w:val="001B069D"/>
    <w:rsid w:val="001B124C"/>
    <w:rsid w:val="001B145A"/>
    <w:rsid w:val="001B146B"/>
    <w:rsid w:val="001B18C0"/>
    <w:rsid w:val="001B1A9C"/>
    <w:rsid w:val="001B2137"/>
    <w:rsid w:val="001B22DC"/>
    <w:rsid w:val="001B241B"/>
    <w:rsid w:val="001B376A"/>
    <w:rsid w:val="001B475A"/>
    <w:rsid w:val="001B4F62"/>
    <w:rsid w:val="001B5083"/>
    <w:rsid w:val="001B52EC"/>
    <w:rsid w:val="001B5621"/>
    <w:rsid w:val="001B5C76"/>
    <w:rsid w:val="001B6365"/>
    <w:rsid w:val="001B7AEC"/>
    <w:rsid w:val="001B7C5E"/>
    <w:rsid w:val="001C0EAA"/>
    <w:rsid w:val="001C0F2E"/>
    <w:rsid w:val="001C17A7"/>
    <w:rsid w:val="001C1F4F"/>
    <w:rsid w:val="001C231F"/>
    <w:rsid w:val="001C33CE"/>
    <w:rsid w:val="001C3E6F"/>
    <w:rsid w:val="001C40AA"/>
    <w:rsid w:val="001C4B38"/>
    <w:rsid w:val="001C4B57"/>
    <w:rsid w:val="001C4F32"/>
    <w:rsid w:val="001C4F3B"/>
    <w:rsid w:val="001C50E5"/>
    <w:rsid w:val="001C5360"/>
    <w:rsid w:val="001C57E9"/>
    <w:rsid w:val="001C5C2D"/>
    <w:rsid w:val="001C63BA"/>
    <w:rsid w:val="001C64E7"/>
    <w:rsid w:val="001C6D0A"/>
    <w:rsid w:val="001C72E9"/>
    <w:rsid w:val="001C79B1"/>
    <w:rsid w:val="001C7CFA"/>
    <w:rsid w:val="001D0043"/>
    <w:rsid w:val="001D02AE"/>
    <w:rsid w:val="001D0818"/>
    <w:rsid w:val="001D0CD2"/>
    <w:rsid w:val="001D258D"/>
    <w:rsid w:val="001D29C7"/>
    <w:rsid w:val="001D29DC"/>
    <w:rsid w:val="001D3A83"/>
    <w:rsid w:val="001D44B6"/>
    <w:rsid w:val="001D47A1"/>
    <w:rsid w:val="001D4855"/>
    <w:rsid w:val="001D50C2"/>
    <w:rsid w:val="001D58EC"/>
    <w:rsid w:val="001D6534"/>
    <w:rsid w:val="001D6E95"/>
    <w:rsid w:val="001D725A"/>
    <w:rsid w:val="001D7849"/>
    <w:rsid w:val="001D7B47"/>
    <w:rsid w:val="001E067A"/>
    <w:rsid w:val="001E0935"/>
    <w:rsid w:val="001E0C5F"/>
    <w:rsid w:val="001E1E23"/>
    <w:rsid w:val="001E1EE4"/>
    <w:rsid w:val="001E1F26"/>
    <w:rsid w:val="001E2A9B"/>
    <w:rsid w:val="001E425E"/>
    <w:rsid w:val="001E4C4B"/>
    <w:rsid w:val="001E4E4F"/>
    <w:rsid w:val="001E5888"/>
    <w:rsid w:val="001E5AD2"/>
    <w:rsid w:val="001E63E4"/>
    <w:rsid w:val="001E6C26"/>
    <w:rsid w:val="001E6C76"/>
    <w:rsid w:val="001E6D0D"/>
    <w:rsid w:val="001E6E5B"/>
    <w:rsid w:val="001E6FC5"/>
    <w:rsid w:val="001E7529"/>
    <w:rsid w:val="001E7EE7"/>
    <w:rsid w:val="001F0235"/>
    <w:rsid w:val="001F0967"/>
    <w:rsid w:val="001F0BA2"/>
    <w:rsid w:val="001F1146"/>
    <w:rsid w:val="001F16DC"/>
    <w:rsid w:val="001F29D5"/>
    <w:rsid w:val="001F48FB"/>
    <w:rsid w:val="001F4E43"/>
    <w:rsid w:val="001F5108"/>
    <w:rsid w:val="001F5DC4"/>
    <w:rsid w:val="001F6003"/>
    <w:rsid w:val="001F6225"/>
    <w:rsid w:val="001F6AC0"/>
    <w:rsid w:val="001F750C"/>
    <w:rsid w:val="0020072B"/>
    <w:rsid w:val="00200734"/>
    <w:rsid w:val="00201238"/>
    <w:rsid w:val="002012FD"/>
    <w:rsid w:val="00201D3D"/>
    <w:rsid w:val="00202358"/>
    <w:rsid w:val="00202488"/>
    <w:rsid w:val="00202B67"/>
    <w:rsid w:val="002040BB"/>
    <w:rsid w:val="00204577"/>
    <w:rsid w:val="00205C8E"/>
    <w:rsid w:val="00205F2D"/>
    <w:rsid w:val="00206885"/>
    <w:rsid w:val="002068F5"/>
    <w:rsid w:val="00207154"/>
    <w:rsid w:val="00207391"/>
    <w:rsid w:val="00210CBE"/>
    <w:rsid w:val="00210E2A"/>
    <w:rsid w:val="002111F1"/>
    <w:rsid w:val="00211420"/>
    <w:rsid w:val="00211857"/>
    <w:rsid w:val="00211F04"/>
    <w:rsid w:val="002132F5"/>
    <w:rsid w:val="002134AB"/>
    <w:rsid w:val="00214B17"/>
    <w:rsid w:val="00214C37"/>
    <w:rsid w:val="002152AB"/>
    <w:rsid w:val="00215DB3"/>
    <w:rsid w:val="00216120"/>
    <w:rsid w:val="00216791"/>
    <w:rsid w:val="00216A72"/>
    <w:rsid w:val="002176F6"/>
    <w:rsid w:val="002200B9"/>
    <w:rsid w:val="0022029E"/>
    <w:rsid w:val="00220A7D"/>
    <w:rsid w:val="00221183"/>
    <w:rsid w:val="00221698"/>
    <w:rsid w:val="0022170A"/>
    <w:rsid w:val="00221AB7"/>
    <w:rsid w:val="00222A7E"/>
    <w:rsid w:val="0022307B"/>
    <w:rsid w:val="002235E3"/>
    <w:rsid w:val="00223C94"/>
    <w:rsid w:val="00224166"/>
    <w:rsid w:val="00224443"/>
    <w:rsid w:val="00224DFE"/>
    <w:rsid w:val="00224E4C"/>
    <w:rsid w:val="0022600C"/>
    <w:rsid w:val="002260BD"/>
    <w:rsid w:val="00226126"/>
    <w:rsid w:val="002272A8"/>
    <w:rsid w:val="002272F9"/>
    <w:rsid w:val="00227B8F"/>
    <w:rsid w:val="00230EE1"/>
    <w:rsid w:val="00231C38"/>
    <w:rsid w:val="00231FEA"/>
    <w:rsid w:val="002328C5"/>
    <w:rsid w:val="00232D44"/>
    <w:rsid w:val="00232F58"/>
    <w:rsid w:val="00233402"/>
    <w:rsid w:val="00233645"/>
    <w:rsid w:val="002346EB"/>
    <w:rsid w:val="00234EC6"/>
    <w:rsid w:val="0023609E"/>
    <w:rsid w:val="00236576"/>
    <w:rsid w:val="00236B97"/>
    <w:rsid w:val="00236BC2"/>
    <w:rsid w:val="00236E11"/>
    <w:rsid w:val="00236E4E"/>
    <w:rsid w:val="00240191"/>
    <w:rsid w:val="00240475"/>
    <w:rsid w:val="0024074E"/>
    <w:rsid w:val="00241C3A"/>
    <w:rsid w:val="00243583"/>
    <w:rsid w:val="002435AF"/>
    <w:rsid w:val="00243D93"/>
    <w:rsid w:val="0024411E"/>
    <w:rsid w:val="00244260"/>
    <w:rsid w:val="00244351"/>
    <w:rsid w:val="00245B6C"/>
    <w:rsid w:val="00246641"/>
    <w:rsid w:val="00246791"/>
    <w:rsid w:val="002472F3"/>
    <w:rsid w:val="0024775B"/>
    <w:rsid w:val="00247DB3"/>
    <w:rsid w:val="00251830"/>
    <w:rsid w:val="00251FC8"/>
    <w:rsid w:val="00252145"/>
    <w:rsid w:val="0025324A"/>
    <w:rsid w:val="002534A2"/>
    <w:rsid w:val="00253792"/>
    <w:rsid w:val="00253B7E"/>
    <w:rsid w:val="00253C07"/>
    <w:rsid w:val="0025589A"/>
    <w:rsid w:val="00255A64"/>
    <w:rsid w:val="00255B50"/>
    <w:rsid w:val="00255C2F"/>
    <w:rsid w:val="00256D70"/>
    <w:rsid w:val="00257C4C"/>
    <w:rsid w:val="00257F9F"/>
    <w:rsid w:val="002600DA"/>
    <w:rsid w:val="00260F5B"/>
    <w:rsid w:val="0026165F"/>
    <w:rsid w:val="002623E0"/>
    <w:rsid w:val="0026243A"/>
    <w:rsid w:val="002625B7"/>
    <w:rsid w:val="0026346A"/>
    <w:rsid w:val="002635F2"/>
    <w:rsid w:val="0026399E"/>
    <w:rsid w:val="00264187"/>
    <w:rsid w:val="002645D4"/>
    <w:rsid w:val="0026623C"/>
    <w:rsid w:val="002662B2"/>
    <w:rsid w:val="00267005"/>
    <w:rsid w:val="00267E07"/>
    <w:rsid w:val="00270304"/>
    <w:rsid w:val="00270451"/>
    <w:rsid w:val="0027055F"/>
    <w:rsid w:val="00270BAA"/>
    <w:rsid w:val="00271BD4"/>
    <w:rsid w:val="002726E4"/>
    <w:rsid w:val="002738D9"/>
    <w:rsid w:val="002741A6"/>
    <w:rsid w:val="002744CC"/>
    <w:rsid w:val="00274EA9"/>
    <w:rsid w:val="00274FE6"/>
    <w:rsid w:val="0027520D"/>
    <w:rsid w:val="0027530D"/>
    <w:rsid w:val="00275390"/>
    <w:rsid w:val="00275EAF"/>
    <w:rsid w:val="00276325"/>
    <w:rsid w:val="00276E77"/>
    <w:rsid w:val="00277545"/>
    <w:rsid w:val="00277595"/>
    <w:rsid w:val="00277DA5"/>
    <w:rsid w:val="002811CC"/>
    <w:rsid w:val="00282331"/>
    <w:rsid w:val="0028240D"/>
    <w:rsid w:val="002832D8"/>
    <w:rsid w:val="00283758"/>
    <w:rsid w:val="00284198"/>
    <w:rsid w:val="002841F5"/>
    <w:rsid w:val="0028465B"/>
    <w:rsid w:val="002849BF"/>
    <w:rsid w:val="00284E04"/>
    <w:rsid w:val="00285241"/>
    <w:rsid w:val="002857EC"/>
    <w:rsid w:val="00285B36"/>
    <w:rsid w:val="00286393"/>
    <w:rsid w:val="002867C3"/>
    <w:rsid w:val="00286AB1"/>
    <w:rsid w:val="00286CF4"/>
    <w:rsid w:val="002878E2"/>
    <w:rsid w:val="00287D78"/>
    <w:rsid w:val="00287DA9"/>
    <w:rsid w:val="00290E1A"/>
    <w:rsid w:val="0029127E"/>
    <w:rsid w:val="00291763"/>
    <w:rsid w:val="00291E06"/>
    <w:rsid w:val="00292168"/>
    <w:rsid w:val="0029218F"/>
    <w:rsid w:val="0029221C"/>
    <w:rsid w:val="002922F8"/>
    <w:rsid w:val="00292931"/>
    <w:rsid w:val="002929B2"/>
    <w:rsid w:val="00294AE4"/>
    <w:rsid w:val="00294E9E"/>
    <w:rsid w:val="00294EB4"/>
    <w:rsid w:val="0029559F"/>
    <w:rsid w:val="002955DE"/>
    <w:rsid w:val="00295B41"/>
    <w:rsid w:val="00296705"/>
    <w:rsid w:val="002976D9"/>
    <w:rsid w:val="002A00FF"/>
    <w:rsid w:val="002A033C"/>
    <w:rsid w:val="002A0352"/>
    <w:rsid w:val="002A0656"/>
    <w:rsid w:val="002A0D61"/>
    <w:rsid w:val="002A158B"/>
    <w:rsid w:val="002A1E5C"/>
    <w:rsid w:val="002A2C1D"/>
    <w:rsid w:val="002A2DF6"/>
    <w:rsid w:val="002A377D"/>
    <w:rsid w:val="002A37DD"/>
    <w:rsid w:val="002A3E98"/>
    <w:rsid w:val="002A4300"/>
    <w:rsid w:val="002A6FA6"/>
    <w:rsid w:val="002A7C40"/>
    <w:rsid w:val="002B0B77"/>
    <w:rsid w:val="002B0FEE"/>
    <w:rsid w:val="002B1C19"/>
    <w:rsid w:val="002B3CCC"/>
    <w:rsid w:val="002B4252"/>
    <w:rsid w:val="002B43AF"/>
    <w:rsid w:val="002B7017"/>
    <w:rsid w:val="002B745C"/>
    <w:rsid w:val="002B78BD"/>
    <w:rsid w:val="002C024B"/>
    <w:rsid w:val="002C06DD"/>
    <w:rsid w:val="002C24B9"/>
    <w:rsid w:val="002C2573"/>
    <w:rsid w:val="002C32D5"/>
    <w:rsid w:val="002C3F00"/>
    <w:rsid w:val="002C43B8"/>
    <w:rsid w:val="002C48DC"/>
    <w:rsid w:val="002C4ABE"/>
    <w:rsid w:val="002C4B54"/>
    <w:rsid w:val="002C4C0C"/>
    <w:rsid w:val="002C4C61"/>
    <w:rsid w:val="002C5177"/>
    <w:rsid w:val="002C51DB"/>
    <w:rsid w:val="002C530C"/>
    <w:rsid w:val="002C546F"/>
    <w:rsid w:val="002C55E9"/>
    <w:rsid w:val="002C5B93"/>
    <w:rsid w:val="002C63C2"/>
    <w:rsid w:val="002C6A71"/>
    <w:rsid w:val="002D01C9"/>
    <w:rsid w:val="002D04D5"/>
    <w:rsid w:val="002D0578"/>
    <w:rsid w:val="002D0AA2"/>
    <w:rsid w:val="002D2CA9"/>
    <w:rsid w:val="002D3256"/>
    <w:rsid w:val="002D3B17"/>
    <w:rsid w:val="002D5066"/>
    <w:rsid w:val="002D56AA"/>
    <w:rsid w:val="002D6248"/>
    <w:rsid w:val="002D62F1"/>
    <w:rsid w:val="002D64BD"/>
    <w:rsid w:val="002D6820"/>
    <w:rsid w:val="002D721C"/>
    <w:rsid w:val="002D7518"/>
    <w:rsid w:val="002E0133"/>
    <w:rsid w:val="002E1254"/>
    <w:rsid w:val="002E1269"/>
    <w:rsid w:val="002E1777"/>
    <w:rsid w:val="002E17F8"/>
    <w:rsid w:val="002E1B15"/>
    <w:rsid w:val="002E1FC3"/>
    <w:rsid w:val="002E2379"/>
    <w:rsid w:val="002E4C57"/>
    <w:rsid w:val="002E54BE"/>
    <w:rsid w:val="002E58D0"/>
    <w:rsid w:val="002E5C1F"/>
    <w:rsid w:val="002E672A"/>
    <w:rsid w:val="002E7179"/>
    <w:rsid w:val="002E7285"/>
    <w:rsid w:val="002E75CF"/>
    <w:rsid w:val="002E7B7E"/>
    <w:rsid w:val="002E7EAA"/>
    <w:rsid w:val="002F0257"/>
    <w:rsid w:val="002F0D59"/>
    <w:rsid w:val="002F1461"/>
    <w:rsid w:val="002F172D"/>
    <w:rsid w:val="002F186F"/>
    <w:rsid w:val="002F194B"/>
    <w:rsid w:val="002F1FC4"/>
    <w:rsid w:val="002F24D1"/>
    <w:rsid w:val="002F2C9D"/>
    <w:rsid w:val="002F3ED3"/>
    <w:rsid w:val="002F43DC"/>
    <w:rsid w:val="002F465C"/>
    <w:rsid w:val="002F4845"/>
    <w:rsid w:val="002F4B58"/>
    <w:rsid w:val="002F4BDB"/>
    <w:rsid w:val="002F5F8B"/>
    <w:rsid w:val="002F73D3"/>
    <w:rsid w:val="00300E25"/>
    <w:rsid w:val="003012A7"/>
    <w:rsid w:val="00301495"/>
    <w:rsid w:val="00301673"/>
    <w:rsid w:val="003018BC"/>
    <w:rsid w:val="003028BA"/>
    <w:rsid w:val="00303B83"/>
    <w:rsid w:val="003041EC"/>
    <w:rsid w:val="00304272"/>
    <w:rsid w:val="00304548"/>
    <w:rsid w:val="003048F9"/>
    <w:rsid w:val="0030509C"/>
    <w:rsid w:val="0030690C"/>
    <w:rsid w:val="00306B30"/>
    <w:rsid w:val="0030742D"/>
    <w:rsid w:val="00307FCB"/>
    <w:rsid w:val="00310003"/>
    <w:rsid w:val="0031040E"/>
    <w:rsid w:val="0031048F"/>
    <w:rsid w:val="0031095D"/>
    <w:rsid w:val="00310ED4"/>
    <w:rsid w:val="003114CB"/>
    <w:rsid w:val="00311B1F"/>
    <w:rsid w:val="00311F53"/>
    <w:rsid w:val="00312211"/>
    <w:rsid w:val="00312B9A"/>
    <w:rsid w:val="00312C39"/>
    <w:rsid w:val="00312FAD"/>
    <w:rsid w:val="00313230"/>
    <w:rsid w:val="00313629"/>
    <w:rsid w:val="00313FF7"/>
    <w:rsid w:val="0031512D"/>
    <w:rsid w:val="00315479"/>
    <w:rsid w:val="00315A8C"/>
    <w:rsid w:val="00315C8A"/>
    <w:rsid w:val="00316191"/>
    <w:rsid w:val="003163B1"/>
    <w:rsid w:val="00316EA6"/>
    <w:rsid w:val="0031785A"/>
    <w:rsid w:val="00317999"/>
    <w:rsid w:val="00321B72"/>
    <w:rsid w:val="00322504"/>
    <w:rsid w:val="00323C2E"/>
    <w:rsid w:val="00323DDC"/>
    <w:rsid w:val="0032400F"/>
    <w:rsid w:val="003248C8"/>
    <w:rsid w:val="0032532E"/>
    <w:rsid w:val="00325334"/>
    <w:rsid w:val="003254CB"/>
    <w:rsid w:val="0032607A"/>
    <w:rsid w:val="003261B4"/>
    <w:rsid w:val="00326D41"/>
    <w:rsid w:val="003271A8"/>
    <w:rsid w:val="00330029"/>
    <w:rsid w:val="003304B8"/>
    <w:rsid w:val="003310B1"/>
    <w:rsid w:val="00331267"/>
    <w:rsid w:val="0033142D"/>
    <w:rsid w:val="0033175C"/>
    <w:rsid w:val="00332111"/>
    <w:rsid w:val="003323E8"/>
    <w:rsid w:val="00332619"/>
    <w:rsid w:val="00332784"/>
    <w:rsid w:val="00332D9C"/>
    <w:rsid w:val="00332FE2"/>
    <w:rsid w:val="00333E89"/>
    <w:rsid w:val="00334F92"/>
    <w:rsid w:val="00335ED0"/>
    <w:rsid w:val="00336723"/>
    <w:rsid w:val="00337185"/>
    <w:rsid w:val="003406DA"/>
    <w:rsid w:val="0034077D"/>
    <w:rsid w:val="0034079D"/>
    <w:rsid w:val="0034098B"/>
    <w:rsid w:val="003411CE"/>
    <w:rsid w:val="0034174A"/>
    <w:rsid w:val="003417EB"/>
    <w:rsid w:val="003419F2"/>
    <w:rsid w:val="00342076"/>
    <w:rsid w:val="00342D82"/>
    <w:rsid w:val="0034477F"/>
    <w:rsid w:val="0034495F"/>
    <w:rsid w:val="00344AE9"/>
    <w:rsid w:val="00345714"/>
    <w:rsid w:val="00345D8F"/>
    <w:rsid w:val="00345ED0"/>
    <w:rsid w:val="0034638B"/>
    <w:rsid w:val="003468F0"/>
    <w:rsid w:val="00347715"/>
    <w:rsid w:val="00350352"/>
    <w:rsid w:val="00350892"/>
    <w:rsid w:val="00350FB2"/>
    <w:rsid w:val="0035369F"/>
    <w:rsid w:val="00353D53"/>
    <w:rsid w:val="00353D8E"/>
    <w:rsid w:val="00354563"/>
    <w:rsid w:val="00354E4F"/>
    <w:rsid w:val="00354FD0"/>
    <w:rsid w:val="00355D9D"/>
    <w:rsid w:val="003567D5"/>
    <w:rsid w:val="00357C49"/>
    <w:rsid w:val="003600D0"/>
    <w:rsid w:val="0036018C"/>
    <w:rsid w:val="0036072C"/>
    <w:rsid w:val="00361B8C"/>
    <w:rsid w:val="00362066"/>
    <w:rsid w:val="0036239A"/>
    <w:rsid w:val="003632C7"/>
    <w:rsid w:val="00363560"/>
    <w:rsid w:val="003637FB"/>
    <w:rsid w:val="00363995"/>
    <w:rsid w:val="00363FFF"/>
    <w:rsid w:val="003656F8"/>
    <w:rsid w:val="00365F33"/>
    <w:rsid w:val="0036748A"/>
    <w:rsid w:val="00367F0D"/>
    <w:rsid w:val="00372205"/>
    <w:rsid w:val="00372501"/>
    <w:rsid w:val="00372C91"/>
    <w:rsid w:val="003738F9"/>
    <w:rsid w:val="00374366"/>
    <w:rsid w:val="00374BE8"/>
    <w:rsid w:val="00375647"/>
    <w:rsid w:val="0037574B"/>
    <w:rsid w:val="00375DE0"/>
    <w:rsid w:val="00376C53"/>
    <w:rsid w:val="003774A2"/>
    <w:rsid w:val="00377EB3"/>
    <w:rsid w:val="00380835"/>
    <w:rsid w:val="00380EA0"/>
    <w:rsid w:val="00380EBB"/>
    <w:rsid w:val="00381106"/>
    <w:rsid w:val="0038110E"/>
    <w:rsid w:val="00381289"/>
    <w:rsid w:val="0038145C"/>
    <w:rsid w:val="00381F00"/>
    <w:rsid w:val="00382492"/>
    <w:rsid w:val="003844CC"/>
    <w:rsid w:val="00384953"/>
    <w:rsid w:val="00384AAC"/>
    <w:rsid w:val="003857BA"/>
    <w:rsid w:val="0038720D"/>
    <w:rsid w:val="00387A55"/>
    <w:rsid w:val="00387CD6"/>
    <w:rsid w:val="00390ACB"/>
    <w:rsid w:val="0039150F"/>
    <w:rsid w:val="00391F41"/>
    <w:rsid w:val="00392111"/>
    <w:rsid w:val="00392918"/>
    <w:rsid w:val="003929FD"/>
    <w:rsid w:val="00393B2B"/>
    <w:rsid w:val="00393BD0"/>
    <w:rsid w:val="00393D20"/>
    <w:rsid w:val="00394366"/>
    <w:rsid w:val="00394786"/>
    <w:rsid w:val="00394A7A"/>
    <w:rsid w:val="00395243"/>
    <w:rsid w:val="00395549"/>
    <w:rsid w:val="003958DB"/>
    <w:rsid w:val="00395BDC"/>
    <w:rsid w:val="00396A63"/>
    <w:rsid w:val="00397029"/>
    <w:rsid w:val="00397735"/>
    <w:rsid w:val="00397B07"/>
    <w:rsid w:val="00397F8B"/>
    <w:rsid w:val="003A00FD"/>
    <w:rsid w:val="003A1D14"/>
    <w:rsid w:val="003A216B"/>
    <w:rsid w:val="003A2D30"/>
    <w:rsid w:val="003A2FCF"/>
    <w:rsid w:val="003A385E"/>
    <w:rsid w:val="003A3E1F"/>
    <w:rsid w:val="003A437F"/>
    <w:rsid w:val="003A4D25"/>
    <w:rsid w:val="003A52D8"/>
    <w:rsid w:val="003A54E6"/>
    <w:rsid w:val="003A5B9C"/>
    <w:rsid w:val="003A6AA4"/>
    <w:rsid w:val="003A77D7"/>
    <w:rsid w:val="003B0051"/>
    <w:rsid w:val="003B1851"/>
    <w:rsid w:val="003B1A2E"/>
    <w:rsid w:val="003B1FF3"/>
    <w:rsid w:val="003B32BE"/>
    <w:rsid w:val="003B3B6A"/>
    <w:rsid w:val="003B3C06"/>
    <w:rsid w:val="003B4096"/>
    <w:rsid w:val="003B4765"/>
    <w:rsid w:val="003B48ED"/>
    <w:rsid w:val="003B4FE1"/>
    <w:rsid w:val="003B5DC5"/>
    <w:rsid w:val="003B6584"/>
    <w:rsid w:val="003B6620"/>
    <w:rsid w:val="003B74AC"/>
    <w:rsid w:val="003C0358"/>
    <w:rsid w:val="003C0990"/>
    <w:rsid w:val="003C117D"/>
    <w:rsid w:val="003C1785"/>
    <w:rsid w:val="003C267D"/>
    <w:rsid w:val="003C346F"/>
    <w:rsid w:val="003C38D2"/>
    <w:rsid w:val="003C3B56"/>
    <w:rsid w:val="003C4A8F"/>
    <w:rsid w:val="003C5DD8"/>
    <w:rsid w:val="003C668F"/>
    <w:rsid w:val="003C6A3F"/>
    <w:rsid w:val="003C6BE2"/>
    <w:rsid w:val="003C6DAA"/>
    <w:rsid w:val="003C7DA1"/>
    <w:rsid w:val="003D0745"/>
    <w:rsid w:val="003D0ACC"/>
    <w:rsid w:val="003D1049"/>
    <w:rsid w:val="003D12ED"/>
    <w:rsid w:val="003D289A"/>
    <w:rsid w:val="003D2A33"/>
    <w:rsid w:val="003D3B3E"/>
    <w:rsid w:val="003D40DD"/>
    <w:rsid w:val="003D45B8"/>
    <w:rsid w:val="003D533B"/>
    <w:rsid w:val="003D5630"/>
    <w:rsid w:val="003D6299"/>
    <w:rsid w:val="003D68F7"/>
    <w:rsid w:val="003D73AB"/>
    <w:rsid w:val="003D7629"/>
    <w:rsid w:val="003E07A5"/>
    <w:rsid w:val="003E0CFA"/>
    <w:rsid w:val="003E1A05"/>
    <w:rsid w:val="003E2142"/>
    <w:rsid w:val="003E3135"/>
    <w:rsid w:val="003E331E"/>
    <w:rsid w:val="003E4672"/>
    <w:rsid w:val="003E4F3D"/>
    <w:rsid w:val="003E55EE"/>
    <w:rsid w:val="003E5CC8"/>
    <w:rsid w:val="003E65D2"/>
    <w:rsid w:val="003E6A1B"/>
    <w:rsid w:val="003E76DE"/>
    <w:rsid w:val="003E7C4C"/>
    <w:rsid w:val="003E7DC8"/>
    <w:rsid w:val="003E7E30"/>
    <w:rsid w:val="003F1030"/>
    <w:rsid w:val="003F1397"/>
    <w:rsid w:val="003F1622"/>
    <w:rsid w:val="003F18EC"/>
    <w:rsid w:val="003F1C49"/>
    <w:rsid w:val="003F22C6"/>
    <w:rsid w:val="003F298C"/>
    <w:rsid w:val="003F402D"/>
    <w:rsid w:val="003F43F3"/>
    <w:rsid w:val="003F458B"/>
    <w:rsid w:val="003F4B33"/>
    <w:rsid w:val="003F5251"/>
    <w:rsid w:val="003F5353"/>
    <w:rsid w:val="003F544E"/>
    <w:rsid w:val="003F556B"/>
    <w:rsid w:val="003F5DA4"/>
    <w:rsid w:val="003F6CD8"/>
    <w:rsid w:val="00400917"/>
    <w:rsid w:val="00400F89"/>
    <w:rsid w:val="00401233"/>
    <w:rsid w:val="004016DE"/>
    <w:rsid w:val="004016E7"/>
    <w:rsid w:val="00401A13"/>
    <w:rsid w:val="004020FD"/>
    <w:rsid w:val="00402A1C"/>
    <w:rsid w:val="00404965"/>
    <w:rsid w:val="0040510F"/>
    <w:rsid w:val="00405960"/>
    <w:rsid w:val="004066A3"/>
    <w:rsid w:val="00406956"/>
    <w:rsid w:val="00406B4A"/>
    <w:rsid w:val="00406D5A"/>
    <w:rsid w:val="00407187"/>
    <w:rsid w:val="004071C1"/>
    <w:rsid w:val="004076C3"/>
    <w:rsid w:val="00407C04"/>
    <w:rsid w:val="00407E00"/>
    <w:rsid w:val="004105C9"/>
    <w:rsid w:val="00410735"/>
    <w:rsid w:val="0041193F"/>
    <w:rsid w:val="0041209D"/>
    <w:rsid w:val="004120CF"/>
    <w:rsid w:val="0041345A"/>
    <w:rsid w:val="004135CA"/>
    <w:rsid w:val="004136FC"/>
    <w:rsid w:val="0041378C"/>
    <w:rsid w:val="00414822"/>
    <w:rsid w:val="00414FA6"/>
    <w:rsid w:val="00415A1E"/>
    <w:rsid w:val="004164F0"/>
    <w:rsid w:val="004165A8"/>
    <w:rsid w:val="004169E2"/>
    <w:rsid w:val="004169F3"/>
    <w:rsid w:val="00416ADD"/>
    <w:rsid w:val="00416CBF"/>
    <w:rsid w:val="00417626"/>
    <w:rsid w:val="004204D5"/>
    <w:rsid w:val="004205F4"/>
    <w:rsid w:val="004213F3"/>
    <w:rsid w:val="00421B31"/>
    <w:rsid w:val="0042227D"/>
    <w:rsid w:val="0042276A"/>
    <w:rsid w:val="00423490"/>
    <w:rsid w:val="00423C59"/>
    <w:rsid w:val="00423D09"/>
    <w:rsid w:val="0042439C"/>
    <w:rsid w:val="00425582"/>
    <w:rsid w:val="004260CB"/>
    <w:rsid w:val="00426781"/>
    <w:rsid w:val="00426BAA"/>
    <w:rsid w:val="00426C24"/>
    <w:rsid w:val="0042790F"/>
    <w:rsid w:val="00427D32"/>
    <w:rsid w:val="004310B6"/>
    <w:rsid w:val="0043120A"/>
    <w:rsid w:val="004312C9"/>
    <w:rsid w:val="00432199"/>
    <w:rsid w:val="00432DD0"/>
    <w:rsid w:val="0043365A"/>
    <w:rsid w:val="00433922"/>
    <w:rsid w:val="0043631E"/>
    <w:rsid w:val="00436831"/>
    <w:rsid w:val="00436C11"/>
    <w:rsid w:val="0043775B"/>
    <w:rsid w:val="004406C2"/>
    <w:rsid w:val="00440DE8"/>
    <w:rsid w:val="00440F55"/>
    <w:rsid w:val="00441181"/>
    <w:rsid w:val="00441705"/>
    <w:rsid w:val="0044171A"/>
    <w:rsid w:val="0044217B"/>
    <w:rsid w:val="00442186"/>
    <w:rsid w:val="00442298"/>
    <w:rsid w:val="00442C82"/>
    <w:rsid w:val="00443062"/>
    <w:rsid w:val="00443F49"/>
    <w:rsid w:val="00444427"/>
    <w:rsid w:val="00444755"/>
    <w:rsid w:val="00444B31"/>
    <w:rsid w:val="00444CC7"/>
    <w:rsid w:val="00444EAC"/>
    <w:rsid w:val="00444EAD"/>
    <w:rsid w:val="0044574C"/>
    <w:rsid w:val="0044642B"/>
    <w:rsid w:val="00446924"/>
    <w:rsid w:val="00447015"/>
    <w:rsid w:val="004476E0"/>
    <w:rsid w:val="004500D9"/>
    <w:rsid w:val="004504F5"/>
    <w:rsid w:val="0045141C"/>
    <w:rsid w:val="00451796"/>
    <w:rsid w:val="00451B00"/>
    <w:rsid w:val="0045223F"/>
    <w:rsid w:val="0045291B"/>
    <w:rsid w:val="00453744"/>
    <w:rsid w:val="00455CF8"/>
    <w:rsid w:val="004567E9"/>
    <w:rsid w:val="00457FC7"/>
    <w:rsid w:val="0046045A"/>
    <w:rsid w:val="004610AC"/>
    <w:rsid w:val="00461126"/>
    <w:rsid w:val="00461E1F"/>
    <w:rsid w:val="00462A7D"/>
    <w:rsid w:val="00462BB5"/>
    <w:rsid w:val="00462E0B"/>
    <w:rsid w:val="00462F94"/>
    <w:rsid w:val="00463BC6"/>
    <w:rsid w:val="00465DBF"/>
    <w:rsid w:val="004667E0"/>
    <w:rsid w:val="0046685B"/>
    <w:rsid w:val="0046685C"/>
    <w:rsid w:val="00466C94"/>
    <w:rsid w:val="00467073"/>
    <w:rsid w:val="00467960"/>
    <w:rsid w:val="00470A22"/>
    <w:rsid w:val="004710F5"/>
    <w:rsid w:val="00471200"/>
    <w:rsid w:val="004714BA"/>
    <w:rsid w:val="00472436"/>
    <w:rsid w:val="00472BAE"/>
    <w:rsid w:val="00473171"/>
    <w:rsid w:val="004734A3"/>
    <w:rsid w:val="00473541"/>
    <w:rsid w:val="00473B2F"/>
    <w:rsid w:val="00473E5E"/>
    <w:rsid w:val="00473F03"/>
    <w:rsid w:val="0047543B"/>
    <w:rsid w:val="00475900"/>
    <w:rsid w:val="00475CCE"/>
    <w:rsid w:val="00475E33"/>
    <w:rsid w:val="00476090"/>
    <w:rsid w:val="00476D82"/>
    <w:rsid w:val="004774B0"/>
    <w:rsid w:val="00477A9C"/>
    <w:rsid w:val="00477EA8"/>
    <w:rsid w:val="00480057"/>
    <w:rsid w:val="00481658"/>
    <w:rsid w:val="0048173D"/>
    <w:rsid w:val="004828A2"/>
    <w:rsid w:val="00482EF9"/>
    <w:rsid w:val="00483261"/>
    <w:rsid w:val="004835BC"/>
    <w:rsid w:val="004836D1"/>
    <w:rsid w:val="004841D0"/>
    <w:rsid w:val="00484CDD"/>
    <w:rsid w:val="00485AF9"/>
    <w:rsid w:val="004860EC"/>
    <w:rsid w:val="0048642B"/>
    <w:rsid w:val="00486E86"/>
    <w:rsid w:val="00490572"/>
    <w:rsid w:val="004905EE"/>
    <w:rsid w:val="00490EE5"/>
    <w:rsid w:val="00491413"/>
    <w:rsid w:val="0049153D"/>
    <w:rsid w:val="00491851"/>
    <w:rsid w:val="004918D1"/>
    <w:rsid w:val="0049201E"/>
    <w:rsid w:val="00492881"/>
    <w:rsid w:val="00492B70"/>
    <w:rsid w:val="004943A1"/>
    <w:rsid w:val="004949B4"/>
    <w:rsid w:val="00494BED"/>
    <w:rsid w:val="00494D96"/>
    <w:rsid w:val="004960EB"/>
    <w:rsid w:val="0049664C"/>
    <w:rsid w:val="0049668E"/>
    <w:rsid w:val="00496D7A"/>
    <w:rsid w:val="00496DF2"/>
    <w:rsid w:val="004974AB"/>
    <w:rsid w:val="004975BF"/>
    <w:rsid w:val="00497D94"/>
    <w:rsid w:val="004A0C68"/>
    <w:rsid w:val="004A2354"/>
    <w:rsid w:val="004A3268"/>
    <w:rsid w:val="004A3776"/>
    <w:rsid w:val="004A45B9"/>
    <w:rsid w:val="004A4A99"/>
    <w:rsid w:val="004A4AC9"/>
    <w:rsid w:val="004A4C47"/>
    <w:rsid w:val="004A52D8"/>
    <w:rsid w:val="004A58E6"/>
    <w:rsid w:val="004A5906"/>
    <w:rsid w:val="004A5A94"/>
    <w:rsid w:val="004A5EAA"/>
    <w:rsid w:val="004A5F4C"/>
    <w:rsid w:val="004A64F7"/>
    <w:rsid w:val="004A6D9E"/>
    <w:rsid w:val="004A6EA3"/>
    <w:rsid w:val="004A775A"/>
    <w:rsid w:val="004B020D"/>
    <w:rsid w:val="004B1573"/>
    <w:rsid w:val="004B1604"/>
    <w:rsid w:val="004B1B87"/>
    <w:rsid w:val="004B2579"/>
    <w:rsid w:val="004B26A8"/>
    <w:rsid w:val="004B364D"/>
    <w:rsid w:val="004B3932"/>
    <w:rsid w:val="004B4157"/>
    <w:rsid w:val="004B535B"/>
    <w:rsid w:val="004B5866"/>
    <w:rsid w:val="004B616D"/>
    <w:rsid w:val="004B638A"/>
    <w:rsid w:val="004B6D38"/>
    <w:rsid w:val="004B75EF"/>
    <w:rsid w:val="004B7918"/>
    <w:rsid w:val="004B7AAC"/>
    <w:rsid w:val="004B7D00"/>
    <w:rsid w:val="004B7D76"/>
    <w:rsid w:val="004C0380"/>
    <w:rsid w:val="004C06D3"/>
    <w:rsid w:val="004C1B2F"/>
    <w:rsid w:val="004C301E"/>
    <w:rsid w:val="004C308C"/>
    <w:rsid w:val="004C33AE"/>
    <w:rsid w:val="004C37E0"/>
    <w:rsid w:val="004C3D10"/>
    <w:rsid w:val="004C4EE6"/>
    <w:rsid w:val="004C56A5"/>
    <w:rsid w:val="004C5BD0"/>
    <w:rsid w:val="004C5EB4"/>
    <w:rsid w:val="004C6026"/>
    <w:rsid w:val="004C6605"/>
    <w:rsid w:val="004C6B4C"/>
    <w:rsid w:val="004C6E7F"/>
    <w:rsid w:val="004C721F"/>
    <w:rsid w:val="004C76A0"/>
    <w:rsid w:val="004C7857"/>
    <w:rsid w:val="004C78E9"/>
    <w:rsid w:val="004C795A"/>
    <w:rsid w:val="004D1F01"/>
    <w:rsid w:val="004D2BA6"/>
    <w:rsid w:val="004D2D46"/>
    <w:rsid w:val="004D3C54"/>
    <w:rsid w:val="004D46CE"/>
    <w:rsid w:val="004D5118"/>
    <w:rsid w:val="004D5793"/>
    <w:rsid w:val="004D5E93"/>
    <w:rsid w:val="004D5F97"/>
    <w:rsid w:val="004D666E"/>
    <w:rsid w:val="004D7377"/>
    <w:rsid w:val="004D752D"/>
    <w:rsid w:val="004D7A08"/>
    <w:rsid w:val="004D7C7D"/>
    <w:rsid w:val="004E0219"/>
    <w:rsid w:val="004E0660"/>
    <w:rsid w:val="004E06D5"/>
    <w:rsid w:val="004E0AF5"/>
    <w:rsid w:val="004E0B2A"/>
    <w:rsid w:val="004E1676"/>
    <w:rsid w:val="004E2871"/>
    <w:rsid w:val="004E3538"/>
    <w:rsid w:val="004E36ED"/>
    <w:rsid w:val="004E42B8"/>
    <w:rsid w:val="004E48C6"/>
    <w:rsid w:val="004E4DCB"/>
    <w:rsid w:val="004E51C2"/>
    <w:rsid w:val="004E533E"/>
    <w:rsid w:val="004E57BD"/>
    <w:rsid w:val="004E662E"/>
    <w:rsid w:val="004E76FE"/>
    <w:rsid w:val="004F08C7"/>
    <w:rsid w:val="004F0AC7"/>
    <w:rsid w:val="004F0CF6"/>
    <w:rsid w:val="004F0EBD"/>
    <w:rsid w:val="004F1698"/>
    <w:rsid w:val="004F19DC"/>
    <w:rsid w:val="004F2777"/>
    <w:rsid w:val="004F2847"/>
    <w:rsid w:val="004F2C2D"/>
    <w:rsid w:val="004F3118"/>
    <w:rsid w:val="004F329B"/>
    <w:rsid w:val="004F444F"/>
    <w:rsid w:val="004F4594"/>
    <w:rsid w:val="004F461C"/>
    <w:rsid w:val="004F510B"/>
    <w:rsid w:val="004F6121"/>
    <w:rsid w:val="004F7201"/>
    <w:rsid w:val="004F789D"/>
    <w:rsid w:val="004F7C0A"/>
    <w:rsid w:val="00500B79"/>
    <w:rsid w:val="00501324"/>
    <w:rsid w:val="005019CB"/>
    <w:rsid w:val="00502E56"/>
    <w:rsid w:val="00503959"/>
    <w:rsid w:val="005039E3"/>
    <w:rsid w:val="00503EE4"/>
    <w:rsid w:val="005043BB"/>
    <w:rsid w:val="005046BF"/>
    <w:rsid w:val="00504980"/>
    <w:rsid w:val="0050567D"/>
    <w:rsid w:val="00505B86"/>
    <w:rsid w:val="0050648A"/>
    <w:rsid w:val="00506DCE"/>
    <w:rsid w:val="00506EC2"/>
    <w:rsid w:val="005070CA"/>
    <w:rsid w:val="00507647"/>
    <w:rsid w:val="0051011C"/>
    <w:rsid w:val="00510411"/>
    <w:rsid w:val="00510CE4"/>
    <w:rsid w:val="005110F3"/>
    <w:rsid w:val="005114DB"/>
    <w:rsid w:val="00511C8A"/>
    <w:rsid w:val="005127B6"/>
    <w:rsid w:val="0051348C"/>
    <w:rsid w:val="00513546"/>
    <w:rsid w:val="00513883"/>
    <w:rsid w:val="00513DB3"/>
    <w:rsid w:val="0051470B"/>
    <w:rsid w:val="005148BC"/>
    <w:rsid w:val="00515284"/>
    <w:rsid w:val="0051577B"/>
    <w:rsid w:val="00515E1E"/>
    <w:rsid w:val="00515FC8"/>
    <w:rsid w:val="00516540"/>
    <w:rsid w:val="00516D62"/>
    <w:rsid w:val="00516F42"/>
    <w:rsid w:val="00517D58"/>
    <w:rsid w:val="00520700"/>
    <w:rsid w:val="005213F5"/>
    <w:rsid w:val="0052179C"/>
    <w:rsid w:val="00521F3C"/>
    <w:rsid w:val="00522044"/>
    <w:rsid w:val="005226A2"/>
    <w:rsid w:val="00522769"/>
    <w:rsid w:val="00522831"/>
    <w:rsid w:val="00522A15"/>
    <w:rsid w:val="00522DF9"/>
    <w:rsid w:val="00524BFB"/>
    <w:rsid w:val="00524FD0"/>
    <w:rsid w:val="00525550"/>
    <w:rsid w:val="0052624E"/>
    <w:rsid w:val="005266D4"/>
    <w:rsid w:val="0052699B"/>
    <w:rsid w:val="0052775A"/>
    <w:rsid w:val="00527B94"/>
    <w:rsid w:val="00527EC2"/>
    <w:rsid w:val="00527F3A"/>
    <w:rsid w:val="00530C24"/>
    <w:rsid w:val="00530F0B"/>
    <w:rsid w:val="00531814"/>
    <w:rsid w:val="00531EA1"/>
    <w:rsid w:val="00532579"/>
    <w:rsid w:val="0053298A"/>
    <w:rsid w:val="005329FE"/>
    <w:rsid w:val="00533C90"/>
    <w:rsid w:val="005341CA"/>
    <w:rsid w:val="00534978"/>
    <w:rsid w:val="00534B1B"/>
    <w:rsid w:val="00536433"/>
    <w:rsid w:val="00536C4B"/>
    <w:rsid w:val="00536D9C"/>
    <w:rsid w:val="00536F01"/>
    <w:rsid w:val="00537007"/>
    <w:rsid w:val="005373BB"/>
    <w:rsid w:val="00537BF1"/>
    <w:rsid w:val="005401EE"/>
    <w:rsid w:val="00540E24"/>
    <w:rsid w:val="005416E7"/>
    <w:rsid w:val="00541E1B"/>
    <w:rsid w:val="00542028"/>
    <w:rsid w:val="00542474"/>
    <w:rsid w:val="00542942"/>
    <w:rsid w:val="00542F43"/>
    <w:rsid w:val="005430B3"/>
    <w:rsid w:val="00543218"/>
    <w:rsid w:val="0054343D"/>
    <w:rsid w:val="00543DBE"/>
    <w:rsid w:val="00543F81"/>
    <w:rsid w:val="0054468E"/>
    <w:rsid w:val="005448C1"/>
    <w:rsid w:val="00544ACD"/>
    <w:rsid w:val="00544D9D"/>
    <w:rsid w:val="0054563D"/>
    <w:rsid w:val="00545BA2"/>
    <w:rsid w:val="00546402"/>
    <w:rsid w:val="00546423"/>
    <w:rsid w:val="00546A30"/>
    <w:rsid w:val="00546DA4"/>
    <w:rsid w:val="005475A2"/>
    <w:rsid w:val="005477FD"/>
    <w:rsid w:val="00547A1C"/>
    <w:rsid w:val="00547D17"/>
    <w:rsid w:val="005505E6"/>
    <w:rsid w:val="00550EA7"/>
    <w:rsid w:val="0055113C"/>
    <w:rsid w:val="0055256D"/>
    <w:rsid w:val="0055290D"/>
    <w:rsid w:val="005532C2"/>
    <w:rsid w:val="00554175"/>
    <w:rsid w:val="005558F8"/>
    <w:rsid w:val="00555C0D"/>
    <w:rsid w:val="00555EC5"/>
    <w:rsid w:val="005560BF"/>
    <w:rsid w:val="0055687E"/>
    <w:rsid w:val="00556A19"/>
    <w:rsid w:val="00557336"/>
    <w:rsid w:val="0056037F"/>
    <w:rsid w:val="005605B1"/>
    <w:rsid w:val="0056075C"/>
    <w:rsid w:val="0056122C"/>
    <w:rsid w:val="00561299"/>
    <w:rsid w:val="00561BFB"/>
    <w:rsid w:val="005622BD"/>
    <w:rsid w:val="00563811"/>
    <w:rsid w:val="00563E82"/>
    <w:rsid w:val="005640B8"/>
    <w:rsid w:val="00564543"/>
    <w:rsid w:val="005662A8"/>
    <w:rsid w:val="005662AD"/>
    <w:rsid w:val="005662F8"/>
    <w:rsid w:val="00566842"/>
    <w:rsid w:val="005672AB"/>
    <w:rsid w:val="0056733B"/>
    <w:rsid w:val="00570044"/>
    <w:rsid w:val="005715E4"/>
    <w:rsid w:val="00571F8D"/>
    <w:rsid w:val="0057207A"/>
    <w:rsid w:val="00573002"/>
    <w:rsid w:val="005736C2"/>
    <w:rsid w:val="005736DD"/>
    <w:rsid w:val="00573E2F"/>
    <w:rsid w:val="0057417C"/>
    <w:rsid w:val="00574628"/>
    <w:rsid w:val="005755DA"/>
    <w:rsid w:val="005756B8"/>
    <w:rsid w:val="00575D09"/>
    <w:rsid w:val="0057612E"/>
    <w:rsid w:val="0057689A"/>
    <w:rsid w:val="00576AA5"/>
    <w:rsid w:val="00576BE4"/>
    <w:rsid w:val="00577EF7"/>
    <w:rsid w:val="005806E9"/>
    <w:rsid w:val="00580999"/>
    <w:rsid w:val="00581EE3"/>
    <w:rsid w:val="00583D07"/>
    <w:rsid w:val="00584755"/>
    <w:rsid w:val="00584817"/>
    <w:rsid w:val="00584961"/>
    <w:rsid w:val="00584B00"/>
    <w:rsid w:val="00584E8E"/>
    <w:rsid w:val="0058592F"/>
    <w:rsid w:val="005859E8"/>
    <w:rsid w:val="00585CB2"/>
    <w:rsid w:val="00585E24"/>
    <w:rsid w:val="00585FF1"/>
    <w:rsid w:val="005863A7"/>
    <w:rsid w:val="005863EE"/>
    <w:rsid w:val="00587A23"/>
    <w:rsid w:val="005908C8"/>
    <w:rsid w:val="00590CD6"/>
    <w:rsid w:val="00590F59"/>
    <w:rsid w:val="005916FC"/>
    <w:rsid w:val="0059219C"/>
    <w:rsid w:val="00592B38"/>
    <w:rsid w:val="005935C7"/>
    <w:rsid w:val="005936FC"/>
    <w:rsid w:val="005937C2"/>
    <w:rsid w:val="00593DE4"/>
    <w:rsid w:val="00594134"/>
    <w:rsid w:val="005944CD"/>
    <w:rsid w:val="0059595B"/>
    <w:rsid w:val="00595A5C"/>
    <w:rsid w:val="00595A90"/>
    <w:rsid w:val="005A016A"/>
    <w:rsid w:val="005A051F"/>
    <w:rsid w:val="005A06D8"/>
    <w:rsid w:val="005A0970"/>
    <w:rsid w:val="005A0E19"/>
    <w:rsid w:val="005A211E"/>
    <w:rsid w:val="005A2ADA"/>
    <w:rsid w:val="005A3E61"/>
    <w:rsid w:val="005A4142"/>
    <w:rsid w:val="005A4A26"/>
    <w:rsid w:val="005A4BAA"/>
    <w:rsid w:val="005A52A0"/>
    <w:rsid w:val="005A5325"/>
    <w:rsid w:val="005A63E2"/>
    <w:rsid w:val="005A6B6D"/>
    <w:rsid w:val="005A6F5E"/>
    <w:rsid w:val="005A7010"/>
    <w:rsid w:val="005A710F"/>
    <w:rsid w:val="005A7D79"/>
    <w:rsid w:val="005B045D"/>
    <w:rsid w:val="005B0BBB"/>
    <w:rsid w:val="005B0E12"/>
    <w:rsid w:val="005B0F84"/>
    <w:rsid w:val="005B2664"/>
    <w:rsid w:val="005B26C5"/>
    <w:rsid w:val="005B2AFD"/>
    <w:rsid w:val="005B3342"/>
    <w:rsid w:val="005B35D5"/>
    <w:rsid w:val="005B360B"/>
    <w:rsid w:val="005B3F17"/>
    <w:rsid w:val="005B4112"/>
    <w:rsid w:val="005B5152"/>
    <w:rsid w:val="005B5FDD"/>
    <w:rsid w:val="005B643B"/>
    <w:rsid w:val="005B6591"/>
    <w:rsid w:val="005B67C6"/>
    <w:rsid w:val="005B6A97"/>
    <w:rsid w:val="005B73FE"/>
    <w:rsid w:val="005B7564"/>
    <w:rsid w:val="005B7C1B"/>
    <w:rsid w:val="005B7E7D"/>
    <w:rsid w:val="005C08BE"/>
    <w:rsid w:val="005C0C92"/>
    <w:rsid w:val="005C1A60"/>
    <w:rsid w:val="005C1E85"/>
    <w:rsid w:val="005C1F07"/>
    <w:rsid w:val="005C2608"/>
    <w:rsid w:val="005C3684"/>
    <w:rsid w:val="005C378E"/>
    <w:rsid w:val="005C37FB"/>
    <w:rsid w:val="005C4323"/>
    <w:rsid w:val="005C4336"/>
    <w:rsid w:val="005C488A"/>
    <w:rsid w:val="005C4A4D"/>
    <w:rsid w:val="005C4A5B"/>
    <w:rsid w:val="005C4DDA"/>
    <w:rsid w:val="005C4F82"/>
    <w:rsid w:val="005C59E2"/>
    <w:rsid w:val="005C5D14"/>
    <w:rsid w:val="005C6264"/>
    <w:rsid w:val="005C6C69"/>
    <w:rsid w:val="005C7950"/>
    <w:rsid w:val="005C7E92"/>
    <w:rsid w:val="005D0E09"/>
    <w:rsid w:val="005D1470"/>
    <w:rsid w:val="005D2668"/>
    <w:rsid w:val="005D2D40"/>
    <w:rsid w:val="005D32A3"/>
    <w:rsid w:val="005D4D40"/>
    <w:rsid w:val="005D4FF3"/>
    <w:rsid w:val="005D51DF"/>
    <w:rsid w:val="005D625E"/>
    <w:rsid w:val="005D769B"/>
    <w:rsid w:val="005D7712"/>
    <w:rsid w:val="005D7E91"/>
    <w:rsid w:val="005D7F7D"/>
    <w:rsid w:val="005E05EB"/>
    <w:rsid w:val="005E078F"/>
    <w:rsid w:val="005E174E"/>
    <w:rsid w:val="005E250E"/>
    <w:rsid w:val="005E3320"/>
    <w:rsid w:val="005E4D0D"/>
    <w:rsid w:val="005E4EF3"/>
    <w:rsid w:val="005E566D"/>
    <w:rsid w:val="005E5776"/>
    <w:rsid w:val="005E6308"/>
    <w:rsid w:val="005E6933"/>
    <w:rsid w:val="005E7BA3"/>
    <w:rsid w:val="005E7BB6"/>
    <w:rsid w:val="005E7D0C"/>
    <w:rsid w:val="005F0207"/>
    <w:rsid w:val="005F04F7"/>
    <w:rsid w:val="005F08F5"/>
    <w:rsid w:val="005F0C4C"/>
    <w:rsid w:val="005F1478"/>
    <w:rsid w:val="005F1A02"/>
    <w:rsid w:val="005F27B6"/>
    <w:rsid w:val="005F27E6"/>
    <w:rsid w:val="005F2C85"/>
    <w:rsid w:val="005F3D79"/>
    <w:rsid w:val="005F40A4"/>
    <w:rsid w:val="005F417A"/>
    <w:rsid w:val="005F4975"/>
    <w:rsid w:val="005F4DFA"/>
    <w:rsid w:val="005F4FBA"/>
    <w:rsid w:val="005F5374"/>
    <w:rsid w:val="005F547B"/>
    <w:rsid w:val="005F607B"/>
    <w:rsid w:val="005F6E19"/>
    <w:rsid w:val="005F6F0A"/>
    <w:rsid w:val="005F7379"/>
    <w:rsid w:val="005F7616"/>
    <w:rsid w:val="005F76DC"/>
    <w:rsid w:val="0060017A"/>
    <w:rsid w:val="0060062C"/>
    <w:rsid w:val="00600ED6"/>
    <w:rsid w:val="00601674"/>
    <w:rsid w:val="00602558"/>
    <w:rsid w:val="00602BEB"/>
    <w:rsid w:val="00603A63"/>
    <w:rsid w:val="00605BC1"/>
    <w:rsid w:val="00605DFA"/>
    <w:rsid w:val="00605E51"/>
    <w:rsid w:val="00605E8D"/>
    <w:rsid w:val="00605ED3"/>
    <w:rsid w:val="006062ED"/>
    <w:rsid w:val="0060776F"/>
    <w:rsid w:val="006103F6"/>
    <w:rsid w:val="00610728"/>
    <w:rsid w:val="00610DAF"/>
    <w:rsid w:val="00610F45"/>
    <w:rsid w:val="0061114F"/>
    <w:rsid w:val="00611643"/>
    <w:rsid w:val="006131C7"/>
    <w:rsid w:val="006148C5"/>
    <w:rsid w:val="006152E3"/>
    <w:rsid w:val="006159E5"/>
    <w:rsid w:val="00615A6A"/>
    <w:rsid w:val="00617255"/>
    <w:rsid w:val="006178A9"/>
    <w:rsid w:val="00617A8A"/>
    <w:rsid w:val="00620262"/>
    <w:rsid w:val="00620F5B"/>
    <w:rsid w:val="00620F74"/>
    <w:rsid w:val="0062128C"/>
    <w:rsid w:val="00621900"/>
    <w:rsid w:val="00622A0C"/>
    <w:rsid w:val="00622CCC"/>
    <w:rsid w:val="006233C6"/>
    <w:rsid w:val="006234FA"/>
    <w:rsid w:val="00623CDF"/>
    <w:rsid w:val="006241B5"/>
    <w:rsid w:val="0062444C"/>
    <w:rsid w:val="006246E3"/>
    <w:rsid w:val="00624FA4"/>
    <w:rsid w:val="006257FA"/>
    <w:rsid w:val="00625B6D"/>
    <w:rsid w:val="006264C5"/>
    <w:rsid w:val="006269AC"/>
    <w:rsid w:val="00626F48"/>
    <w:rsid w:val="0062724B"/>
    <w:rsid w:val="00627E25"/>
    <w:rsid w:val="00632419"/>
    <w:rsid w:val="00634042"/>
    <w:rsid w:val="006347CB"/>
    <w:rsid w:val="006347F2"/>
    <w:rsid w:val="006352FF"/>
    <w:rsid w:val="00635810"/>
    <w:rsid w:val="006367FB"/>
    <w:rsid w:val="00636B74"/>
    <w:rsid w:val="00636E88"/>
    <w:rsid w:val="00637234"/>
    <w:rsid w:val="00637548"/>
    <w:rsid w:val="00637D2C"/>
    <w:rsid w:val="00637FED"/>
    <w:rsid w:val="006400C9"/>
    <w:rsid w:val="00640301"/>
    <w:rsid w:val="00641567"/>
    <w:rsid w:val="0064163E"/>
    <w:rsid w:val="00641D1F"/>
    <w:rsid w:val="006420C2"/>
    <w:rsid w:val="00642591"/>
    <w:rsid w:val="00642AB4"/>
    <w:rsid w:val="00642BEB"/>
    <w:rsid w:val="006434CC"/>
    <w:rsid w:val="006438A9"/>
    <w:rsid w:val="00644277"/>
    <w:rsid w:val="00645568"/>
    <w:rsid w:val="00645721"/>
    <w:rsid w:val="00645C4B"/>
    <w:rsid w:val="00645C4C"/>
    <w:rsid w:val="00645D3E"/>
    <w:rsid w:val="00645E36"/>
    <w:rsid w:val="00645EC3"/>
    <w:rsid w:val="0064658C"/>
    <w:rsid w:val="006470BE"/>
    <w:rsid w:val="006472CA"/>
    <w:rsid w:val="00647C79"/>
    <w:rsid w:val="00647FA6"/>
    <w:rsid w:val="006503BA"/>
    <w:rsid w:val="006507E8"/>
    <w:rsid w:val="00650C90"/>
    <w:rsid w:val="00651EA8"/>
    <w:rsid w:val="0065234D"/>
    <w:rsid w:val="0065343D"/>
    <w:rsid w:val="00653551"/>
    <w:rsid w:val="006538E0"/>
    <w:rsid w:val="00654267"/>
    <w:rsid w:val="0065439F"/>
    <w:rsid w:val="006545DE"/>
    <w:rsid w:val="00654858"/>
    <w:rsid w:val="0065565A"/>
    <w:rsid w:val="00655EFC"/>
    <w:rsid w:val="0065645C"/>
    <w:rsid w:val="006604C9"/>
    <w:rsid w:val="00660924"/>
    <w:rsid w:val="00660BC2"/>
    <w:rsid w:val="0066158B"/>
    <w:rsid w:val="006615CE"/>
    <w:rsid w:val="00662B9E"/>
    <w:rsid w:val="00662D3A"/>
    <w:rsid w:val="006630B0"/>
    <w:rsid w:val="0066325B"/>
    <w:rsid w:val="006636D5"/>
    <w:rsid w:val="00663893"/>
    <w:rsid w:val="006638E3"/>
    <w:rsid w:val="00663A1B"/>
    <w:rsid w:val="00663A9D"/>
    <w:rsid w:val="006648A8"/>
    <w:rsid w:val="00664E18"/>
    <w:rsid w:val="00665634"/>
    <w:rsid w:val="0066620C"/>
    <w:rsid w:val="00666295"/>
    <w:rsid w:val="006664A7"/>
    <w:rsid w:val="00666833"/>
    <w:rsid w:val="00666D3F"/>
    <w:rsid w:val="0067072E"/>
    <w:rsid w:val="00670D5D"/>
    <w:rsid w:val="006714B3"/>
    <w:rsid w:val="006716BF"/>
    <w:rsid w:val="00671CE9"/>
    <w:rsid w:val="00672756"/>
    <w:rsid w:val="006730CE"/>
    <w:rsid w:val="00673113"/>
    <w:rsid w:val="00673471"/>
    <w:rsid w:val="006743BA"/>
    <w:rsid w:val="0067465A"/>
    <w:rsid w:val="006750B0"/>
    <w:rsid w:val="0067564B"/>
    <w:rsid w:val="006766CE"/>
    <w:rsid w:val="006772ED"/>
    <w:rsid w:val="00680024"/>
    <w:rsid w:val="0068064A"/>
    <w:rsid w:val="006808C6"/>
    <w:rsid w:val="0068139F"/>
    <w:rsid w:val="00682504"/>
    <w:rsid w:val="00682643"/>
    <w:rsid w:val="00682844"/>
    <w:rsid w:val="006834B2"/>
    <w:rsid w:val="00683EFB"/>
    <w:rsid w:val="00684223"/>
    <w:rsid w:val="006845CD"/>
    <w:rsid w:val="00686021"/>
    <w:rsid w:val="0068686A"/>
    <w:rsid w:val="00686AEF"/>
    <w:rsid w:val="00687344"/>
    <w:rsid w:val="006873F1"/>
    <w:rsid w:val="00690891"/>
    <w:rsid w:val="0069143A"/>
    <w:rsid w:val="00691CAB"/>
    <w:rsid w:val="00691F3F"/>
    <w:rsid w:val="006931B0"/>
    <w:rsid w:val="006937E4"/>
    <w:rsid w:val="00693E8F"/>
    <w:rsid w:val="00694092"/>
    <w:rsid w:val="0069426F"/>
    <w:rsid w:val="00694D58"/>
    <w:rsid w:val="0069551C"/>
    <w:rsid w:val="006957C1"/>
    <w:rsid w:val="00695B0F"/>
    <w:rsid w:val="006964D4"/>
    <w:rsid w:val="00696538"/>
    <w:rsid w:val="0069789F"/>
    <w:rsid w:val="00697BA7"/>
    <w:rsid w:val="00697C6A"/>
    <w:rsid w:val="006A02EE"/>
    <w:rsid w:val="006A0AC0"/>
    <w:rsid w:val="006A1419"/>
    <w:rsid w:val="006A1638"/>
    <w:rsid w:val="006A1B7D"/>
    <w:rsid w:val="006A236C"/>
    <w:rsid w:val="006A23CE"/>
    <w:rsid w:val="006A48CA"/>
    <w:rsid w:val="006A4B2C"/>
    <w:rsid w:val="006A5D96"/>
    <w:rsid w:val="006A6483"/>
    <w:rsid w:val="006A7040"/>
    <w:rsid w:val="006A7390"/>
    <w:rsid w:val="006A7CB7"/>
    <w:rsid w:val="006A7F1C"/>
    <w:rsid w:val="006B089C"/>
    <w:rsid w:val="006B1963"/>
    <w:rsid w:val="006B37AB"/>
    <w:rsid w:val="006B39C9"/>
    <w:rsid w:val="006B3C9D"/>
    <w:rsid w:val="006B3CAA"/>
    <w:rsid w:val="006B3F8B"/>
    <w:rsid w:val="006B43DC"/>
    <w:rsid w:val="006B4451"/>
    <w:rsid w:val="006B4495"/>
    <w:rsid w:val="006B5F84"/>
    <w:rsid w:val="006B657C"/>
    <w:rsid w:val="006B72AC"/>
    <w:rsid w:val="006B75CC"/>
    <w:rsid w:val="006B766A"/>
    <w:rsid w:val="006C21D6"/>
    <w:rsid w:val="006C3831"/>
    <w:rsid w:val="006C3AA1"/>
    <w:rsid w:val="006C42ED"/>
    <w:rsid w:val="006C5300"/>
    <w:rsid w:val="006C5B78"/>
    <w:rsid w:val="006C662A"/>
    <w:rsid w:val="006C665D"/>
    <w:rsid w:val="006C7F5C"/>
    <w:rsid w:val="006D021D"/>
    <w:rsid w:val="006D024D"/>
    <w:rsid w:val="006D07BA"/>
    <w:rsid w:val="006D0F9F"/>
    <w:rsid w:val="006D172F"/>
    <w:rsid w:val="006D17E1"/>
    <w:rsid w:val="006D1CF2"/>
    <w:rsid w:val="006D1DC5"/>
    <w:rsid w:val="006D24EC"/>
    <w:rsid w:val="006D2F96"/>
    <w:rsid w:val="006D354A"/>
    <w:rsid w:val="006D38A9"/>
    <w:rsid w:val="006D3C65"/>
    <w:rsid w:val="006D442B"/>
    <w:rsid w:val="006D46E2"/>
    <w:rsid w:val="006D49BC"/>
    <w:rsid w:val="006D4AE4"/>
    <w:rsid w:val="006D54DF"/>
    <w:rsid w:val="006D5794"/>
    <w:rsid w:val="006D5A81"/>
    <w:rsid w:val="006D705A"/>
    <w:rsid w:val="006E0D38"/>
    <w:rsid w:val="006E13AC"/>
    <w:rsid w:val="006E15E1"/>
    <w:rsid w:val="006E2006"/>
    <w:rsid w:val="006E2FDA"/>
    <w:rsid w:val="006E3023"/>
    <w:rsid w:val="006E39FE"/>
    <w:rsid w:val="006E3B3D"/>
    <w:rsid w:val="006E4214"/>
    <w:rsid w:val="006E4506"/>
    <w:rsid w:val="006E54B4"/>
    <w:rsid w:val="006E57EB"/>
    <w:rsid w:val="006E5927"/>
    <w:rsid w:val="006E5C40"/>
    <w:rsid w:val="006E6CFA"/>
    <w:rsid w:val="006E70B3"/>
    <w:rsid w:val="006E7325"/>
    <w:rsid w:val="006F061D"/>
    <w:rsid w:val="006F11EF"/>
    <w:rsid w:val="006F1592"/>
    <w:rsid w:val="006F1594"/>
    <w:rsid w:val="006F16D4"/>
    <w:rsid w:val="006F1F8A"/>
    <w:rsid w:val="006F3430"/>
    <w:rsid w:val="006F4728"/>
    <w:rsid w:val="006F4830"/>
    <w:rsid w:val="006F4D2F"/>
    <w:rsid w:val="006F6961"/>
    <w:rsid w:val="006F6D91"/>
    <w:rsid w:val="006F6E6A"/>
    <w:rsid w:val="006F7239"/>
    <w:rsid w:val="006F72B3"/>
    <w:rsid w:val="0070018C"/>
    <w:rsid w:val="00700652"/>
    <w:rsid w:val="00700AA5"/>
    <w:rsid w:val="00700B7D"/>
    <w:rsid w:val="0070188D"/>
    <w:rsid w:val="0070246E"/>
    <w:rsid w:val="007027B3"/>
    <w:rsid w:val="00702911"/>
    <w:rsid w:val="00702E16"/>
    <w:rsid w:val="00702E30"/>
    <w:rsid w:val="00703082"/>
    <w:rsid w:val="007041EA"/>
    <w:rsid w:val="007047B2"/>
    <w:rsid w:val="00704BA8"/>
    <w:rsid w:val="0070500D"/>
    <w:rsid w:val="00705DFD"/>
    <w:rsid w:val="00705E96"/>
    <w:rsid w:val="0070655C"/>
    <w:rsid w:val="007070E4"/>
    <w:rsid w:val="00710847"/>
    <w:rsid w:val="00710E76"/>
    <w:rsid w:val="00711595"/>
    <w:rsid w:val="00711694"/>
    <w:rsid w:val="00711CAD"/>
    <w:rsid w:val="007127AA"/>
    <w:rsid w:val="007127D4"/>
    <w:rsid w:val="00712882"/>
    <w:rsid w:val="00712C16"/>
    <w:rsid w:val="00713158"/>
    <w:rsid w:val="007131F0"/>
    <w:rsid w:val="00714032"/>
    <w:rsid w:val="0071461C"/>
    <w:rsid w:val="00714ED4"/>
    <w:rsid w:val="007152FE"/>
    <w:rsid w:val="007154CE"/>
    <w:rsid w:val="00715AC8"/>
    <w:rsid w:val="00715AED"/>
    <w:rsid w:val="00716701"/>
    <w:rsid w:val="007208A1"/>
    <w:rsid w:val="00721014"/>
    <w:rsid w:val="0072150F"/>
    <w:rsid w:val="00721A98"/>
    <w:rsid w:val="00721D1C"/>
    <w:rsid w:val="00721FBE"/>
    <w:rsid w:val="007222F6"/>
    <w:rsid w:val="00722332"/>
    <w:rsid w:val="00722A9A"/>
    <w:rsid w:val="00723004"/>
    <w:rsid w:val="007231EB"/>
    <w:rsid w:val="00725213"/>
    <w:rsid w:val="00725D3B"/>
    <w:rsid w:val="00725DC0"/>
    <w:rsid w:val="00726BB2"/>
    <w:rsid w:val="00726CD5"/>
    <w:rsid w:val="00726E34"/>
    <w:rsid w:val="007270D6"/>
    <w:rsid w:val="0073052E"/>
    <w:rsid w:val="007309AD"/>
    <w:rsid w:val="00730E45"/>
    <w:rsid w:val="00730F09"/>
    <w:rsid w:val="00730F82"/>
    <w:rsid w:val="0073101F"/>
    <w:rsid w:val="007313CF"/>
    <w:rsid w:val="007316C0"/>
    <w:rsid w:val="00732513"/>
    <w:rsid w:val="00732F7F"/>
    <w:rsid w:val="007339D9"/>
    <w:rsid w:val="007348E9"/>
    <w:rsid w:val="007350A9"/>
    <w:rsid w:val="007350EF"/>
    <w:rsid w:val="007363E8"/>
    <w:rsid w:val="00737036"/>
    <w:rsid w:val="00737CAF"/>
    <w:rsid w:val="00737E74"/>
    <w:rsid w:val="007403A6"/>
    <w:rsid w:val="007406EC"/>
    <w:rsid w:val="00740E09"/>
    <w:rsid w:val="00741AB7"/>
    <w:rsid w:val="00742842"/>
    <w:rsid w:val="007429B4"/>
    <w:rsid w:val="00743709"/>
    <w:rsid w:val="007446A3"/>
    <w:rsid w:val="00744818"/>
    <w:rsid w:val="007452E7"/>
    <w:rsid w:val="00745E5E"/>
    <w:rsid w:val="00745E6E"/>
    <w:rsid w:val="00746695"/>
    <w:rsid w:val="00746CD6"/>
    <w:rsid w:val="00747E27"/>
    <w:rsid w:val="007520E4"/>
    <w:rsid w:val="00752477"/>
    <w:rsid w:val="0075269F"/>
    <w:rsid w:val="0075331F"/>
    <w:rsid w:val="007533CD"/>
    <w:rsid w:val="007534EA"/>
    <w:rsid w:val="00754890"/>
    <w:rsid w:val="0075507F"/>
    <w:rsid w:val="0075578D"/>
    <w:rsid w:val="00756C63"/>
    <w:rsid w:val="007573CB"/>
    <w:rsid w:val="00757431"/>
    <w:rsid w:val="00760D3D"/>
    <w:rsid w:val="007616B3"/>
    <w:rsid w:val="00762CD1"/>
    <w:rsid w:val="00762D44"/>
    <w:rsid w:val="0076380D"/>
    <w:rsid w:val="007644D4"/>
    <w:rsid w:val="0076491F"/>
    <w:rsid w:val="00765CE8"/>
    <w:rsid w:val="00766505"/>
    <w:rsid w:val="0076667D"/>
    <w:rsid w:val="00767415"/>
    <w:rsid w:val="0077067F"/>
    <w:rsid w:val="0077076B"/>
    <w:rsid w:val="0077087D"/>
    <w:rsid w:val="00771549"/>
    <w:rsid w:val="00771638"/>
    <w:rsid w:val="00771E8E"/>
    <w:rsid w:val="00772953"/>
    <w:rsid w:val="0077306B"/>
    <w:rsid w:val="00774D7D"/>
    <w:rsid w:val="0077561D"/>
    <w:rsid w:val="00775994"/>
    <w:rsid w:val="007762B2"/>
    <w:rsid w:val="00776A43"/>
    <w:rsid w:val="00777689"/>
    <w:rsid w:val="007778A2"/>
    <w:rsid w:val="007801F0"/>
    <w:rsid w:val="00780556"/>
    <w:rsid w:val="007808E7"/>
    <w:rsid w:val="00781609"/>
    <w:rsid w:val="00781B6A"/>
    <w:rsid w:val="00782DC6"/>
    <w:rsid w:val="007842C5"/>
    <w:rsid w:val="0078432E"/>
    <w:rsid w:val="00784449"/>
    <w:rsid w:val="00784916"/>
    <w:rsid w:val="00784B23"/>
    <w:rsid w:val="00784CBA"/>
    <w:rsid w:val="00785E0E"/>
    <w:rsid w:val="007863FD"/>
    <w:rsid w:val="00786BB3"/>
    <w:rsid w:val="0078718B"/>
    <w:rsid w:val="00787365"/>
    <w:rsid w:val="00787585"/>
    <w:rsid w:val="007879FA"/>
    <w:rsid w:val="007908CE"/>
    <w:rsid w:val="007910CB"/>
    <w:rsid w:val="00791619"/>
    <w:rsid w:val="00791B86"/>
    <w:rsid w:val="00791E5D"/>
    <w:rsid w:val="00792637"/>
    <w:rsid w:val="00794105"/>
    <w:rsid w:val="00794485"/>
    <w:rsid w:val="00794F91"/>
    <w:rsid w:val="00795779"/>
    <w:rsid w:val="00795FF4"/>
    <w:rsid w:val="00796F76"/>
    <w:rsid w:val="00797F83"/>
    <w:rsid w:val="007A04A4"/>
    <w:rsid w:val="007A0F53"/>
    <w:rsid w:val="007A1801"/>
    <w:rsid w:val="007A18D4"/>
    <w:rsid w:val="007A3305"/>
    <w:rsid w:val="007A33DE"/>
    <w:rsid w:val="007A3730"/>
    <w:rsid w:val="007A3874"/>
    <w:rsid w:val="007A3BA5"/>
    <w:rsid w:val="007A3FFB"/>
    <w:rsid w:val="007A4EE4"/>
    <w:rsid w:val="007A5F1A"/>
    <w:rsid w:val="007A65A5"/>
    <w:rsid w:val="007B003F"/>
    <w:rsid w:val="007B0DB1"/>
    <w:rsid w:val="007B0FAB"/>
    <w:rsid w:val="007B1D73"/>
    <w:rsid w:val="007B20D2"/>
    <w:rsid w:val="007B211E"/>
    <w:rsid w:val="007B23BF"/>
    <w:rsid w:val="007B2CF0"/>
    <w:rsid w:val="007B3DFF"/>
    <w:rsid w:val="007B4878"/>
    <w:rsid w:val="007B522F"/>
    <w:rsid w:val="007B5F91"/>
    <w:rsid w:val="007B60D5"/>
    <w:rsid w:val="007B700A"/>
    <w:rsid w:val="007B730B"/>
    <w:rsid w:val="007B7EB9"/>
    <w:rsid w:val="007C08C1"/>
    <w:rsid w:val="007C0C28"/>
    <w:rsid w:val="007C2C03"/>
    <w:rsid w:val="007C2EE3"/>
    <w:rsid w:val="007C315A"/>
    <w:rsid w:val="007C41FE"/>
    <w:rsid w:val="007C4966"/>
    <w:rsid w:val="007C561B"/>
    <w:rsid w:val="007C61D8"/>
    <w:rsid w:val="007C6225"/>
    <w:rsid w:val="007C6AD8"/>
    <w:rsid w:val="007C6F2D"/>
    <w:rsid w:val="007C7827"/>
    <w:rsid w:val="007C79C2"/>
    <w:rsid w:val="007C7CE4"/>
    <w:rsid w:val="007D02B4"/>
    <w:rsid w:val="007D054B"/>
    <w:rsid w:val="007D1E11"/>
    <w:rsid w:val="007D3642"/>
    <w:rsid w:val="007D36C8"/>
    <w:rsid w:val="007D3DC6"/>
    <w:rsid w:val="007D4D6B"/>
    <w:rsid w:val="007D5473"/>
    <w:rsid w:val="007D600B"/>
    <w:rsid w:val="007D6742"/>
    <w:rsid w:val="007D721B"/>
    <w:rsid w:val="007D7C70"/>
    <w:rsid w:val="007E071B"/>
    <w:rsid w:val="007E0B23"/>
    <w:rsid w:val="007E188E"/>
    <w:rsid w:val="007E1996"/>
    <w:rsid w:val="007E21EB"/>
    <w:rsid w:val="007E2259"/>
    <w:rsid w:val="007E2361"/>
    <w:rsid w:val="007E2500"/>
    <w:rsid w:val="007E44D7"/>
    <w:rsid w:val="007E4641"/>
    <w:rsid w:val="007E4EB0"/>
    <w:rsid w:val="007E540E"/>
    <w:rsid w:val="007E5A92"/>
    <w:rsid w:val="007E5B59"/>
    <w:rsid w:val="007E6134"/>
    <w:rsid w:val="007E6FD3"/>
    <w:rsid w:val="007E708B"/>
    <w:rsid w:val="007E7A42"/>
    <w:rsid w:val="007E7CBF"/>
    <w:rsid w:val="007F103E"/>
    <w:rsid w:val="007F1C2F"/>
    <w:rsid w:val="007F26F0"/>
    <w:rsid w:val="007F374F"/>
    <w:rsid w:val="007F3FBF"/>
    <w:rsid w:val="007F48BC"/>
    <w:rsid w:val="007F5F41"/>
    <w:rsid w:val="007F697C"/>
    <w:rsid w:val="007F6F24"/>
    <w:rsid w:val="007F72F0"/>
    <w:rsid w:val="007F7BAB"/>
    <w:rsid w:val="00800236"/>
    <w:rsid w:val="0080066A"/>
    <w:rsid w:val="00800982"/>
    <w:rsid w:val="00801327"/>
    <w:rsid w:val="00801596"/>
    <w:rsid w:val="00802D31"/>
    <w:rsid w:val="00802FD6"/>
    <w:rsid w:val="008036CE"/>
    <w:rsid w:val="00803E2B"/>
    <w:rsid w:val="00803FB5"/>
    <w:rsid w:val="008057B4"/>
    <w:rsid w:val="00806B7E"/>
    <w:rsid w:val="00806F26"/>
    <w:rsid w:val="008075AC"/>
    <w:rsid w:val="00807E67"/>
    <w:rsid w:val="00810DC8"/>
    <w:rsid w:val="0081105F"/>
    <w:rsid w:val="008114B9"/>
    <w:rsid w:val="00811780"/>
    <w:rsid w:val="00811859"/>
    <w:rsid w:val="00811DFF"/>
    <w:rsid w:val="00812167"/>
    <w:rsid w:val="00813783"/>
    <w:rsid w:val="00814A77"/>
    <w:rsid w:val="00814F46"/>
    <w:rsid w:val="0081574C"/>
    <w:rsid w:val="00815E0A"/>
    <w:rsid w:val="008161E6"/>
    <w:rsid w:val="0081632B"/>
    <w:rsid w:val="00816ABA"/>
    <w:rsid w:val="00817C4D"/>
    <w:rsid w:val="00817DF8"/>
    <w:rsid w:val="00817E1E"/>
    <w:rsid w:val="00820456"/>
    <w:rsid w:val="00820BB9"/>
    <w:rsid w:val="0082246F"/>
    <w:rsid w:val="00823534"/>
    <w:rsid w:val="008236FC"/>
    <w:rsid w:val="00823A71"/>
    <w:rsid w:val="00823AFC"/>
    <w:rsid w:val="00824909"/>
    <w:rsid w:val="00825915"/>
    <w:rsid w:val="00826516"/>
    <w:rsid w:val="008271B2"/>
    <w:rsid w:val="008272F8"/>
    <w:rsid w:val="00827695"/>
    <w:rsid w:val="008305C0"/>
    <w:rsid w:val="008317DC"/>
    <w:rsid w:val="00831F22"/>
    <w:rsid w:val="00832287"/>
    <w:rsid w:val="0083241D"/>
    <w:rsid w:val="008334AB"/>
    <w:rsid w:val="008338A1"/>
    <w:rsid w:val="00833CDC"/>
    <w:rsid w:val="00834949"/>
    <w:rsid w:val="00836488"/>
    <w:rsid w:val="00836DE8"/>
    <w:rsid w:val="00836ECF"/>
    <w:rsid w:val="00837EE9"/>
    <w:rsid w:val="00837FD4"/>
    <w:rsid w:val="00840884"/>
    <w:rsid w:val="008408DD"/>
    <w:rsid w:val="00840EB6"/>
    <w:rsid w:val="00841886"/>
    <w:rsid w:val="00841FD9"/>
    <w:rsid w:val="00842045"/>
    <w:rsid w:val="008436B3"/>
    <w:rsid w:val="00845720"/>
    <w:rsid w:val="00845EA5"/>
    <w:rsid w:val="00846E05"/>
    <w:rsid w:val="00847184"/>
    <w:rsid w:val="0084788B"/>
    <w:rsid w:val="00847E68"/>
    <w:rsid w:val="0085095B"/>
    <w:rsid w:val="00850FB7"/>
    <w:rsid w:val="00851039"/>
    <w:rsid w:val="008510CC"/>
    <w:rsid w:val="00851B0B"/>
    <w:rsid w:val="00852779"/>
    <w:rsid w:val="00853F6B"/>
    <w:rsid w:val="008540C1"/>
    <w:rsid w:val="008548E4"/>
    <w:rsid w:val="00854B07"/>
    <w:rsid w:val="00854DB5"/>
    <w:rsid w:val="00856AFD"/>
    <w:rsid w:val="00856B85"/>
    <w:rsid w:val="00857346"/>
    <w:rsid w:val="00857687"/>
    <w:rsid w:val="00857CE8"/>
    <w:rsid w:val="008605DB"/>
    <w:rsid w:val="00860A20"/>
    <w:rsid w:val="0086107B"/>
    <w:rsid w:val="008628D3"/>
    <w:rsid w:val="0086345F"/>
    <w:rsid w:val="00863DB6"/>
    <w:rsid w:val="00864C93"/>
    <w:rsid w:val="00865309"/>
    <w:rsid w:val="00865F1C"/>
    <w:rsid w:val="00866A12"/>
    <w:rsid w:val="00866C64"/>
    <w:rsid w:val="008674CB"/>
    <w:rsid w:val="00867730"/>
    <w:rsid w:val="00867E51"/>
    <w:rsid w:val="00870624"/>
    <w:rsid w:val="00870FEA"/>
    <w:rsid w:val="008715DA"/>
    <w:rsid w:val="00871DF4"/>
    <w:rsid w:val="00871DFD"/>
    <w:rsid w:val="008722E6"/>
    <w:rsid w:val="00873619"/>
    <w:rsid w:val="00874DD0"/>
    <w:rsid w:val="00875264"/>
    <w:rsid w:val="008753E4"/>
    <w:rsid w:val="008754B2"/>
    <w:rsid w:val="00876C93"/>
    <w:rsid w:val="00876CC0"/>
    <w:rsid w:val="0087768F"/>
    <w:rsid w:val="008800D5"/>
    <w:rsid w:val="00880F73"/>
    <w:rsid w:val="008816D8"/>
    <w:rsid w:val="0088228B"/>
    <w:rsid w:val="008822DF"/>
    <w:rsid w:val="00882742"/>
    <w:rsid w:val="008829F2"/>
    <w:rsid w:val="00884759"/>
    <w:rsid w:val="00885554"/>
    <w:rsid w:val="00885E94"/>
    <w:rsid w:val="008864FA"/>
    <w:rsid w:val="00886B27"/>
    <w:rsid w:val="008878FA"/>
    <w:rsid w:val="0089088B"/>
    <w:rsid w:val="008913DC"/>
    <w:rsid w:val="00891641"/>
    <w:rsid w:val="0089191E"/>
    <w:rsid w:val="00891C61"/>
    <w:rsid w:val="00892971"/>
    <w:rsid w:val="00892A8E"/>
    <w:rsid w:val="00893B70"/>
    <w:rsid w:val="00893E48"/>
    <w:rsid w:val="00894953"/>
    <w:rsid w:val="00895A4C"/>
    <w:rsid w:val="008973E3"/>
    <w:rsid w:val="00897652"/>
    <w:rsid w:val="008A1812"/>
    <w:rsid w:val="008A1C7E"/>
    <w:rsid w:val="008A2230"/>
    <w:rsid w:val="008A2736"/>
    <w:rsid w:val="008A2F2E"/>
    <w:rsid w:val="008A3222"/>
    <w:rsid w:val="008A3BD0"/>
    <w:rsid w:val="008A43CC"/>
    <w:rsid w:val="008A465F"/>
    <w:rsid w:val="008A4ECB"/>
    <w:rsid w:val="008A56F1"/>
    <w:rsid w:val="008A5D4E"/>
    <w:rsid w:val="008A60A2"/>
    <w:rsid w:val="008A6320"/>
    <w:rsid w:val="008A6D6E"/>
    <w:rsid w:val="008A6DB0"/>
    <w:rsid w:val="008A7482"/>
    <w:rsid w:val="008A7862"/>
    <w:rsid w:val="008A792F"/>
    <w:rsid w:val="008B08C9"/>
    <w:rsid w:val="008B0C04"/>
    <w:rsid w:val="008B1F2C"/>
    <w:rsid w:val="008B2513"/>
    <w:rsid w:val="008B2CA7"/>
    <w:rsid w:val="008B2CFD"/>
    <w:rsid w:val="008B319F"/>
    <w:rsid w:val="008B3379"/>
    <w:rsid w:val="008B4090"/>
    <w:rsid w:val="008B4334"/>
    <w:rsid w:val="008B4E8B"/>
    <w:rsid w:val="008B4F6A"/>
    <w:rsid w:val="008B54BE"/>
    <w:rsid w:val="008B577C"/>
    <w:rsid w:val="008B5B17"/>
    <w:rsid w:val="008B6BB8"/>
    <w:rsid w:val="008B6EC2"/>
    <w:rsid w:val="008B7899"/>
    <w:rsid w:val="008C057C"/>
    <w:rsid w:val="008C0C9C"/>
    <w:rsid w:val="008C1E2E"/>
    <w:rsid w:val="008C2A1D"/>
    <w:rsid w:val="008C2FD0"/>
    <w:rsid w:val="008C4385"/>
    <w:rsid w:val="008C4A59"/>
    <w:rsid w:val="008C6397"/>
    <w:rsid w:val="008C6D02"/>
    <w:rsid w:val="008C70F3"/>
    <w:rsid w:val="008D09AB"/>
    <w:rsid w:val="008D0B1F"/>
    <w:rsid w:val="008D0E5C"/>
    <w:rsid w:val="008D0FCD"/>
    <w:rsid w:val="008D1597"/>
    <w:rsid w:val="008D20DF"/>
    <w:rsid w:val="008D348E"/>
    <w:rsid w:val="008D36A7"/>
    <w:rsid w:val="008D37FB"/>
    <w:rsid w:val="008D488A"/>
    <w:rsid w:val="008D4E0F"/>
    <w:rsid w:val="008D4F70"/>
    <w:rsid w:val="008D7185"/>
    <w:rsid w:val="008D7D71"/>
    <w:rsid w:val="008E02C8"/>
    <w:rsid w:val="008E0729"/>
    <w:rsid w:val="008E131C"/>
    <w:rsid w:val="008E195A"/>
    <w:rsid w:val="008E19C3"/>
    <w:rsid w:val="008E1F38"/>
    <w:rsid w:val="008E2B46"/>
    <w:rsid w:val="008E2D02"/>
    <w:rsid w:val="008E2E2C"/>
    <w:rsid w:val="008E30BA"/>
    <w:rsid w:val="008E4930"/>
    <w:rsid w:val="008E51DA"/>
    <w:rsid w:val="008E55A6"/>
    <w:rsid w:val="008E5645"/>
    <w:rsid w:val="008E566C"/>
    <w:rsid w:val="008E573D"/>
    <w:rsid w:val="008E5FAF"/>
    <w:rsid w:val="008E6A9A"/>
    <w:rsid w:val="008E7350"/>
    <w:rsid w:val="008E7F3D"/>
    <w:rsid w:val="008F004D"/>
    <w:rsid w:val="008F0406"/>
    <w:rsid w:val="008F110D"/>
    <w:rsid w:val="008F2AC9"/>
    <w:rsid w:val="008F2CEC"/>
    <w:rsid w:val="008F372C"/>
    <w:rsid w:val="008F3AD0"/>
    <w:rsid w:val="008F4300"/>
    <w:rsid w:val="008F4DE8"/>
    <w:rsid w:val="008F514B"/>
    <w:rsid w:val="008F53FC"/>
    <w:rsid w:val="008F59FC"/>
    <w:rsid w:val="008F6AD5"/>
    <w:rsid w:val="008F7352"/>
    <w:rsid w:val="009010B7"/>
    <w:rsid w:val="00901EBF"/>
    <w:rsid w:val="00902365"/>
    <w:rsid w:val="00903C63"/>
    <w:rsid w:val="0090434F"/>
    <w:rsid w:val="00904C41"/>
    <w:rsid w:val="00905133"/>
    <w:rsid w:val="00906216"/>
    <w:rsid w:val="00906220"/>
    <w:rsid w:val="009066E0"/>
    <w:rsid w:val="00906875"/>
    <w:rsid w:val="009069A0"/>
    <w:rsid w:val="0090774A"/>
    <w:rsid w:val="00907C8E"/>
    <w:rsid w:val="0091019C"/>
    <w:rsid w:val="009101DF"/>
    <w:rsid w:val="009101EA"/>
    <w:rsid w:val="00910615"/>
    <w:rsid w:val="009112D1"/>
    <w:rsid w:val="0091168A"/>
    <w:rsid w:val="00912421"/>
    <w:rsid w:val="0091298C"/>
    <w:rsid w:val="00912A4E"/>
    <w:rsid w:val="00912AB9"/>
    <w:rsid w:val="009131E5"/>
    <w:rsid w:val="009134C8"/>
    <w:rsid w:val="009146B6"/>
    <w:rsid w:val="00914768"/>
    <w:rsid w:val="00914FDE"/>
    <w:rsid w:val="00915960"/>
    <w:rsid w:val="009160EB"/>
    <w:rsid w:val="00916421"/>
    <w:rsid w:val="009167BF"/>
    <w:rsid w:val="0091708E"/>
    <w:rsid w:val="009175E2"/>
    <w:rsid w:val="00917910"/>
    <w:rsid w:val="00917E5C"/>
    <w:rsid w:val="0092058D"/>
    <w:rsid w:val="009211E8"/>
    <w:rsid w:val="009216D4"/>
    <w:rsid w:val="009219E8"/>
    <w:rsid w:val="00922397"/>
    <w:rsid w:val="009229F1"/>
    <w:rsid w:val="00922CDC"/>
    <w:rsid w:val="00922F04"/>
    <w:rsid w:val="009235C6"/>
    <w:rsid w:val="00924893"/>
    <w:rsid w:val="00924F1E"/>
    <w:rsid w:val="00924FB0"/>
    <w:rsid w:val="00925144"/>
    <w:rsid w:val="0092514C"/>
    <w:rsid w:val="00925B5A"/>
    <w:rsid w:val="00926349"/>
    <w:rsid w:val="0092692E"/>
    <w:rsid w:val="00926ED8"/>
    <w:rsid w:val="00926FFF"/>
    <w:rsid w:val="00930334"/>
    <w:rsid w:val="00930500"/>
    <w:rsid w:val="00930A33"/>
    <w:rsid w:val="00930AFA"/>
    <w:rsid w:val="00931635"/>
    <w:rsid w:val="009319B9"/>
    <w:rsid w:val="00932155"/>
    <w:rsid w:val="00932863"/>
    <w:rsid w:val="009329E2"/>
    <w:rsid w:val="00933458"/>
    <w:rsid w:val="00933D92"/>
    <w:rsid w:val="0093584A"/>
    <w:rsid w:val="009358C2"/>
    <w:rsid w:val="009365FB"/>
    <w:rsid w:val="00936EDC"/>
    <w:rsid w:val="00937381"/>
    <w:rsid w:val="009401E5"/>
    <w:rsid w:val="009405F3"/>
    <w:rsid w:val="00940628"/>
    <w:rsid w:val="00940EB5"/>
    <w:rsid w:val="00940FBC"/>
    <w:rsid w:val="009413AA"/>
    <w:rsid w:val="0094174C"/>
    <w:rsid w:val="00941835"/>
    <w:rsid w:val="00941988"/>
    <w:rsid w:val="0094214B"/>
    <w:rsid w:val="00942585"/>
    <w:rsid w:val="00942853"/>
    <w:rsid w:val="00942D8C"/>
    <w:rsid w:val="00943093"/>
    <w:rsid w:val="00943A25"/>
    <w:rsid w:val="009447B4"/>
    <w:rsid w:val="009454FB"/>
    <w:rsid w:val="009456D1"/>
    <w:rsid w:val="0094576F"/>
    <w:rsid w:val="00945A37"/>
    <w:rsid w:val="00946D93"/>
    <w:rsid w:val="00947230"/>
    <w:rsid w:val="00950592"/>
    <w:rsid w:val="009508EE"/>
    <w:rsid w:val="00950B58"/>
    <w:rsid w:val="00951999"/>
    <w:rsid w:val="00952126"/>
    <w:rsid w:val="009529F0"/>
    <w:rsid w:val="00952C4B"/>
    <w:rsid w:val="00952D37"/>
    <w:rsid w:val="00953060"/>
    <w:rsid w:val="00953C4E"/>
    <w:rsid w:val="00953F89"/>
    <w:rsid w:val="00954FD0"/>
    <w:rsid w:val="0095507B"/>
    <w:rsid w:val="009552FD"/>
    <w:rsid w:val="0095552F"/>
    <w:rsid w:val="00955C30"/>
    <w:rsid w:val="00955CB9"/>
    <w:rsid w:val="0095636A"/>
    <w:rsid w:val="00956726"/>
    <w:rsid w:val="00956A60"/>
    <w:rsid w:val="00956B6A"/>
    <w:rsid w:val="0095755D"/>
    <w:rsid w:val="00960B1A"/>
    <w:rsid w:val="0096148F"/>
    <w:rsid w:val="00961CE8"/>
    <w:rsid w:val="00961DBF"/>
    <w:rsid w:val="00962412"/>
    <w:rsid w:val="00962AF6"/>
    <w:rsid w:val="00963148"/>
    <w:rsid w:val="0096450F"/>
    <w:rsid w:val="00964951"/>
    <w:rsid w:val="00964ABB"/>
    <w:rsid w:val="00964ED2"/>
    <w:rsid w:val="00965F6C"/>
    <w:rsid w:val="0096693C"/>
    <w:rsid w:val="009671E1"/>
    <w:rsid w:val="009676F3"/>
    <w:rsid w:val="00967B7E"/>
    <w:rsid w:val="0097056F"/>
    <w:rsid w:val="00970C5E"/>
    <w:rsid w:val="00970FFA"/>
    <w:rsid w:val="0097183B"/>
    <w:rsid w:val="009721D6"/>
    <w:rsid w:val="00972738"/>
    <w:rsid w:val="00972D1D"/>
    <w:rsid w:val="00973382"/>
    <w:rsid w:val="00974D03"/>
    <w:rsid w:val="00974FFA"/>
    <w:rsid w:val="0097544B"/>
    <w:rsid w:val="0097548E"/>
    <w:rsid w:val="0097580B"/>
    <w:rsid w:val="00980423"/>
    <w:rsid w:val="00981678"/>
    <w:rsid w:val="009824CB"/>
    <w:rsid w:val="009830B1"/>
    <w:rsid w:val="009830C1"/>
    <w:rsid w:val="0098320A"/>
    <w:rsid w:val="00983C19"/>
    <w:rsid w:val="00983D6E"/>
    <w:rsid w:val="009845A3"/>
    <w:rsid w:val="00984666"/>
    <w:rsid w:val="00984DBD"/>
    <w:rsid w:val="0098552C"/>
    <w:rsid w:val="0098554E"/>
    <w:rsid w:val="0098604D"/>
    <w:rsid w:val="00986628"/>
    <w:rsid w:val="00986C56"/>
    <w:rsid w:val="00987513"/>
    <w:rsid w:val="009875C1"/>
    <w:rsid w:val="00987DD0"/>
    <w:rsid w:val="00990023"/>
    <w:rsid w:val="00990282"/>
    <w:rsid w:val="00991521"/>
    <w:rsid w:val="00991DD7"/>
    <w:rsid w:val="00992190"/>
    <w:rsid w:val="0099226A"/>
    <w:rsid w:val="0099235D"/>
    <w:rsid w:val="00992EAB"/>
    <w:rsid w:val="00993946"/>
    <w:rsid w:val="00993D91"/>
    <w:rsid w:val="00993E1C"/>
    <w:rsid w:val="009944CD"/>
    <w:rsid w:val="00994599"/>
    <w:rsid w:val="009953AD"/>
    <w:rsid w:val="0099564C"/>
    <w:rsid w:val="009A06B2"/>
    <w:rsid w:val="009A0B6A"/>
    <w:rsid w:val="009A213F"/>
    <w:rsid w:val="009A26A5"/>
    <w:rsid w:val="009A2931"/>
    <w:rsid w:val="009A2D6F"/>
    <w:rsid w:val="009A2E6C"/>
    <w:rsid w:val="009A3116"/>
    <w:rsid w:val="009A3614"/>
    <w:rsid w:val="009A378A"/>
    <w:rsid w:val="009A3F10"/>
    <w:rsid w:val="009A4555"/>
    <w:rsid w:val="009A47F7"/>
    <w:rsid w:val="009A4887"/>
    <w:rsid w:val="009A4A99"/>
    <w:rsid w:val="009A6073"/>
    <w:rsid w:val="009A6B1E"/>
    <w:rsid w:val="009A721D"/>
    <w:rsid w:val="009A7BA9"/>
    <w:rsid w:val="009B0778"/>
    <w:rsid w:val="009B1A3C"/>
    <w:rsid w:val="009B2425"/>
    <w:rsid w:val="009B250B"/>
    <w:rsid w:val="009B3E9E"/>
    <w:rsid w:val="009B42BC"/>
    <w:rsid w:val="009B5FF7"/>
    <w:rsid w:val="009B7966"/>
    <w:rsid w:val="009B7C8E"/>
    <w:rsid w:val="009C0CC3"/>
    <w:rsid w:val="009C12FB"/>
    <w:rsid w:val="009C133F"/>
    <w:rsid w:val="009C1761"/>
    <w:rsid w:val="009C197D"/>
    <w:rsid w:val="009C1A7E"/>
    <w:rsid w:val="009C1AB5"/>
    <w:rsid w:val="009C1C65"/>
    <w:rsid w:val="009C1E48"/>
    <w:rsid w:val="009C2C49"/>
    <w:rsid w:val="009C2E94"/>
    <w:rsid w:val="009C47B0"/>
    <w:rsid w:val="009C52EE"/>
    <w:rsid w:val="009C5E72"/>
    <w:rsid w:val="009C6586"/>
    <w:rsid w:val="009C7A6C"/>
    <w:rsid w:val="009D01A1"/>
    <w:rsid w:val="009D05E9"/>
    <w:rsid w:val="009D0760"/>
    <w:rsid w:val="009D0855"/>
    <w:rsid w:val="009D0D49"/>
    <w:rsid w:val="009D114A"/>
    <w:rsid w:val="009D1249"/>
    <w:rsid w:val="009D27ED"/>
    <w:rsid w:val="009D3567"/>
    <w:rsid w:val="009D3E0E"/>
    <w:rsid w:val="009D46B1"/>
    <w:rsid w:val="009D492B"/>
    <w:rsid w:val="009D4C39"/>
    <w:rsid w:val="009D57ED"/>
    <w:rsid w:val="009D6708"/>
    <w:rsid w:val="009D67F6"/>
    <w:rsid w:val="009D6918"/>
    <w:rsid w:val="009D6FA7"/>
    <w:rsid w:val="009D70B7"/>
    <w:rsid w:val="009D714B"/>
    <w:rsid w:val="009D725B"/>
    <w:rsid w:val="009E0C2D"/>
    <w:rsid w:val="009E0C78"/>
    <w:rsid w:val="009E0EBA"/>
    <w:rsid w:val="009E1351"/>
    <w:rsid w:val="009E16AC"/>
    <w:rsid w:val="009E2466"/>
    <w:rsid w:val="009E292E"/>
    <w:rsid w:val="009E344C"/>
    <w:rsid w:val="009E34F9"/>
    <w:rsid w:val="009E3E8E"/>
    <w:rsid w:val="009E4969"/>
    <w:rsid w:val="009E5022"/>
    <w:rsid w:val="009E5D6E"/>
    <w:rsid w:val="009E62D7"/>
    <w:rsid w:val="009E6638"/>
    <w:rsid w:val="009E6EAB"/>
    <w:rsid w:val="009E7A27"/>
    <w:rsid w:val="009E7F9E"/>
    <w:rsid w:val="009F01F3"/>
    <w:rsid w:val="009F04E6"/>
    <w:rsid w:val="009F05C6"/>
    <w:rsid w:val="009F0973"/>
    <w:rsid w:val="009F13EA"/>
    <w:rsid w:val="009F14EA"/>
    <w:rsid w:val="009F1AC4"/>
    <w:rsid w:val="009F1D07"/>
    <w:rsid w:val="009F2C0D"/>
    <w:rsid w:val="009F2EA6"/>
    <w:rsid w:val="009F3011"/>
    <w:rsid w:val="009F3ECF"/>
    <w:rsid w:val="009F42D8"/>
    <w:rsid w:val="009F46B1"/>
    <w:rsid w:val="009F4DCF"/>
    <w:rsid w:val="009F4FDB"/>
    <w:rsid w:val="009F5F30"/>
    <w:rsid w:val="009F6233"/>
    <w:rsid w:val="009F6EF4"/>
    <w:rsid w:val="009F7830"/>
    <w:rsid w:val="009F7CB4"/>
    <w:rsid w:val="00A00F92"/>
    <w:rsid w:val="00A01933"/>
    <w:rsid w:val="00A01B01"/>
    <w:rsid w:val="00A022D9"/>
    <w:rsid w:val="00A02FA6"/>
    <w:rsid w:val="00A030D7"/>
    <w:rsid w:val="00A03392"/>
    <w:rsid w:val="00A04099"/>
    <w:rsid w:val="00A0409E"/>
    <w:rsid w:val="00A047C7"/>
    <w:rsid w:val="00A0552F"/>
    <w:rsid w:val="00A05F06"/>
    <w:rsid w:val="00A066C9"/>
    <w:rsid w:val="00A06AA3"/>
    <w:rsid w:val="00A06B43"/>
    <w:rsid w:val="00A0710D"/>
    <w:rsid w:val="00A0744A"/>
    <w:rsid w:val="00A101F7"/>
    <w:rsid w:val="00A107C1"/>
    <w:rsid w:val="00A10BD3"/>
    <w:rsid w:val="00A1113D"/>
    <w:rsid w:val="00A11B0D"/>
    <w:rsid w:val="00A11C61"/>
    <w:rsid w:val="00A11D36"/>
    <w:rsid w:val="00A1226B"/>
    <w:rsid w:val="00A124A1"/>
    <w:rsid w:val="00A12897"/>
    <w:rsid w:val="00A12FF9"/>
    <w:rsid w:val="00A13F11"/>
    <w:rsid w:val="00A14028"/>
    <w:rsid w:val="00A16356"/>
    <w:rsid w:val="00A179B2"/>
    <w:rsid w:val="00A17A35"/>
    <w:rsid w:val="00A17E5A"/>
    <w:rsid w:val="00A20287"/>
    <w:rsid w:val="00A21563"/>
    <w:rsid w:val="00A21626"/>
    <w:rsid w:val="00A21EE1"/>
    <w:rsid w:val="00A21F17"/>
    <w:rsid w:val="00A21F7C"/>
    <w:rsid w:val="00A22C4D"/>
    <w:rsid w:val="00A22EE9"/>
    <w:rsid w:val="00A230CE"/>
    <w:rsid w:val="00A24156"/>
    <w:rsid w:val="00A2473C"/>
    <w:rsid w:val="00A25C09"/>
    <w:rsid w:val="00A2613F"/>
    <w:rsid w:val="00A2641F"/>
    <w:rsid w:val="00A26880"/>
    <w:rsid w:val="00A26A22"/>
    <w:rsid w:val="00A26A64"/>
    <w:rsid w:val="00A27334"/>
    <w:rsid w:val="00A30326"/>
    <w:rsid w:val="00A30A8F"/>
    <w:rsid w:val="00A319EF"/>
    <w:rsid w:val="00A32117"/>
    <w:rsid w:val="00A33193"/>
    <w:rsid w:val="00A33577"/>
    <w:rsid w:val="00A342F5"/>
    <w:rsid w:val="00A34D5B"/>
    <w:rsid w:val="00A3584E"/>
    <w:rsid w:val="00A359CA"/>
    <w:rsid w:val="00A3627C"/>
    <w:rsid w:val="00A36481"/>
    <w:rsid w:val="00A367B0"/>
    <w:rsid w:val="00A36D8F"/>
    <w:rsid w:val="00A3739F"/>
    <w:rsid w:val="00A373C3"/>
    <w:rsid w:val="00A373CB"/>
    <w:rsid w:val="00A374D0"/>
    <w:rsid w:val="00A37A3E"/>
    <w:rsid w:val="00A37A97"/>
    <w:rsid w:val="00A37A9B"/>
    <w:rsid w:val="00A37AEF"/>
    <w:rsid w:val="00A40079"/>
    <w:rsid w:val="00A404BF"/>
    <w:rsid w:val="00A40D47"/>
    <w:rsid w:val="00A40E29"/>
    <w:rsid w:val="00A40E8E"/>
    <w:rsid w:val="00A425CF"/>
    <w:rsid w:val="00A42C6B"/>
    <w:rsid w:val="00A42EF6"/>
    <w:rsid w:val="00A43BB1"/>
    <w:rsid w:val="00A44884"/>
    <w:rsid w:val="00A44DF8"/>
    <w:rsid w:val="00A44EE7"/>
    <w:rsid w:val="00A45006"/>
    <w:rsid w:val="00A45756"/>
    <w:rsid w:val="00A45774"/>
    <w:rsid w:val="00A45857"/>
    <w:rsid w:val="00A4613A"/>
    <w:rsid w:val="00A46376"/>
    <w:rsid w:val="00A46B73"/>
    <w:rsid w:val="00A46E22"/>
    <w:rsid w:val="00A46E31"/>
    <w:rsid w:val="00A501AF"/>
    <w:rsid w:val="00A5024A"/>
    <w:rsid w:val="00A51003"/>
    <w:rsid w:val="00A51C5A"/>
    <w:rsid w:val="00A51D15"/>
    <w:rsid w:val="00A52924"/>
    <w:rsid w:val="00A53A32"/>
    <w:rsid w:val="00A540DB"/>
    <w:rsid w:val="00A540F0"/>
    <w:rsid w:val="00A5441B"/>
    <w:rsid w:val="00A558BC"/>
    <w:rsid w:val="00A55CFE"/>
    <w:rsid w:val="00A56628"/>
    <w:rsid w:val="00A57027"/>
    <w:rsid w:val="00A5709C"/>
    <w:rsid w:val="00A57AAB"/>
    <w:rsid w:val="00A57B95"/>
    <w:rsid w:val="00A61E2B"/>
    <w:rsid w:val="00A635FC"/>
    <w:rsid w:val="00A63937"/>
    <w:rsid w:val="00A64449"/>
    <w:rsid w:val="00A649C0"/>
    <w:rsid w:val="00A64DFC"/>
    <w:rsid w:val="00A65110"/>
    <w:rsid w:val="00A65957"/>
    <w:rsid w:val="00A66776"/>
    <w:rsid w:val="00A67722"/>
    <w:rsid w:val="00A700B8"/>
    <w:rsid w:val="00A70221"/>
    <w:rsid w:val="00A707D8"/>
    <w:rsid w:val="00A707FC"/>
    <w:rsid w:val="00A709E0"/>
    <w:rsid w:val="00A70A0C"/>
    <w:rsid w:val="00A70E01"/>
    <w:rsid w:val="00A712D9"/>
    <w:rsid w:val="00A72F1E"/>
    <w:rsid w:val="00A73358"/>
    <w:rsid w:val="00A737DD"/>
    <w:rsid w:val="00A73B5D"/>
    <w:rsid w:val="00A73FAD"/>
    <w:rsid w:val="00A7478A"/>
    <w:rsid w:val="00A758D7"/>
    <w:rsid w:val="00A75A84"/>
    <w:rsid w:val="00A7667A"/>
    <w:rsid w:val="00A76C88"/>
    <w:rsid w:val="00A80952"/>
    <w:rsid w:val="00A80C97"/>
    <w:rsid w:val="00A813F4"/>
    <w:rsid w:val="00A81DA8"/>
    <w:rsid w:val="00A82139"/>
    <w:rsid w:val="00A82AE7"/>
    <w:rsid w:val="00A82B77"/>
    <w:rsid w:val="00A8337E"/>
    <w:rsid w:val="00A849FA"/>
    <w:rsid w:val="00A850B2"/>
    <w:rsid w:val="00A85552"/>
    <w:rsid w:val="00A856A3"/>
    <w:rsid w:val="00A86A8D"/>
    <w:rsid w:val="00A86CEC"/>
    <w:rsid w:val="00A86CF2"/>
    <w:rsid w:val="00A8718C"/>
    <w:rsid w:val="00A8720A"/>
    <w:rsid w:val="00A8757E"/>
    <w:rsid w:val="00A90AB6"/>
    <w:rsid w:val="00A90D08"/>
    <w:rsid w:val="00A91A4E"/>
    <w:rsid w:val="00A92E77"/>
    <w:rsid w:val="00A93135"/>
    <w:rsid w:val="00A9374B"/>
    <w:rsid w:val="00A93FBE"/>
    <w:rsid w:val="00A94060"/>
    <w:rsid w:val="00A942F6"/>
    <w:rsid w:val="00A95119"/>
    <w:rsid w:val="00A95C60"/>
    <w:rsid w:val="00A967A4"/>
    <w:rsid w:val="00A96A4B"/>
    <w:rsid w:val="00A970D7"/>
    <w:rsid w:val="00A97126"/>
    <w:rsid w:val="00A97688"/>
    <w:rsid w:val="00AA1335"/>
    <w:rsid w:val="00AA189D"/>
    <w:rsid w:val="00AA2538"/>
    <w:rsid w:val="00AA3229"/>
    <w:rsid w:val="00AA440D"/>
    <w:rsid w:val="00AA450C"/>
    <w:rsid w:val="00AA457A"/>
    <w:rsid w:val="00AA48CC"/>
    <w:rsid w:val="00AA5520"/>
    <w:rsid w:val="00AA597C"/>
    <w:rsid w:val="00AA5CC2"/>
    <w:rsid w:val="00AA5E59"/>
    <w:rsid w:val="00AA612F"/>
    <w:rsid w:val="00AA62EA"/>
    <w:rsid w:val="00AB012D"/>
    <w:rsid w:val="00AB03D0"/>
    <w:rsid w:val="00AB0DAE"/>
    <w:rsid w:val="00AB15CB"/>
    <w:rsid w:val="00AB17D4"/>
    <w:rsid w:val="00AB18BF"/>
    <w:rsid w:val="00AB1E22"/>
    <w:rsid w:val="00AB3175"/>
    <w:rsid w:val="00AB4890"/>
    <w:rsid w:val="00AB676F"/>
    <w:rsid w:val="00AB6929"/>
    <w:rsid w:val="00AB6E7B"/>
    <w:rsid w:val="00AC0294"/>
    <w:rsid w:val="00AC0387"/>
    <w:rsid w:val="00AC08A4"/>
    <w:rsid w:val="00AC092B"/>
    <w:rsid w:val="00AC2140"/>
    <w:rsid w:val="00AC2302"/>
    <w:rsid w:val="00AC297F"/>
    <w:rsid w:val="00AC38AD"/>
    <w:rsid w:val="00AC38EC"/>
    <w:rsid w:val="00AC430E"/>
    <w:rsid w:val="00AC5A93"/>
    <w:rsid w:val="00AC6225"/>
    <w:rsid w:val="00AC6BCC"/>
    <w:rsid w:val="00AC6FF8"/>
    <w:rsid w:val="00AC731A"/>
    <w:rsid w:val="00AC7E62"/>
    <w:rsid w:val="00AD0126"/>
    <w:rsid w:val="00AD1CAA"/>
    <w:rsid w:val="00AD2564"/>
    <w:rsid w:val="00AD269D"/>
    <w:rsid w:val="00AD282C"/>
    <w:rsid w:val="00AD2C4D"/>
    <w:rsid w:val="00AD32FE"/>
    <w:rsid w:val="00AD3925"/>
    <w:rsid w:val="00AD3FD7"/>
    <w:rsid w:val="00AD53B8"/>
    <w:rsid w:val="00AD5467"/>
    <w:rsid w:val="00AD5501"/>
    <w:rsid w:val="00AD57FE"/>
    <w:rsid w:val="00AD6605"/>
    <w:rsid w:val="00AD671C"/>
    <w:rsid w:val="00AD74BE"/>
    <w:rsid w:val="00AD7752"/>
    <w:rsid w:val="00AD7A2F"/>
    <w:rsid w:val="00AD7E4B"/>
    <w:rsid w:val="00AE0353"/>
    <w:rsid w:val="00AE0436"/>
    <w:rsid w:val="00AE065C"/>
    <w:rsid w:val="00AE16B2"/>
    <w:rsid w:val="00AE19DE"/>
    <w:rsid w:val="00AE2434"/>
    <w:rsid w:val="00AE384E"/>
    <w:rsid w:val="00AE42F4"/>
    <w:rsid w:val="00AE4BBB"/>
    <w:rsid w:val="00AE4D08"/>
    <w:rsid w:val="00AE4E46"/>
    <w:rsid w:val="00AE540F"/>
    <w:rsid w:val="00AE576A"/>
    <w:rsid w:val="00AE717C"/>
    <w:rsid w:val="00AF025D"/>
    <w:rsid w:val="00AF0396"/>
    <w:rsid w:val="00AF1137"/>
    <w:rsid w:val="00AF143E"/>
    <w:rsid w:val="00AF18F6"/>
    <w:rsid w:val="00AF1C3B"/>
    <w:rsid w:val="00AF1CE3"/>
    <w:rsid w:val="00AF1DF8"/>
    <w:rsid w:val="00AF2253"/>
    <w:rsid w:val="00AF2A37"/>
    <w:rsid w:val="00AF3268"/>
    <w:rsid w:val="00AF3698"/>
    <w:rsid w:val="00AF46F7"/>
    <w:rsid w:val="00AF4A31"/>
    <w:rsid w:val="00AF4EF6"/>
    <w:rsid w:val="00AF62F9"/>
    <w:rsid w:val="00AF6358"/>
    <w:rsid w:val="00AF63AA"/>
    <w:rsid w:val="00AF6BEA"/>
    <w:rsid w:val="00B0009E"/>
    <w:rsid w:val="00B0031F"/>
    <w:rsid w:val="00B007CF"/>
    <w:rsid w:val="00B00B7D"/>
    <w:rsid w:val="00B012D4"/>
    <w:rsid w:val="00B01324"/>
    <w:rsid w:val="00B014EE"/>
    <w:rsid w:val="00B01F05"/>
    <w:rsid w:val="00B02A38"/>
    <w:rsid w:val="00B02ED5"/>
    <w:rsid w:val="00B030E4"/>
    <w:rsid w:val="00B04F87"/>
    <w:rsid w:val="00B055A1"/>
    <w:rsid w:val="00B057A0"/>
    <w:rsid w:val="00B06AFE"/>
    <w:rsid w:val="00B06DFF"/>
    <w:rsid w:val="00B073B4"/>
    <w:rsid w:val="00B10B03"/>
    <w:rsid w:val="00B10CCF"/>
    <w:rsid w:val="00B11964"/>
    <w:rsid w:val="00B1205E"/>
    <w:rsid w:val="00B124EB"/>
    <w:rsid w:val="00B1256F"/>
    <w:rsid w:val="00B12B9A"/>
    <w:rsid w:val="00B12C6B"/>
    <w:rsid w:val="00B1323C"/>
    <w:rsid w:val="00B142C7"/>
    <w:rsid w:val="00B14834"/>
    <w:rsid w:val="00B157C7"/>
    <w:rsid w:val="00B15C63"/>
    <w:rsid w:val="00B173DD"/>
    <w:rsid w:val="00B204DB"/>
    <w:rsid w:val="00B204ED"/>
    <w:rsid w:val="00B20D6E"/>
    <w:rsid w:val="00B21675"/>
    <w:rsid w:val="00B2197B"/>
    <w:rsid w:val="00B21F92"/>
    <w:rsid w:val="00B22541"/>
    <w:rsid w:val="00B22C44"/>
    <w:rsid w:val="00B22D8F"/>
    <w:rsid w:val="00B22F1D"/>
    <w:rsid w:val="00B23526"/>
    <w:rsid w:val="00B23728"/>
    <w:rsid w:val="00B24365"/>
    <w:rsid w:val="00B24390"/>
    <w:rsid w:val="00B24582"/>
    <w:rsid w:val="00B2479B"/>
    <w:rsid w:val="00B2520D"/>
    <w:rsid w:val="00B254EF"/>
    <w:rsid w:val="00B25E1D"/>
    <w:rsid w:val="00B26B84"/>
    <w:rsid w:val="00B26EAC"/>
    <w:rsid w:val="00B26FCF"/>
    <w:rsid w:val="00B27551"/>
    <w:rsid w:val="00B27CD1"/>
    <w:rsid w:val="00B30AC6"/>
    <w:rsid w:val="00B311EF"/>
    <w:rsid w:val="00B31C0D"/>
    <w:rsid w:val="00B3310B"/>
    <w:rsid w:val="00B33DC8"/>
    <w:rsid w:val="00B34A84"/>
    <w:rsid w:val="00B34ADD"/>
    <w:rsid w:val="00B35356"/>
    <w:rsid w:val="00B360F3"/>
    <w:rsid w:val="00B371FE"/>
    <w:rsid w:val="00B37219"/>
    <w:rsid w:val="00B37941"/>
    <w:rsid w:val="00B40DED"/>
    <w:rsid w:val="00B41093"/>
    <w:rsid w:val="00B4150A"/>
    <w:rsid w:val="00B42644"/>
    <w:rsid w:val="00B42E04"/>
    <w:rsid w:val="00B43168"/>
    <w:rsid w:val="00B4327B"/>
    <w:rsid w:val="00B43955"/>
    <w:rsid w:val="00B43BD2"/>
    <w:rsid w:val="00B443E9"/>
    <w:rsid w:val="00B44455"/>
    <w:rsid w:val="00B44A1B"/>
    <w:rsid w:val="00B47AB6"/>
    <w:rsid w:val="00B47E4C"/>
    <w:rsid w:val="00B5032C"/>
    <w:rsid w:val="00B50F47"/>
    <w:rsid w:val="00B51044"/>
    <w:rsid w:val="00B51159"/>
    <w:rsid w:val="00B514B2"/>
    <w:rsid w:val="00B5153E"/>
    <w:rsid w:val="00B544C2"/>
    <w:rsid w:val="00B545A3"/>
    <w:rsid w:val="00B5469C"/>
    <w:rsid w:val="00B55285"/>
    <w:rsid w:val="00B55F11"/>
    <w:rsid w:val="00B571D5"/>
    <w:rsid w:val="00B5732E"/>
    <w:rsid w:val="00B6128F"/>
    <w:rsid w:val="00B6194D"/>
    <w:rsid w:val="00B62688"/>
    <w:rsid w:val="00B6270F"/>
    <w:rsid w:val="00B62FCC"/>
    <w:rsid w:val="00B630EA"/>
    <w:rsid w:val="00B63823"/>
    <w:rsid w:val="00B63AD1"/>
    <w:rsid w:val="00B63EF1"/>
    <w:rsid w:val="00B640B8"/>
    <w:rsid w:val="00B640E6"/>
    <w:rsid w:val="00B64C89"/>
    <w:rsid w:val="00B64C9E"/>
    <w:rsid w:val="00B64D1D"/>
    <w:rsid w:val="00B64E8F"/>
    <w:rsid w:val="00B64FB0"/>
    <w:rsid w:val="00B650EA"/>
    <w:rsid w:val="00B65208"/>
    <w:rsid w:val="00B65306"/>
    <w:rsid w:val="00B662D6"/>
    <w:rsid w:val="00B66485"/>
    <w:rsid w:val="00B66C72"/>
    <w:rsid w:val="00B672FA"/>
    <w:rsid w:val="00B67910"/>
    <w:rsid w:val="00B67A37"/>
    <w:rsid w:val="00B70671"/>
    <w:rsid w:val="00B70A53"/>
    <w:rsid w:val="00B70F29"/>
    <w:rsid w:val="00B71077"/>
    <w:rsid w:val="00B7141D"/>
    <w:rsid w:val="00B71466"/>
    <w:rsid w:val="00B71514"/>
    <w:rsid w:val="00B722D8"/>
    <w:rsid w:val="00B7249C"/>
    <w:rsid w:val="00B72C45"/>
    <w:rsid w:val="00B72D4B"/>
    <w:rsid w:val="00B733C6"/>
    <w:rsid w:val="00B745D0"/>
    <w:rsid w:val="00B746BA"/>
    <w:rsid w:val="00B74A7B"/>
    <w:rsid w:val="00B75551"/>
    <w:rsid w:val="00B761E8"/>
    <w:rsid w:val="00B76387"/>
    <w:rsid w:val="00B777DA"/>
    <w:rsid w:val="00B77906"/>
    <w:rsid w:val="00B77CA1"/>
    <w:rsid w:val="00B805A8"/>
    <w:rsid w:val="00B815E5"/>
    <w:rsid w:val="00B818E9"/>
    <w:rsid w:val="00B82261"/>
    <w:rsid w:val="00B82FF7"/>
    <w:rsid w:val="00B831E6"/>
    <w:rsid w:val="00B83A64"/>
    <w:rsid w:val="00B83D3E"/>
    <w:rsid w:val="00B83F36"/>
    <w:rsid w:val="00B83FF5"/>
    <w:rsid w:val="00B846B0"/>
    <w:rsid w:val="00B84CD4"/>
    <w:rsid w:val="00B85BB1"/>
    <w:rsid w:val="00B867A0"/>
    <w:rsid w:val="00B86CBB"/>
    <w:rsid w:val="00B86CF8"/>
    <w:rsid w:val="00B87F8F"/>
    <w:rsid w:val="00B902E3"/>
    <w:rsid w:val="00B90E21"/>
    <w:rsid w:val="00B91185"/>
    <w:rsid w:val="00B9172C"/>
    <w:rsid w:val="00B91D37"/>
    <w:rsid w:val="00B91F52"/>
    <w:rsid w:val="00B928A7"/>
    <w:rsid w:val="00B929F7"/>
    <w:rsid w:val="00B92F53"/>
    <w:rsid w:val="00B9357C"/>
    <w:rsid w:val="00B93997"/>
    <w:rsid w:val="00B93ED8"/>
    <w:rsid w:val="00B9409B"/>
    <w:rsid w:val="00B952B8"/>
    <w:rsid w:val="00B96426"/>
    <w:rsid w:val="00B969FD"/>
    <w:rsid w:val="00B970F2"/>
    <w:rsid w:val="00B97A62"/>
    <w:rsid w:val="00BA0635"/>
    <w:rsid w:val="00BA0F5F"/>
    <w:rsid w:val="00BA103B"/>
    <w:rsid w:val="00BA1F58"/>
    <w:rsid w:val="00BA2483"/>
    <w:rsid w:val="00BA28E5"/>
    <w:rsid w:val="00BA338D"/>
    <w:rsid w:val="00BA3DD4"/>
    <w:rsid w:val="00BA48FB"/>
    <w:rsid w:val="00BA493F"/>
    <w:rsid w:val="00BA6223"/>
    <w:rsid w:val="00BA627E"/>
    <w:rsid w:val="00BA6AE8"/>
    <w:rsid w:val="00BA710C"/>
    <w:rsid w:val="00BA7120"/>
    <w:rsid w:val="00BA7D61"/>
    <w:rsid w:val="00BA7F54"/>
    <w:rsid w:val="00BB0DDE"/>
    <w:rsid w:val="00BB1481"/>
    <w:rsid w:val="00BB173F"/>
    <w:rsid w:val="00BB19DB"/>
    <w:rsid w:val="00BB1B7E"/>
    <w:rsid w:val="00BB26F3"/>
    <w:rsid w:val="00BB2DFC"/>
    <w:rsid w:val="00BB2FFD"/>
    <w:rsid w:val="00BB367E"/>
    <w:rsid w:val="00BB377C"/>
    <w:rsid w:val="00BB3881"/>
    <w:rsid w:val="00BB3E33"/>
    <w:rsid w:val="00BB409E"/>
    <w:rsid w:val="00BB4F0E"/>
    <w:rsid w:val="00BB54A7"/>
    <w:rsid w:val="00BB7445"/>
    <w:rsid w:val="00BB7C53"/>
    <w:rsid w:val="00BC1337"/>
    <w:rsid w:val="00BC244C"/>
    <w:rsid w:val="00BC344E"/>
    <w:rsid w:val="00BC3AD2"/>
    <w:rsid w:val="00BC514D"/>
    <w:rsid w:val="00BC70F6"/>
    <w:rsid w:val="00BC754D"/>
    <w:rsid w:val="00BC7A8C"/>
    <w:rsid w:val="00BD0C35"/>
    <w:rsid w:val="00BD1355"/>
    <w:rsid w:val="00BD1F1F"/>
    <w:rsid w:val="00BD25B4"/>
    <w:rsid w:val="00BD2C91"/>
    <w:rsid w:val="00BD2E7B"/>
    <w:rsid w:val="00BD305F"/>
    <w:rsid w:val="00BD30BD"/>
    <w:rsid w:val="00BD3901"/>
    <w:rsid w:val="00BD4E8A"/>
    <w:rsid w:val="00BD5845"/>
    <w:rsid w:val="00BD5C5B"/>
    <w:rsid w:val="00BD677E"/>
    <w:rsid w:val="00BD6C88"/>
    <w:rsid w:val="00BD6D9E"/>
    <w:rsid w:val="00BD7A4E"/>
    <w:rsid w:val="00BD7EA2"/>
    <w:rsid w:val="00BE02F2"/>
    <w:rsid w:val="00BE066C"/>
    <w:rsid w:val="00BE06D9"/>
    <w:rsid w:val="00BE07C4"/>
    <w:rsid w:val="00BE1245"/>
    <w:rsid w:val="00BE1A3B"/>
    <w:rsid w:val="00BE205C"/>
    <w:rsid w:val="00BE2061"/>
    <w:rsid w:val="00BE2951"/>
    <w:rsid w:val="00BE2C80"/>
    <w:rsid w:val="00BE35AE"/>
    <w:rsid w:val="00BE39D3"/>
    <w:rsid w:val="00BE3A41"/>
    <w:rsid w:val="00BE51D1"/>
    <w:rsid w:val="00BE593E"/>
    <w:rsid w:val="00BE5F79"/>
    <w:rsid w:val="00BE63B3"/>
    <w:rsid w:val="00BE675A"/>
    <w:rsid w:val="00BE6796"/>
    <w:rsid w:val="00BE727B"/>
    <w:rsid w:val="00BE751E"/>
    <w:rsid w:val="00BE7649"/>
    <w:rsid w:val="00BF05E4"/>
    <w:rsid w:val="00BF09DD"/>
    <w:rsid w:val="00BF0B41"/>
    <w:rsid w:val="00BF1BDB"/>
    <w:rsid w:val="00BF1F94"/>
    <w:rsid w:val="00BF2789"/>
    <w:rsid w:val="00BF315B"/>
    <w:rsid w:val="00BF3D3E"/>
    <w:rsid w:val="00BF41C8"/>
    <w:rsid w:val="00BF4F7E"/>
    <w:rsid w:val="00BF527B"/>
    <w:rsid w:val="00BF5A50"/>
    <w:rsid w:val="00BF5CF7"/>
    <w:rsid w:val="00BF6BC9"/>
    <w:rsid w:val="00BF6C09"/>
    <w:rsid w:val="00BF7518"/>
    <w:rsid w:val="00BF7779"/>
    <w:rsid w:val="00BF796D"/>
    <w:rsid w:val="00C01403"/>
    <w:rsid w:val="00C01932"/>
    <w:rsid w:val="00C01B8C"/>
    <w:rsid w:val="00C0286D"/>
    <w:rsid w:val="00C0320A"/>
    <w:rsid w:val="00C03376"/>
    <w:rsid w:val="00C033FC"/>
    <w:rsid w:val="00C035BE"/>
    <w:rsid w:val="00C0532B"/>
    <w:rsid w:val="00C053B3"/>
    <w:rsid w:val="00C05429"/>
    <w:rsid w:val="00C054E1"/>
    <w:rsid w:val="00C064BC"/>
    <w:rsid w:val="00C06929"/>
    <w:rsid w:val="00C07EAC"/>
    <w:rsid w:val="00C101BF"/>
    <w:rsid w:val="00C1039A"/>
    <w:rsid w:val="00C10A51"/>
    <w:rsid w:val="00C10D24"/>
    <w:rsid w:val="00C10D6C"/>
    <w:rsid w:val="00C11170"/>
    <w:rsid w:val="00C1154A"/>
    <w:rsid w:val="00C11906"/>
    <w:rsid w:val="00C11A5F"/>
    <w:rsid w:val="00C11E7E"/>
    <w:rsid w:val="00C12109"/>
    <w:rsid w:val="00C1239D"/>
    <w:rsid w:val="00C12BC8"/>
    <w:rsid w:val="00C12E2F"/>
    <w:rsid w:val="00C13B0E"/>
    <w:rsid w:val="00C15B48"/>
    <w:rsid w:val="00C16A11"/>
    <w:rsid w:val="00C16D77"/>
    <w:rsid w:val="00C17385"/>
    <w:rsid w:val="00C1779F"/>
    <w:rsid w:val="00C17F0E"/>
    <w:rsid w:val="00C20454"/>
    <w:rsid w:val="00C21338"/>
    <w:rsid w:val="00C214C9"/>
    <w:rsid w:val="00C22698"/>
    <w:rsid w:val="00C22DED"/>
    <w:rsid w:val="00C22F51"/>
    <w:rsid w:val="00C233E4"/>
    <w:rsid w:val="00C2370F"/>
    <w:rsid w:val="00C239FC"/>
    <w:rsid w:val="00C23B3A"/>
    <w:rsid w:val="00C241A1"/>
    <w:rsid w:val="00C241FC"/>
    <w:rsid w:val="00C246AE"/>
    <w:rsid w:val="00C24D46"/>
    <w:rsid w:val="00C25935"/>
    <w:rsid w:val="00C25D59"/>
    <w:rsid w:val="00C263CC"/>
    <w:rsid w:val="00C26B7E"/>
    <w:rsid w:val="00C27A0A"/>
    <w:rsid w:val="00C30E28"/>
    <w:rsid w:val="00C31D62"/>
    <w:rsid w:val="00C3212C"/>
    <w:rsid w:val="00C32F41"/>
    <w:rsid w:val="00C330EF"/>
    <w:rsid w:val="00C34918"/>
    <w:rsid w:val="00C34A25"/>
    <w:rsid w:val="00C34B11"/>
    <w:rsid w:val="00C34E03"/>
    <w:rsid w:val="00C3534E"/>
    <w:rsid w:val="00C376B6"/>
    <w:rsid w:val="00C37C2B"/>
    <w:rsid w:val="00C40773"/>
    <w:rsid w:val="00C40910"/>
    <w:rsid w:val="00C40D05"/>
    <w:rsid w:val="00C4170F"/>
    <w:rsid w:val="00C419EA"/>
    <w:rsid w:val="00C41FAF"/>
    <w:rsid w:val="00C42649"/>
    <w:rsid w:val="00C431DA"/>
    <w:rsid w:val="00C43694"/>
    <w:rsid w:val="00C4376A"/>
    <w:rsid w:val="00C43CF2"/>
    <w:rsid w:val="00C4453B"/>
    <w:rsid w:val="00C448FD"/>
    <w:rsid w:val="00C44B7B"/>
    <w:rsid w:val="00C452A0"/>
    <w:rsid w:val="00C45739"/>
    <w:rsid w:val="00C45C8E"/>
    <w:rsid w:val="00C461FC"/>
    <w:rsid w:val="00C46C81"/>
    <w:rsid w:val="00C500B2"/>
    <w:rsid w:val="00C50125"/>
    <w:rsid w:val="00C50EA6"/>
    <w:rsid w:val="00C51C9D"/>
    <w:rsid w:val="00C51D3D"/>
    <w:rsid w:val="00C52454"/>
    <w:rsid w:val="00C52703"/>
    <w:rsid w:val="00C52EC0"/>
    <w:rsid w:val="00C53675"/>
    <w:rsid w:val="00C53987"/>
    <w:rsid w:val="00C53CBA"/>
    <w:rsid w:val="00C54BA8"/>
    <w:rsid w:val="00C550AC"/>
    <w:rsid w:val="00C558F1"/>
    <w:rsid w:val="00C56564"/>
    <w:rsid w:val="00C5669B"/>
    <w:rsid w:val="00C56876"/>
    <w:rsid w:val="00C56C5E"/>
    <w:rsid w:val="00C572FF"/>
    <w:rsid w:val="00C579B3"/>
    <w:rsid w:val="00C57C8D"/>
    <w:rsid w:val="00C57DF9"/>
    <w:rsid w:val="00C6043B"/>
    <w:rsid w:val="00C6084C"/>
    <w:rsid w:val="00C6091F"/>
    <w:rsid w:val="00C61139"/>
    <w:rsid w:val="00C62189"/>
    <w:rsid w:val="00C62798"/>
    <w:rsid w:val="00C64B4B"/>
    <w:rsid w:val="00C64DE1"/>
    <w:rsid w:val="00C65226"/>
    <w:rsid w:val="00C65259"/>
    <w:rsid w:val="00C65838"/>
    <w:rsid w:val="00C65FB1"/>
    <w:rsid w:val="00C661D1"/>
    <w:rsid w:val="00C676E1"/>
    <w:rsid w:val="00C67D28"/>
    <w:rsid w:val="00C7069D"/>
    <w:rsid w:val="00C707C2"/>
    <w:rsid w:val="00C70903"/>
    <w:rsid w:val="00C70C87"/>
    <w:rsid w:val="00C70DF9"/>
    <w:rsid w:val="00C71538"/>
    <w:rsid w:val="00C72148"/>
    <w:rsid w:val="00C72A20"/>
    <w:rsid w:val="00C73126"/>
    <w:rsid w:val="00C73D76"/>
    <w:rsid w:val="00C74430"/>
    <w:rsid w:val="00C74834"/>
    <w:rsid w:val="00C74EFA"/>
    <w:rsid w:val="00C75045"/>
    <w:rsid w:val="00C755C0"/>
    <w:rsid w:val="00C75EB1"/>
    <w:rsid w:val="00C765EC"/>
    <w:rsid w:val="00C76C8F"/>
    <w:rsid w:val="00C77EAB"/>
    <w:rsid w:val="00C81046"/>
    <w:rsid w:val="00C82427"/>
    <w:rsid w:val="00C82E91"/>
    <w:rsid w:val="00C83371"/>
    <w:rsid w:val="00C833D9"/>
    <w:rsid w:val="00C8427A"/>
    <w:rsid w:val="00C84667"/>
    <w:rsid w:val="00C84CE6"/>
    <w:rsid w:val="00C85164"/>
    <w:rsid w:val="00C8671A"/>
    <w:rsid w:val="00C8673E"/>
    <w:rsid w:val="00C868AA"/>
    <w:rsid w:val="00C87103"/>
    <w:rsid w:val="00C87514"/>
    <w:rsid w:val="00C9061E"/>
    <w:rsid w:val="00C90FD8"/>
    <w:rsid w:val="00C9139A"/>
    <w:rsid w:val="00C9225B"/>
    <w:rsid w:val="00C922CE"/>
    <w:rsid w:val="00C9245F"/>
    <w:rsid w:val="00C93380"/>
    <w:rsid w:val="00C938DF"/>
    <w:rsid w:val="00C93C71"/>
    <w:rsid w:val="00C94CCC"/>
    <w:rsid w:val="00C94DAD"/>
    <w:rsid w:val="00C94EF6"/>
    <w:rsid w:val="00C95894"/>
    <w:rsid w:val="00C958BB"/>
    <w:rsid w:val="00C95944"/>
    <w:rsid w:val="00C95C90"/>
    <w:rsid w:val="00C9671D"/>
    <w:rsid w:val="00C96A53"/>
    <w:rsid w:val="00C96BAF"/>
    <w:rsid w:val="00C96D08"/>
    <w:rsid w:val="00C97650"/>
    <w:rsid w:val="00C97AF4"/>
    <w:rsid w:val="00C97E2D"/>
    <w:rsid w:val="00CA0C76"/>
    <w:rsid w:val="00CA109A"/>
    <w:rsid w:val="00CA13CD"/>
    <w:rsid w:val="00CA29DE"/>
    <w:rsid w:val="00CA2D56"/>
    <w:rsid w:val="00CA2EDB"/>
    <w:rsid w:val="00CA3AAA"/>
    <w:rsid w:val="00CA4E71"/>
    <w:rsid w:val="00CA571C"/>
    <w:rsid w:val="00CA5792"/>
    <w:rsid w:val="00CA5CBC"/>
    <w:rsid w:val="00CA666F"/>
    <w:rsid w:val="00CA66B1"/>
    <w:rsid w:val="00CA6813"/>
    <w:rsid w:val="00CB23EF"/>
    <w:rsid w:val="00CB2556"/>
    <w:rsid w:val="00CB2901"/>
    <w:rsid w:val="00CB2E6F"/>
    <w:rsid w:val="00CB365D"/>
    <w:rsid w:val="00CB3F3D"/>
    <w:rsid w:val="00CB4924"/>
    <w:rsid w:val="00CB4DAB"/>
    <w:rsid w:val="00CB4E41"/>
    <w:rsid w:val="00CB5021"/>
    <w:rsid w:val="00CB50AB"/>
    <w:rsid w:val="00CB58DA"/>
    <w:rsid w:val="00CB60C5"/>
    <w:rsid w:val="00CB6383"/>
    <w:rsid w:val="00CB66CC"/>
    <w:rsid w:val="00CB6704"/>
    <w:rsid w:val="00CB6829"/>
    <w:rsid w:val="00CB6CA9"/>
    <w:rsid w:val="00CB75A1"/>
    <w:rsid w:val="00CB765B"/>
    <w:rsid w:val="00CB7A23"/>
    <w:rsid w:val="00CB7C6D"/>
    <w:rsid w:val="00CB7CB5"/>
    <w:rsid w:val="00CC0673"/>
    <w:rsid w:val="00CC160D"/>
    <w:rsid w:val="00CC1BD0"/>
    <w:rsid w:val="00CC1E05"/>
    <w:rsid w:val="00CC2015"/>
    <w:rsid w:val="00CC284B"/>
    <w:rsid w:val="00CC2862"/>
    <w:rsid w:val="00CC39F0"/>
    <w:rsid w:val="00CC4B80"/>
    <w:rsid w:val="00CC4C2F"/>
    <w:rsid w:val="00CC7F91"/>
    <w:rsid w:val="00CC7FD7"/>
    <w:rsid w:val="00CD039D"/>
    <w:rsid w:val="00CD08D9"/>
    <w:rsid w:val="00CD2B1B"/>
    <w:rsid w:val="00CD4226"/>
    <w:rsid w:val="00CD4853"/>
    <w:rsid w:val="00CD4E46"/>
    <w:rsid w:val="00CD4FFC"/>
    <w:rsid w:val="00CD5017"/>
    <w:rsid w:val="00CD6E27"/>
    <w:rsid w:val="00CD7079"/>
    <w:rsid w:val="00CD781F"/>
    <w:rsid w:val="00CD7C27"/>
    <w:rsid w:val="00CE092D"/>
    <w:rsid w:val="00CE16BC"/>
    <w:rsid w:val="00CE1920"/>
    <w:rsid w:val="00CE33A0"/>
    <w:rsid w:val="00CE4D1A"/>
    <w:rsid w:val="00CE5366"/>
    <w:rsid w:val="00CE6861"/>
    <w:rsid w:val="00CE68CE"/>
    <w:rsid w:val="00CE693C"/>
    <w:rsid w:val="00CE6EC5"/>
    <w:rsid w:val="00CE72FD"/>
    <w:rsid w:val="00CF0AB4"/>
    <w:rsid w:val="00CF0CE7"/>
    <w:rsid w:val="00CF1084"/>
    <w:rsid w:val="00CF1617"/>
    <w:rsid w:val="00CF1FD2"/>
    <w:rsid w:val="00CF2611"/>
    <w:rsid w:val="00CF272D"/>
    <w:rsid w:val="00CF2B4B"/>
    <w:rsid w:val="00CF2CAF"/>
    <w:rsid w:val="00CF2D7F"/>
    <w:rsid w:val="00CF2E4E"/>
    <w:rsid w:val="00CF330A"/>
    <w:rsid w:val="00CF332E"/>
    <w:rsid w:val="00CF3B3E"/>
    <w:rsid w:val="00CF3BA8"/>
    <w:rsid w:val="00CF45DA"/>
    <w:rsid w:val="00CF4821"/>
    <w:rsid w:val="00CF5FBB"/>
    <w:rsid w:val="00CF7061"/>
    <w:rsid w:val="00CF71E6"/>
    <w:rsid w:val="00CF732C"/>
    <w:rsid w:val="00CF7ABD"/>
    <w:rsid w:val="00CF7C55"/>
    <w:rsid w:val="00D0035E"/>
    <w:rsid w:val="00D0048E"/>
    <w:rsid w:val="00D0081D"/>
    <w:rsid w:val="00D00BCB"/>
    <w:rsid w:val="00D00FEB"/>
    <w:rsid w:val="00D01D9C"/>
    <w:rsid w:val="00D0241E"/>
    <w:rsid w:val="00D02597"/>
    <w:rsid w:val="00D02706"/>
    <w:rsid w:val="00D029D3"/>
    <w:rsid w:val="00D02F96"/>
    <w:rsid w:val="00D046FE"/>
    <w:rsid w:val="00D049D1"/>
    <w:rsid w:val="00D04D42"/>
    <w:rsid w:val="00D04DA8"/>
    <w:rsid w:val="00D05139"/>
    <w:rsid w:val="00D05149"/>
    <w:rsid w:val="00D05268"/>
    <w:rsid w:val="00D06668"/>
    <w:rsid w:val="00D06C63"/>
    <w:rsid w:val="00D06F87"/>
    <w:rsid w:val="00D070B3"/>
    <w:rsid w:val="00D074B5"/>
    <w:rsid w:val="00D100CA"/>
    <w:rsid w:val="00D107CD"/>
    <w:rsid w:val="00D112CD"/>
    <w:rsid w:val="00D11500"/>
    <w:rsid w:val="00D119E4"/>
    <w:rsid w:val="00D11EB5"/>
    <w:rsid w:val="00D12332"/>
    <w:rsid w:val="00D12BCF"/>
    <w:rsid w:val="00D13513"/>
    <w:rsid w:val="00D13783"/>
    <w:rsid w:val="00D13BDA"/>
    <w:rsid w:val="00D13FE0"/>
    <w:rsid w:val="00D143F1"/>
    <w:rsid w:val="00D14743"/>
    <w:rsid w:val="00D1488F"/>
    <w:rsid w:val="00D14F32"/>
    <w:rsid w:val="00D15453"/>
    <w:rsid w:val="00D157BD"/>
    <w:rsid w:val="00D15A93"/>
    <w:rsid w:val="00D163F7"/>
    <w:rsid w:val="00D16BB6"/>
    <w:rsid w:val="00D16E74"/>
    <w:rsid w:val="00D1733C"/>
    <w:rsid w:val="00D17344"/>
    <w:rsid w:val="00D175C8"/>
    <w:rsid w:val="00D21178"/>
    <w:rsid w:val="00D21985"/>
    <w:rsid w:val="00D2276E"/>
    <w:rsid w:val="00D227D0"/>
    <w:rsid w:val="00D227EA"/>
    <w:rsid w:val="00D22B05"/>
    <w:rsid w:val="00D22D7E"/>
    <w:rsid w:val="00D22F81"/>
    <w:rsid w:val="00D2339C"/>
    <w:rsid w:val="00D24B66"/>
    <w:rsid w:val="00D24E9E"/>
    <w:rsid w:val="00D24FEE"/>
    <w:rsid w:val="00D25EFE"/>
    <w:rsid w:val="00D272CD"/>
    <w:rsid w:val="00D277A2"/>
    <w:rsid w:val="00D27C8C"/>
    <w:rsid w:val="00D309D1"/>
    <w:rsid w:val="00D30E3F"/>
    <w:rsid w:val="00D32348"/>
    <w:rsid w:val="00D32A13"/>
    <w:rsid w:val="00D32B1C"/>
    <w:rsid w:val="00D33AFC"/>
    <w:rsid w:val="00D33EA7"/>
    <w:rsid w:val="00D34684"/>
    <w:rsid w:val="00D3472A"/>
    <w:rsid w:val="00D3473D"/>
    <w:rsid w:val="00D353D6"/>
    <w:rsid w:val="00D3551C"/>
    <w:rsid w:val="00D35538"/>
    <w:rsid w:val="00D35B93"/>
    <w:rsid w:val="00D3706B"/>
    <w:rsid w:val="00D401C1"/>
    <w:rsid w:val="00D41F2B"/>
    <w:rsid w:val="00D41FB9"/>
    <w:rsid w:val="00D42145"/>
    <w:rsid w:val="00D4269B"/>
    <w:rsid w:val="00D42871"/>
    <w:rsid w:val="00D42919"/>
    <w:rsid w:val="00D43C96"/>
    <w:rsid w:val="00D44072"/>
    <w:rsid w:val="00D45724"/>
    <w:rsid w:val="00D45750"/>
    <w:rsid w:val="00D464D6"/>
    <w:rsid w:val="00D469DB"/>
    <w:rsid w:val="00D5025A"/>
    <w:rsid w:val="00D50744"/>
    <w:rsid w:val="00D515FF"/>
    <w:rsid w:val="00D51958"/>
    <w:rsid w:val="00D519DE"/>
    <w:rsid w:val="00D51BC1"/>
    <w:rsid w:val="00D52357"/>
    <w:rsid w:val="00D52A7A"/>
    <w:rsid w:val="00D52EF2"/>
    <w:rsid w:val="00D534F3"/>
    <w:rsid w:val="00D53D7C"/>
    <w:rsid w:val="00D54168"/>
    <w:rsid w:val="00D54490"/>
    <w:rsid w:val="00D54567"/>
    <w:rsid w:val="00D54636"/>
    <w:rsid w:val="00D54CB8"/>
    <w:rsid w:val="00D55033"/>
    <w:rsid w:val="00D55269"/>
    <w:rsid w:val="00D56D1F"/>
    <w:rsid w:val="00D57D79"/>
    <w:rsid w:val="00D605B5"/>
    <w:rsid w:val="00D60F3E"/>
    <w:rsid w:val="00D6148C"/>
    <w:rsid w:val="00D61FFC"/>
    <w:rsid w:val="00D6210A"/>
    <w:rsid w:val="00D62498"/>
    <w:rsid w:val="00D62ED1"/>
    <w:rsid w:val="00D63F3C"/>
    <w:rsid w:val="00D6425B"/>
    <w:rsid w:val="00D645AF"/>
    <w:rsid w:val="00D64C14"/>
    <w:rsid w:val="00D658CA"/>
    <w:rsid w:val="00D67926"/>
    <w:rsid w:val="00D67B0F"/>
    <w:rsid w:val="00D70030"/>
    <w:rsid w:val="00D704A6"/>
    <w:rsid w:val="00D70550"/>
    <w:rsid w:val="00D714D9"/>
    <w:rsid w:val="00D716D6"/>
    <w:rsid w:val="00D71716"/>
    <w:rsid w:val="00D71B33"/>
    <w:rsid w:val="00D72E73"/>
    <w:rsid w:val="00D7316D"/>
    <w:rsid w:val="00D737D1"/>
    <w:rsid w:val="00D73CC0"/>
    <w:rsid w:val="00D741BD"/>
    <w:rsid w:val="00D74786"/>
    <w:rsid w:val="00D74E16"/>
    <w:rsid w:val="00D75368"/>
    <w:rsid w:val="00D75473"/>
    <w:rsid w:val="00D76015"/>
    <w:rsid w:val="00D773FD"/>
    <w:rsid w:val="00D777B1"/>
    <w:rsid w:val="00D77B5B"/>
    <w:rsid w:val="00D80034"/>
    <w:rsid w:val="00D81101"/>
    <w:rsid w:val="00D8152A"/>
    <w:rsid w:val="00D81FB7"/>
    <w:rsid w:val="00D831A7"/>
    <w:rsid w:val="00D84281"/>
    <w:rsid w:val="00D85BE5"/>
    <w:rsid w:val="00D85D4F"/>
    <w:rsid w:val="00D868D5"/>
    <w:rsid w:val="00D87038"/>
    <w:rsid w:val="00D8781F"/>
    <w:rsid w:val="00D8798D"/>
    <w:rsid w:val="00D903E3"/>
    <w:rsid w:val="00D904F2"/>
    <w:rsid w:val="00D91648"/>
    <w:rsid w:val="00D92034"/>
    <w:rsid w:val="00D922B8"/>
    <w:rsid w:val="00D92AB9"/>
    <w:rsid w:val="00D932B9"/>
    <w:rsid w:val="00D9386A"/>
    <w:rsid w:val="00D940E6"/>
    <w:rsid w:val="00D945A7"/>
    <w:rsid w:val="00D94907"/>
    <w:rsid w:val="00D95111"/>
    <w:rsid w:val="00D953B8"/>
    <w:rsid w:val="00D95CA8"/>
    <w:rsid w:val="00D95CC2"/>
    <w:rsid w:val="00D961D8"/>
    <w:rsid w:val="00D965C9"/>
    <w:rsid w:val="00D968C5"/>
    <w:rsid w:val="00D96CC2"/>
    <w:rsid w:val="00D96D97"/>
    <w:rsid w:val="00D96F41"/>
    <w:rsid w:val="00D975EC"/>
    <w:rsid w:val="00D978D2"/>
    <w:rsid w:val="00DA28CE"/>
    <w:rsid w:val="00DA3FA8"/>
    <w:rsid w:val="00DA41B6"/>
    <w:rsid w:val="00DA4FA5"/>
    <w:rsid w:val="00DA5447"/>
    <w:rsid w:val="00DA71A4"/>
    <w:rsid w:val="00DB037D"/>
    <w:rsid w:val="00DB0DA4"/>
    <w:rsid w:val="00DB0F1C"/>
    <w:rsid w:val="00DB13B7"/>
    <w:rsid w:val="00DB1970"/>
    <w:rsid w:val="00DB1DDD"/>
    <w:rsid w:val="00DB1E5F"/>
    <w:rsid w:val="00DB1F1C"/>
    <w:rsid w:val="00DB20D1"/>
    <w:rsid w:val="00DB28FE"/>
    <w:rsid w:val="00DB2CF3"/>
    <w:rsid w:val="00DB378E"/>
    <w:rsid w:val="00DB462D"/>
    <w:rsid w:val="00DB4E9F"/>
    <w:rsid w:val="00DB5EE7"/>
    <w:rsid w:val="00DB612E"/>
    <w:rsid w:val="00DB6CE4"/>
    <w:rsid w:val="00DB7AE3"/>
    <w:rsid w:val="00DB7C94"/>
    <w:rsid w:val="00DB7CD4"/>
    <w:rsid w:val="00DC14DC"/>
    <w:rsid w:val="00DC15F8"/>
    <w:rsid w:val="00DC2204"/>
    <w:rsid w:val="00DC3773"/>
    <w:rsid w:val="00DC3A9A"/>
    <w:rsid w:val="00DC415D"/>
    <w:rsid w:val="00DC416B"/>
    <w:rsid w:val="00DC44EA"/>
    <w:rsid w:val="00DC46CB"/>
    <w:rsid w:val="00DC4B3D"/>
    <w:rsid w:val="00DC58B8"/>
    <w:rsid w:val="00DC5919"/>
    <w:rsid w:val="00DC67EF"/>
    <w:rsid w:val="00DC681C"/>
    <w:rsid w:val="00DC6B6B"/>
    <w:rsid w:val="00DD0A3A"/>
    <w:rsid w:val="00DD0A8F"/>
    <w:rsid w:val="00DD0DEF"/>
    <w:rsid w:val="00DD109E"/>
    <w:rsid w:val="00DD1C61"/>
    <w:rsid w:val="00DD1EC9"/>
    <w:rsid w:val="00DD2478"/>
    <w:rsid w:val="00DD28F9"/>
    <w:rsid w:val="00DD2E97"/>
    <w:rsid w:val="00DD371A"/>
    <w:rsid w:val="00DD3998"/>
    <w:rsid w:val="00DD5406"/>
    <w:rsid w:val="00DD5631"/>
    <w:rsid w:val="00DD6F07"/>
    <w:rsid w:val="00DE03DE"/>
    <w:rsid w:val="00DE0A98"/>
    <w:rsid w:val="00DE135F"/>
    <w:rsid w:val="00DE1585"/>
    <w:rsid w:val="00DE1C2D"/>
    <w:rsid w:val="00DE1DFC"/>
    <w:rsid w:val="00DE24C3"/>
    <w:rsid w:val="00DE2BB8"/>
    <w:rsid w:val="00DE2C2B"/>
    <w:rsid w:val="00DE33E5"/>
    <w:rsid w:val="00DE386E"/>
    <w:rsid w:val="00DE3A1D"/>
    <w:rsid w:val="00DE44D1"/>
    <w:rsid w:val="00DE4753"/>
    <w:rsid w:val="00DE50B0"/>
    <w:rsid w:val="00DE5D7E"/>
    <w:rsid w:val="00DE6878"/>
    <w:rsid w:val="00DE6FD4"/>
    <w:rsid w:val="00DE74FA"/>
    <w:rsid w:val="00DF04E6"/>
    <w:rsid w:val="00DF1AAD"/>
    <w:rsid w:val="00DF2093"/>
    <w:rsid w:val="00DF2365"/>
    <w:rsid w:val="00DF251C"/>
    <w:rsid w:val="00DF26B3"/>
    <w:rsid w:val="00DF31E6"/>
    <w:rsid w:val="00DF432F"/>
    <w:rsid w:val="00DF4594"/>
    <w:rsid w:val="00DF4870"/>
    <w:rsid w:val="00DF48C6"/>
    <w:rsid w:val="00DF49B5"/>
    <w:rsid w:val="00DF4D71"/>
    <w:rsid w:val="00DF4D95"/>
    <w:rsid w:val="00DF4F77"/>
    <w:rsid w:val="00DF5843"/>
    <w:rsid w:val="00DF6029"/>
    <w:rsid w:val="00DF66BC"/>
    <w:rsid w:val="00DF6888"/>
    <w:rsid w:val="00DF6A3E"/>
    <w:rsid w:val="00DF6B2C"/>
    <w:rsid w:val="00DF6B83"/>
    <w:rsid w:val="00DF6C0A"/>
    <w:rsid w:val="00DF6C98"/>
    <w:rsid w:val="00DF73EA"/>
    <w:rsid w:val="00DF7B1A"/>
    <w:rsid w:val="00E00716"/>
    <w:rsid w:val="00E0182F"/>
    <w:rsid w:val="00E02279"/>
    <w:rsid w:val="00E02DD3"/>
    <w:rsid w:val="00E02E2E"/>
    <w:rsid w:val="00E03038"/>
    <w:rsid w:val="00E039C5"/>
    <w:rsid w:val="00E03E00"/>
    <w:rsid w:val="00E03E17"/>
    <w:rsid w:val="00E0497B"/>
    <w:rsid w:val="00E049F0"/>
    <w:rsid w:val="00E05155"/>
    <w:rsid w:val="00E05E4A"/>
    <w:rsid w:val="00E061E4"/>
    <w:rsid w:val="00E06CCF"/>
    <w:rsid w:val="00E06F66"/>
    <w:rsid w:val="00E07731"/>
    <w:rsid w:val="00E1056B"/>
    <w:rsid w:val="00E1098D"/>
    <w:rsid w:val="00E10EB5"/>
    <w:rsid w:val="00E10EDF"/>
    <w:rsid w:val="00E11743"/>
    <w:rsid w:val="00E1201D"/>
    <w:rsid w:val="00E128C6"/>
    <w:rsid w:val="00E13F56"/>
    <w:rsid w:val="00E14CAA"/>
    <w:rsid w:val="00E1578E"/>
    <w:rsid w:val="00E16579"/>
    <w:rsid w:val="00E16DA9"/>
    <w:rsid w:val="00E173D6"/>
    <w:rsid w:val="00E17A23"/>
    <w:rsid w:val="00E205CF"/>
    <w:rsid w:val="00E20898"/>
    <w:rsid w:val="00E21AF7"/>
    <w:rsid w:val="00E21E11"/>
    <w:rsid w:val="00E21F16"/>
    <w:rsid w:val="00E2301D"/>
    <w:rsid w:val="00E233D6"/>
    <w:rsid w:val="00E2586F"/>
    <w:rsid w:val="00E26CC3"/>
    <w:rsid w:val="00E26D72"/>
    <w:rsid w:val="00E2761C"/>
    <w:rsid w:val="00E276DB"/>
    <w:rsid w:val="00E27C51"/>
    <w:rsid w:val="00E27E6D"/>
    <w:rsid w:val="00E30152"/>
    <w:rsid w:val="00E30254"/>
    <w:rsid w:val="00E302FA"/>
    <w:rsid w:val="00E30B73"/>
    <w:rsid w:val="00E310F7"/>
    <w:rsid w:val="00E31392"/>
    <w:rsid w:val="00E313B0"/>
    <w:rsid w:val="00E31994"/>
    <w:rsid w:val="00E319F3"/>
    <w:rsid w:val="00E33735"/>
    <w:rsid w:val="00E34788"/>
    <w:rsid w:val="00E34D5B"/>
    <w:rsid w:val="00E3506A"/>
    <w:rsid w:val="00E35239"/>
    <w:rsid w:val="00E35578"/>
    <w:rsid w:val="00E3578F"/>
    <w:rsid w:val="00E35BBB"/>
    <w:rsid w:val="00E365F5"/>
    <w:rsid w:val="00E36638"/>
    <w:rsid w:val="00E37AA4"/>
    <w:rsid w:val="00E37B2C"/>
    <w:rsid w:val="00E37BA1"/>
    <w:rsid w:val="00E4027F"/>
    <w:rsid w:val="00E402F6"/>
    <w:rsid w:val="00E40313"/>
    <w:rsid w:val="00E405CA"/>
    <w:rsid w:val="00E413A6"/>
    <w:rsid w:val="00E41643"/>
    <w:rsid w:val="00E41FDB"/>
    <w:rsid w:val="00E4242A"/>
    <w:rsid w:val="00E436F4"/>
    <w:rsid w:val="00E44478"/>
    <w:rsid w:val="00E4480D"/>
    <w:rsid w:val="00E457D7"/>
    <w:rsid w:val="00E46799"/>
    <w:rsid w:val="00E46805"/>
    <w:rsid w:val="00E471CA"/>
    <w:rsid w:val="00E47258"/>
    <w:rsid w:val="00E477AE"/>
    <w:rsid w:val="00E47EBD"/>
    <w:rsid w:val="00E50005"/>
    <w:rsid w:val="00E50B49"/>
    <w:rsid w:val="00E512AA"/>
    <w:rsid w:val="00E52DE9"/>
    <w:rsid w:val="00E53145"/>
    <w:rsid w:val="00E5378D"/>
    <w:rsid w:val="00E545AE"/>
    <w:rsid w:val="00E54BBC"/>
    <w:rsid w:val="00E56175"/>
    <w:rsid w:val="00E56502"/>
    <w:rsid w:val="00E56D2D"/>
    <w:rsid w:val="00E56D5D"/>
    <w:rsid w:val="00E56DB0"/>
    <w:rsid w:val="00E600F8"/>
    <w:rsid w:val="00E60200"/>
    <w:rsid w:val="00E603FA"/>
    <w:rsid w:val="00E608BE"/>
    <w:rsid w:val="00E60F5B"/>
    <w:rsid w:val="00E61011"/>
    <w:rsid w:val="00E6109C"/>
    <w:rsid w:val="00E618EA"/>
    <w:rsid w:val="00E6249D"/>
    <w:rsid w:val="00E6276F"/>
    <w:rsid w:val="00E62CAE"/>
    <w:rsid w:val="00E63505"/>
    <w:rsid w:val="00E6426C"/>
    <w:rsid w:val="00E646C1"/>
    <w:rsid w:val="00E64CD0"/>
    <w:rsid w:val="00E64DAA"/>
    <w:rsid w:val="00E651C1"/>
    <w:rsid w:val="00E660A6"/>
    <w:rsid w:val="00E6677E"/>
    <w:rsid w:val="00E673E9"/>
    <w:rsid w:val="00E675C3"/>
    <w:rsid w:val="00E7026B"/>
    <w:rsid w:val="00E711E8"/>
    <w:rsid w:val="00E71F56"/>
    <w:rsid w:val="00E73796"/>
    <w:rsid w:val="00E7388A"/>
    <w:rsid w:val="00E742AC"/>
    <w:rsid w:val="00E74A48"/>
    <w:rsid w:val="00E74F8C"/>
    <w:rsid w:val="00E764EE"/>
    <w:rsid w:val="00E766FF"/>
    <w:rsid w:val="00E8004F"/>
    <w:rsid w:val="00E80247"/>
    <w:rsid w:val="00E80337"/>
    <w:rsid w:val="00E8061E"/>
    <w:rsid w:val="00E81919"/>
    <w:rsid w:val="00E827C6"/>
    <w:rsid w:val="00E8291E"/>
    <w:rsid w:val="00E82A71"/>
    <w:rsid w:val="00E83B53"/>
    <w:rsid w:val="00E83BF6"/>
    <w:rsid w:val="00E83C79"/>
    <w:rsid w:val="00E841BA"/>
    <w:rsid w:val="00E850F0"/>
    <w:rsid w:val="00E85261"/>
    <w:rsid w:val="00E861D5"/>
    <w:rsid w:val="00E862D8"/>
    <w:rsid w:val="00E864B1"/>
    <w:rsid w:val="00E86741"/>
    <w:rsid w:val="00E87461"/>
    <w:rsid w:val="00E877C5"/>
    <w:rsid w:val="00E90530"/>
    <w:rsid w:val="00E91BC8"/>
    <w:rsid w:val="00E924C3"/>
    <w:rsid w:val="00E936AB"/>
    <w:rsid w:val="00E93FED"/>
    <w:rsid w:val="00E94145"/>
    <w:rsid w:val="00E9425F"/>
    <w:rsid w:val="00E94A79"/>
    <w:rsid w:val="00E94C27"/>
    <w:rsid w:val="00E94C4A"/>
    <w:rsid w:val="00E94DB3"/>
    <w:rsid w:val="00E950C6"/>
    <w:rsid w:val="00E95E44"/>
    <w:rsid w:val="00E961E3"/>
    <w:rsid w:val="00E96876"/>
    <w:rsid w:val="00EA01FF"/>
    <w:rsid w:val="00EA0384"/>
    <w:rsid w:val="00EA1607"/>
    <w:rsid w:val="00EA1D8F"/>
    <w:rsid w:val="00EA1F93"/>
    <w:rsid w:val="00EA2491"/>
    <w:rsid w:val="00EA2A1D"/>
    <w:rsid w:val="00EA2F39"/>
    <w:rsid w:val="00EA398A"/>
    <w:rsid w:val="00EA44F5"/>
    <w:rsid w:val="00EA4568"/>
    <w:rsid w:val="00EA47C2"/>
    <w:rsid w:val="00EA4AC5"/>
    <w:rsid w:val="00EA5618"/>
    <w:rsid w:val="00EA5750"/>
    <w:rsid w:val="00EA6052"/>
    <w:rsid w:val="00EA7D40"/>
    <w:rsid w:val="00EB0264"/>
    <w:rsid w:val="00EB0936"/>
    <w:rsid w:val="00EB0EDE"/>
    <w:rsid w:val="00EB167B"/>
    <w:rsid w:val="00EB1C84"/>
    <w:rsid w:val="00EB20EF"/>
    <w:rsid w:val="00EB22AE"/>
    <w:rsid w:val="00EB250E"/>
    <w:rsid w:val="00EB26D0"/>
    <w:rsid w:val="00EB328B"/>
    <w:rsid w:val="00EB396B"/>
    <w:rsid w:val="00EB3AC9"/>
    <w:rsid w:val="00EB3FCC"/>
    <w:rsid w:val="00EB43F7"/>
    <w:rsid w:val="00EB5001"/>
    <w:rsid w:val="00EB5102"/>
    <w:rsid w:val="00EB5515"/>
    <w:rsid w:val="00EB5545"/>
    <w:rsid w:val="00EB57F1"/>
    <w:rsid w:val="00EB588B"/>
    <w:rsid w:val="00EB626B"/>
    <w:rsid w:val="00EB6931"/>
    <w:rsid w:val="00EB6EF2"/>
    <w:rsid w:val="00EB7376"/>
    <w:rsid w:val="00EB7DC1"/>
    <w:rsid w:val="00EC0122"/>
    <w:rsid w:val="00EC0981"/>
    <w:rsid w:val="00EC0CA6"/>
    <w:rsid w:val="00EC1BD3"/>
    <w:rsid w:val="00EC21E4"/>
    <w:rsid w:val="00EC2456"/>
    <w:rsid w:val="00EC2532"/>
    <w:rsid w:val="00EC2C3C"/>
    <w:rsid w:val="00EC31E5"/>
    <w:rsid w:val="00EC488F"/>
    <w:rsid w:val="00EC4F32"/>
    <w:rsid w:val="00EC53CA"/>
    <w:rsid w:val="00EC5507"/>
    <w:rsid w:val="00EC5B14"/>
    <w:rsid w:val="00EC5BDD"/>
    <w:rsid w:val="00EC5C1B"/>
    <w:rsid w:val="00EC77B7"/>
    <w:rsid w:val="00ED042D"/>
    <w:rsid w:val="00ED0CC6"/>
    <w:rsid w:val="00ED14E1"/>
    <w:rsid w:val="00ED1D50"/>
    <w:rsid w:val="00ED1D74"/>
    <w:rsid w:val="00ED2D6C"/>
    <w:rsid w:val="00ED470D"/>
    <w:rsid w:val="00ED4C0A"/>
    <w:rsid w:val="00ED4C4E"/>
    <w:rsid w:val="00ED4D1C"/>
    <w:rsid w:val="00ED55A9"/>
    <w:rsid w:val="00ED594D"/>
    <w:rsid w:val="00ED61D1"/>
    <w:rsid w:val="00ED6243"/>
    <w:rsid w:val="00ED688B"/>
    <w:rsid w:val="00ED692C"/>
    <w:rsid w:val="00ED6B06"/>
    <w:rsid w:val="00ED7300"/>
    <w:rsid w:val="00ED78B5"/>
    <w:rsid w:val="00EE0290"/>
    <w:rsid w:val="00EE07B0"/>
    <w:rsid w:val="00EE0E20"/>
    <w:rsid w:val="00EE0E91"/>
    <w:rsid w:val="00EE17E3"/>
    <w:rsid w:val="00EE1E51"/>
    <w:rsid w:val="00EE1EE1"/>
    <w:rsid w:val="00EE27A9"/>
    <w:rsid w:val="00EE29D2"/>
    <w:rsid w:val="00EE3378"/>
    <w:rsid w:val="00EE41A9"/>
    <w:rsid w:val="00EE49D4"/>
    <w:rsid w:val="00EE4E43"/>
    <w:rsid w:val="00EE539E"/>
    <w:rsid w:val="00EE54E5"/>
    <w:rsid w:val="00EE64BE"/>
    <w:rsid w:val="00EE67A6"/>
    <w:rsid w:val="00EF05E3"/>
    <w:rsid w:val="00EF082D"/>
    <w:rsid w:val="00EF0868"/>
    <w:rsid w:val="00EF0C17"/>
    <w:rsid w:val="00EF1E88"/>
    <w:rsid w:val="00EF2037"/>
    <w:rsid w:val="00EF2D34"/>
    <w:rsid w:val="00EF2D89"/>
    <w:rsid w:val="00EF32E7"/>
    <w:rsid w:val="00EF3C6B"/>
    <w:rsid w:val="00EF3FC9"/>
    <w:rsid w:val="00EF4D2E"/>
    <w:rsid w:val="00EF559D"/>
    <w:rsid w:val="00EF584E"/>
    <w:rsid w:val="00EF7E6C"/>
    <w:rsid w:val="00F00107"/>
    <w:rsid w:val="00F009B0"/>
    <w:rsid w:val="00F00AA4"/>
    <w:rsid w:val="00F011AD"/>
    <w:rsid w:val="00F01CAF"/>
    <w:rsid w:val="00F01E8F"/>
    <w:rsid w:val="00F02293"/>
    <w:rsid w:val="00F029E4"/>
    <w:rsid w:val="00F02F3A"/>
    <w:rsid w:val="00F03CEF"/>
    <w:rsid w:val="00F03F5A"/>
    <w:rsid w:val="00F059D5"/>
    <w:rsid w:val="00F06460"/>
    <w:rsid w:val="00F06639"/>
    <w:rsid w:val="00F06E99"/>
    <w:rsid w:val="00F0711C"/>
    <w:rsid w:val="00F0757E"/>
    <w:rsid w:val="00F07829"/>
    <w:rsid w:val="00F100F2"/>
    <w:rsid w:val="00F107EF"/>
    <w:rsid w:val="00F10DF1"/>
    <w:rsid w:val="00F1125A"/>
    <w:rsid w:val="00F113C6"/>
    <w:rsid w:val="00F11B3D"/>
    <w:rsid w:val="00F122A9"/>
    <w:rsid w:val="00F127AC"/>
    <w:rsid w:val="00F12C36"/>
    <w:rsid w:val="00F1351B"/>
    <w:rsid w:val="00F135B3"/>
    <w:rsid w:val="00F137EA"/>
    <w:rsid w:val="00F13B64"/>
    <w:rsid w:val="00F13C0A"/>
    <w:rsid w:val="00F14262"/>
    <w:rsid w:val="00F14E61"/>
    <w:rsid w:val="00F14F19"/>
    <w:rsid w:val="00F15734"/>
    <w:rsid w:val="00F157D9"/>
    <w:rsid w:val="00F158BD"/>
    <w:rsid w:val="00F15996"/>
    <w:rsid w:val="00F15ABE"/>
    <w:rsid w:val="00F1607E"/>
    <w:rsid w:val="00F16107"/>
    <w:rsid w:val="00F161F5"/>
    <w:rsid w:val="00F16706"/>
    <w:rsid w:val="00F16B28"/>
    <w:rsid w:val="00F16C2B"/>
    <w:rsid w:val="00F17702"/>
    <w:rsid w:val="00F179B0"/>
    <w:rsid w:val="00F201BE"/>
    <w:rsid w:val="00F22329"/>
    <w:rsid w:val="00F2250F"/>
    <w:rsid w:val="00F22AF2"/>
    <w:rsid w:val="00F22BFD"/>
    <w:rsid w:val="00F232E1"/>
    <w:rsid w:val="00F2353F"/>
    <w:rsid w:val="00F23983"/>
    <w:rsid w:val="00F2485E"/>
    <w:rsid w:val="00F249F9"/>
    <w:rsid w:val="00F2506C"/>
    <w:rsid w:val="00F25B94"/>
    <w:rsid w:val="00F26273"/>
    <w:rsid w:val="00F264CD"/>
    <w:rsid w:val="00F266C0"/>
    <w:rsid w:val="00F268DB"/>
    <w:rsid w:val="00F27090"/>
    <w:rsid w:val="00F27ED3"/>
    <w:rsid w:val="00F302B7"/>
    <w:rsid w:val="00F30997"/>
    <w:rsid w:val="00F30FF8"/>
    <w:rsid w:val="00F31B69"/>
    <w:rsid w:val="00F31D25"/>
    <w:rsid w:val="00F32174"/>
    <w:rsid w:val="00F3295E"/>
    <w:rsid w:val="00F341CA"/>
    <w:rsid w:val="00F34CEE"/>
    <w:rsid w:val="00F34D34"/>
    <w:rsid w:val="00F34F18"/>
    <w:rsid w:val="00F35375"/>
    <w:rsid w:val="00F35F6A"/>
    <w:rsid w:val="00F364D1"/>
    <w:rsid w:val="00F36593"/>
    <w:rsid w:val="00F36A5C"/>
    <w:rsid w:val="00F37033"/>
    <w:rsid w:val="00F3725D"/>
    <w:rsid w:val="00F374A1"/>
    <w:rsid w:val="00F37576"/>
    <w:rsid w:val="00F379D3"/>
    <w:rsid w:val="00F40676"/>
    <w:rsid w:val="00F40FA0"/>
    <w:rsid w:val="00F4103B"/>
    <w:rsid w:val="00F4185B"/>
    <w:rsid w:val="00F419F9"/>
    <w:rsid w:val="00F41E5F"/>
    <w:rsid w:val="00F42287"/>
    <w:rsid w:val="00F423A3"/>
    <w:rsid w:val="00F433E5"/>
    <w:rsid w:val="00F43DD3"/>
    <w:rsid w:val="00F44638"/>
    <w:rsid w:val="00F44FE7"/>
    <w:rsid w:val="00F4572C"/>
    <w:rsid w:val="00F45BA8"/>
    <w:rsid w:val="00F46244"/>
    <w:rsid w:val="00F46F45"/>
    <w:rsid w:val="00F47677"/>
    <w:rsid w:val="00F50A31"/>
    <w:rsid w:val="00F50C03"/>
    <w:rsid w:val="00F51C1B"/>
    <w:rsid w:val="00F51C4A"/>
    <w:rsid w:val="00F520DD"/>
    <w:rsid w:val="00F52388"/>
    <w:rsid w:val="00F5253B"/>
    <w:rsid w:val="00F52709"/>
    <w:rsid w:val="00F530E6"/>
    <w:rsid w:val="00F5335D"/>
    <w:rsid w:val="00F53EF4"/>
    <w:rsid w:val="00F53FE3"/>
    <w:rsid w:val="00F55ADC"/>
    <w:rsid w:val="00F565C6"/>
    <w:rsid w:val="00F566E3"/>
    <w:rsid w:val="00F573F2"/>
    <w:rsid w:val="00F57BFF"/>
    <w:rsid w:val="00F57E63"/>
    <w:rsid w:val="00F6045B"/>
    <w:rsid w:val="00F60BD0"/>
    <w:rsid w:val="00F60BE3"/>
    <w:rsid w:val="00F613C7"/>
    <w:rsid w:val="00F615E7"/>
    <w:rsid w:val="00F617B3"/>
    <w:rsid w:val="00F61898"/>
    <w:rsid w:val="00F62BF8"/>
    <w:rsid w:val="00F6350F"/>
    <w:rsid w:val="00F63BFE"/>
    <w:rsid w:val="00F642A0"/>
    <w:rsid w:val="00F64332"/>
    <w:rsid w:val="00F64A4B"/>
    <w:rsid w:val="00F65355"/>
    <w:rsid w:val="00F655C8"/>
    <w:rsid w:val="00F659F2"/>
    <w:rsid w:val="00F663D5"/>
    <w:rsid w:val="00F66487"/>
    <w:rsid w:val="00F666FC"/>
    <w:rsid w:val="00F669B9"/>
    <w:rsid w:val="00F66AA7"/>
    <w:rsid w:val="00F70919"/>
    <w:rsid w:val="00F70959"/>
    <w:rsid w:val="00F70DCE"/>
    <w:rsid w:val="00F71792"/>
    <w:rsid w:val="00F7234A"/>
    <w:rsid w:val="00F73883"/>
    <w:rsid w:val="00F73AF0"/>
    <w:rsid w:val="00F740C5"/>
    <w:rsid w:val="00F752EB"/>
    <w:rsid w:val="00F755C8"/>
    <w:rsid w:val="00F76256"/>
    <w:rsid w:val="00F76D27"/>
    <w:rsid w:val="00F77996"/>
    <w:rsid w:val="00F80290"/>
    <w:rsid w:val="00F80377"/>
    <w:rsid w:val="00F81203"/>
    <w:rsid w:val="00F81C77"/>
    <w:rsid w:val="00F830E2"/>
    <w:rsid w:val="00F83875"/>
    <w:rsid w:val="00F83E77"/>
    <w:rsid w:val="00F83EE7"/>
    <w:rsid w:val="00F83F1B"/>
    <w:rsid w:val="00F84812"/>
    <w:rsid w:val="00F85786"/>
    <w:rsid w:val="00F85986"/>
    <w:rsid w:val="00F8635B"/>
    <w:rsid w:val="00F87C47"/>
    <w:rsid w:val="00F87E19"/>
    <w:rsid w:val="00F903D9"/>
    <w:rsid w:val="00F904F8"/>
    <w:rsid w:val="00F9065F"/>
    <w:rsid w:val="00F90A98"/>
    <w:rsid w:val="00F90C99"/>
    <w:rsid w:val="00F90EF9"/>
    <w:rsid w:val="00F90F5D"/>
    <w:rsid w:val="00F915A9"/>
    <w:rsid w:val="00F919D3"/>
    <w:rsid w:val="00F91B13"/>
    <w:rsid w:val="00F92D65"/>
    <w:rsid w:val="00F933B6"/>
    <w:rsid w:val="00F93987"/>
    <w:rsid w:val="00F93F3D"/>
    <w:rsid w:val="00F94B5B"/>
    <w:rsid w:val="00F95FDD"/>
    <w:rsid w:val="00F962D9"/>
    <w:rsid w:val="00F96C04"/>
    <w:rsid w:val="00F96C42"/>
    <w:rsid w:val="00F97427"/>
    <w:rsid w:val="00FA041D"/>
    <w:rsid w:val="00FA0A70"/>
    <w:rsid w:val="00FA0F83"/>
    <w:rsid w:val="00FA19EA"/>
    <w:rsid w:val="00FA1F4A"/>
    <w:rsid w:val="00FA227A"/>
    <w:rsid w:val="00FA31AC"/>
    <w:rsid w:val="00FA3BBC"/>
    <w:rsid w:val="00FA42B2"/>
    <w:rsid w:val="00FA4E2C"/>
    <w:rsid w:val="00FA5631"/>
    <w:rsid w:val="00FA57C1"/>
    <w:rsid w:val="00FA5EB4"/>
    <w:rsid w:val="00FA624E"/>
    <w:rsid w:val="00FA62E6"/>
    <w:rsid w:val="00FA695B"/>
    <w:rsid w:val="00FA6E93"/>
    <w:rsid w:val="00FA7650"/>
    <w:rsid w:val="00FA7E0F"/>
    <w:rsid w:val="00FB0898"/>
    <w:rsid w:val="00FB0F2E"/>
    <w:rsid w:val="00FB1356"/>
    <w:rsid w:val="00FB1926"/>
    <w:rsid w:val="00FB1CD8"/>
    <w:rsid w:val="00FB25B2"/>
    <w:rsid w:val="00FB27A2"/>
    <w:rsid w:val="00FB28F4"/>
    <w:rsid w:val="00FB2AAC"/>
    <w:rsid w:val="00FB2B72"/>
    <w:rsid w:val="00FB2B84"/>
    <w:rsid w:val="00FB2BE2"/>
    <w:rsid w:val="00FB3076"/>
    <w:rsid w:val="00FB36D8"/>
    <w:rsid w:val="00FB3983"/>
    <w:rsid w:val="00FB39B6"/>
    <w:rsid w:val="00FB3D8D"/>
    <w:rsid w:val="00FB4BC7"/>
    <w:rsid w:val="00FB501E"/>
    <w:rsid w:val="00FB58AE"/>
    <w:rsid w:val="00FB5C4D"/>
    <w:rsid w:val="00FB6347"/>
    <w:rsid w:val="00FB6929"/>
    <w:rsid w:val="00FC06C7"/>
    <w:rsid w:val="00FC09D9"/>
    <w:rsid w:val="00FC146E"/>
    <w:rsid w:val="00FC17BF"/>
    <w:rsid w:val="00FC1A07"/>
    <w:rsid w:val="00FC22DD"/>
    <w:rsid w:val="00FC4123"/>
    <w:rsid w:val="00FC4797"/>
    <w:rsid w:val="00FC5AE8"/>
    <w:rsid w:val="00FC5C45"/>
    <w:rsid w:val="00FC5EFE"/>
    <w:rsid w:val="00FC65D8"/>
    <w:rsid w:val="00FC6830"/>
    <w:rsid w:val="00FC7762"/>
    <w:rsid w:val="00FC7A55"/>
    <w:rsid w:val="00FD034F"/>
    <w:rsid w:val="00FD0BFA"/>
    <w:rsid w:val="00FD157D"/>
    <w:rsid w:val="00FD175B"/>
    <w:rsid w:val="00FD1DB5"/>
    <w:rsid w:val="00FD33EE"/>
    <w:rsid w:val="00FD3828"/>
    <w:rsid w:val="00FD3852"/>
    <w:rsid w:val="00FD476F"/>
    <w:rsid w:val="00FD4B65"/>
    <w:rsid w:val="00FD504B"/>
    <w:rsid w:val="00FD5473"/>
    <w:rsid w:val="00FD5685"/>
    <w:rsid w:val="00FD56E0"/>
    <w:rsid w:val="00FD5B59"/>
    <w:rsid w:val="00FD5D00"/>
    <w:rsid w:val="00FD618F"/>
    <w:rsid w:val="00FD63FF"/>
    <w:rsid w:val="00FD6572"/>
    <w:rsid w:val="00FD662D"/>
    <w:rsid w:val="00FD6E44"/>
    <w:rsid w:val="00FD6ECA"/>
    <w:rsid w:val="00FE0249"/>
    <w:rsid w:val="00FE0DA7"/>
    <w:rsid w:val="00FE1380"/>
    <w:rsid w:val="00FE1859"/>
    <w:rsid w:val="00FE19EB"/>
    <w:rsid w:val="00FE1EF2"/>
    <w:rsid w:val="00FE3191"/>
    <w:rsid w:val="00FE3720"/>
    <w:rsid w:val="00FE3AF7"/>
    <w:rsid w:val="00FE3E0F"/>
    <w:rsid w:val="00FE3F1D"/>
    <w:rsid w:val="00FE45B8"/>
    <w:rsid w:val="00FE45CF"/>
    <w:rsid w:val="00FE4867"/>
    <w:rsid w:val="00FE48A5"/>
    <w:rsid w:val="00FE4F12"/>
    <w:rsid w:val="00FE5126"/>
    <w:rsid w:val="00FE58D0"/>
    <w:rsid w:val="00FE646E"/>
    <w:rsid w:val="00FE6E6A"/>
    <w:rsid w:val="00FE74D5"/>
    <w:rsid w:val="00FE7A22"/>
    <w:rsid w:val="00FE7B33"/>
    <w:rsid w:val="00FE7E16"/>
    <w:rsid w:val="00FF0854"/>
    <w:rsid w:val="00FF08F8"/>
    <w:rsid w:val="00FF1499"/>
    <w:rsid w:val="00FF2C42"/>
    <w:rsid w:val="00FF2E3E"/>
    <w:rsid w:val="00FF33A7"/>
    <w:rsid w:val="00FF347C"/>
    <w:rsid w:val="00FF351F"/>
    <w:rsid w:val="00FF36B3"/>
    <w:rsid w:val="00FF3746"/>
    <w:rsid w:val="00FF3D78"/>
    <w:rsid w:val="00FF4241"/>
    <w:rsid w:val="00FF462B"/>
    <w:rsid w:val="00FF5D18"/>
    <w:rsid w:val="00FF5E40"/>
    <w:rsid w:val="00FF69CF"/>
    <w:rsid w:val="00FF6B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62"/>
    <w:pPr>
      <w:bidi/>
    </w:pPr>
  </w:style>
  <w:style w:type="paragraph" w:styleId="1">
    <w:name w:val="heading 1"/>
    <w:basedOn w:val="a0"/>
    <w:next w:val="a"/>
    <w:link w:val="10"/>
    <w:uiPriority w:val="9"/>
    <w:qFormat/>
    <w:rsid w:val="007027B3"/>
    <w:pPr>
      <w:ind w:left="360"/>
      <w:jc w:val="center"/>
      <w:outlineLvl w:val="0"/>
    </w:pPr>
    <w:rPr>
      <w:b/>
      <w:bCs/>
      <w:sz w:val="28"/>
      <w:szCs w:val="28"/>
    </w:rPr>
  </w:style>
  <w:style w:type="paragraph" w:styleId="2">
    <w:name w:val="heading 2"/>
    <w:basedOn w:val="a0"/>
    <w:next w:val="a"/>
    <w:link w:val="20"/>
    <w:uiPriority w:val="9"/>
    <w:unhideWhenUsed/>
    <w:qFormat/>
    <w:rsid w:val="007027B3"/>
    <w:pPr>
      <w:numPr>
        <w:numId w:val="23"/>
      </w:numPr>
      <w:spacing w:before="120" w:after="120"/>
      <w:ind w:left="357" w:hanging="357"/>
      <w:outlineLvl w:val="1"/>
    </w:pPr>
    <w:rPr>
      <w:b/>
      <w:bCs/>
    </w:rPr>
  </w:style>
  <w:style w:type="paragraph" w:styleId="3">
    <w:name w:val="heading 3"/>
    <w:basedOn w:val="a0"/>
    <w:next w:val="a"/>
    <w:link w:val="30"/>
    <w:uiPriority w:val="9"/>
    <w:unhideWhenUsed/>
    <w:qFormat/>
    <w:rsid w:val="007027B3"/>
    <w:pPr>
      <w:numPr>
        <w:ilvl w:val="1"/>
        <w:numId w:val="23"/>
      </w:numPr>
      <w:spacing w:after="1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721FBE"/>
    <w:pPr>
      <w:tabs>
        <w:tab w:val="center" w:pos="4153"/>
        <w:tab w:val="right" w:pos="8306"/>
      </w:tabs>
      <w:spacing w:line="240" w:lineRule="auto"/>
    </w:pPr>
  </w:style>
  <w:style w:type="character" w:customStyle="1" w:styleId="a5">
    <w:name w:val="כותרת עליונה תו"/>
    <w:basedOn w:val="a1"/>
    <w:link w:val="a4"/>
    <w:rsid w:val="00721FBE"/>
  </w:style>
  <w:style w:type="paragraph" w:styleId="a6">
    <w:name w:val="footer"/>
    <w:basedOn w:val="a"/>
    <w:link w:val="a7"/>
    <w:unhideWhenUsed/>
    <w:rsid w:val="00721FBE"/>
    <w:pPr>
      <w:tabs>
        <w:tab w:val="center" w:pos="4153"/>
        <w:tab w:val="right" w:pos="8306"/>
      </w:tabs>
      <w:spacing w:line="240" w:lineRule="auto"/>
    </w:pPr>
  </w:style>
  <w:style w:type="character" w:customStyle="1" w:styleId="a7">
    <w:name w:val="כותרת תחתונה תו"/>
    <w:basedOn w:val="a1"/>
    <w:link w:val="a6"/>
    <w:uiPriority w:val="99"/>
    <w:rsid w:val="00721FBE"/>
  </w:style>
  <w:style w:type="paragraph" w:styleId="a8">
    <w:name w:val="Balloon Text"/>
    <w:basedOn w:val="a"/>
    <w:link w:val="a9"/>
    <w:uiPriority w:val="99"/>
    <w:semiHidden/>
    <w:unhideWhenUsed/>
    <w:rsid w:val="00721FBE"/>
    <w:pPr>
      <w:spacing w:line="240" w:lineRule="auto"/>
    </w:pPr>
    <w:rPr>
      <w:rFonts w:ascii="Tahoma" w:hAnsi="Tahoma" w:cs="Tahoma"/>
      <w:sz w:val="16"/>
      <w:szCs w:val="16"/>
    </w:rPr>
  </w:style>
  <w:style w:type="character" w:customStyle="1" w:styleId="a9">
    <w:name w:val="טקסט בלונים תו"/>
    <w:basedOn w:val="a1"/>
    <w:link w:val="a8"/>
    <w:uiPriority w:val="99"/>
    <w:semiHidden/>
    <w:rsid w:val="00721FBE"/>
    <w:rPr>
      <w:rFonts w:ascii="Tahoma" w:hAnsi="Tahoma" w:cs="Tahoma"/>
      <w:sz w:val="16"/>
      <w:szCs w:val="16"/>
    </w:rPr>
  </w:style>
  <w:style w:type="character" w:customStyle="1" w:styleId="10">
    <w:name w:val="כותרת 1 תו"/>
    <w:basedOn w:val="a1"/>
    <w:link w:val="1"/>
    <w:uiPriority w:val="9"/>
    <w:rsid w:val="007027B3"/>
    <w:rPr>
      <w:b/>
      <w:bCs/>
      <w:sz w:val="28"/>
      <w:szCs w:val="28"/>
    </w:rPr>
  </w:style>
  <w:style w:type="table" w:styleId="aa">
    <w:name w:val="Table Grid"/>
    <w:basedOn w:val="a2"/>
    <w:uiPriority w:val="59"/>
    <w:rsid w:val="00590C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 Char Char Char Char Char Char,תו"/>
    <w:basedOn w:val="a"/>
    <w:link w:val="ac"/>
    <w:uiPriority w:val="99"/>
    <w:unhideWhenUsed/>
    <w:rsid w:val="007A3BA5"/>
    <w:pPr>
      <w:spacing w:line="240" w:lineRule="auto"/>
    </w:pPr>
  </w:style>
  <w:style w:type="character" w:customStyle="1" w:styleId="ac">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תו תו תו תו תו, תו תו תו1 תו,fn תו,fn Char תו,single space תו,תו תו"/>
    <w:basedOn w:val="a1"/>
    <w:link w:val="ab"/>
    <w:uiPriority w:val="99"/>
    <w:rsid w:val="007A3BA5"/>
    <w:rPr>
      <w:sz w:val="20"/>
      <w:szCs w:val="20"/>
    </w:rPr>
  </w:style>
  <w:style w:type="character" w:styleId="ad">
    <w:name w:val="footnote reference"/>
    <w:aliases w:val="Footnote Reference Number,Footnote Reference_LVL6,Footnote Reference_LVL61,Footnote Reference_LVL62,Footnote Reference_LVL63,Footnote Reference_LVL64,fr,SUPERS,EN Footnote Reference,number,Footnote Reference,טקסט הערת שוליים חדש"/>
    <w:basedOn w:val="a1"/>
    <w:uiPriority w:val="99"/>
    <w:unhideWhenUsed/>
    <w:rsid w:val="007A3BA5"/>
    <w:rPr>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0">
    <w:name w:val="List Paragraph"/>
    <w:basedOn w:val="a"/>
    <w:uiPriority w:val="34"/>
    <w:qFormat/>
    <w:rsid w:val="00FE3AF7"/>
    <w:pPr>
      <w:ind w:left="720"/>
      <w:contextualSpacing/>
    </w:pPr>
  </w:style>
  <w:style w:type="character" w:styleId="af0">
    <w:name w:val="annotation reference"/>
    <w:basedOn w:val="a1"/>
    <w:uiPriority w:val="99"/>
    <w:semiHidden/>
    <w:unhideWhenUsed/>
    <w:rsid w:val="00603A63"/>
    <w:rPr>
      <w:sz w:val="16"/>
      <w:szCs w:val="16"/>
    </w:rPr>
  </w:style>
  <w:style w:type="paragraph" w:styleId="af1">
    <w:name w:val="annotation text"/>
    <w:basedOn w:val="a"/>
    <w:link w:val="af2"/>
    <w:uiPriority w:val="99"/>
    <w:semiHidden/>
    <w:unhideWhenUsed/>
    <w:rsid w:val="00603A63"/>
    <w:pPr>
      <w:spacing w:line="240" w:lineRule="auto"/>
    </w:pPr>
    <w:rPr>
      <w:sz w:val="20"/>
      <w:szCs w:val="20"/>
    </w:rPr>
  </w:style>
  <w:style w:type="character" w:customStyle="1" w:styleId="af2">
    <w:name w:val="טקסט הערה תו"/>
    <w:basedOn w:val="a1"/>
    <w:link w:val="af1"/>
    <w:uiPriority w:val="99"/>
    <w:semiHidden/>
    <w:rsid w:val="00603A63"/>
    <w:rPr>
      <w:sz w:val="20"/>
      <w:szCs w:val="20"/>
    </w:rPr>
  </w:style>
  <w:style w:type="paragraph" w:styleId="af3">
    <w:name w:val="annotation subject"/>
    <w:basedOn w:val="af1"/>
    <w:next w:val="af1"/>
    <w:link w:val="af4"/>
    <w:uiPriority w:val="99"/>
    <w:semiHidden/>
    <w:unhideWhenUsed/>
    <w:rsid w:val="00603A63"/>
    <w:rPr>
      <w:b/>
      <w:bCs/>
    </w:rPr>
  </w:style>
  <w:style w:type="character" w:customStyle="1" w:styleId="af4">
    <w:name w:val="נושא הערה תו"/>
    <w:basedOn w:val="af2"/>
    <w:link w:val="af3"/>
    <w:uiPriority w:val="99"/>
    <w:semiHidden/>
    <w:rsid w:val="00603A63"/>
    <w:rPr>
      <w:b/>
      <w:bCs/>
      <w:sz w:val="20"/>
      <w:szCs w:val="20"/>
    </w:rPr>
  </w:style>
  <w:style w:type="character" w:customStyle="1" w:styleId="20">
    <w:name w:val="כותרת 2 תו"/>
    <w:basedOn w:val="a1"/>
    <w:link w:val="2"/>
    <w:uiPriority w:val="9"/>
    <w:rsid w:val="007027B3"/>
    <w:rPr>
      <w:b/>
      <w:bCs/>
    </w:rPr>
  </w:style>
  <w:style w:type="paragraph" w:styleId="NormalWeb">
    <w:name w:val="Normal (Web)"/>
    <w:basedOn w:val="a"/>
    <w:uiPriority w:val="99"/>
    <w:semiHidden/>
    <w:unhideWhenUsed/>
    <w:rsid w:val="003B6584"/>
    <w:pPr>
      <w:bidi w:val="0"/>
      <w:spacing w:before="100" w:beforeAutospacing="1" w:after="100" w:afterAutospacing="1" w:line="240" w:lineRule="auto"/>
      <w:jc w:val="left"/>
    </w:pPr>
    <w:rPr>
      <w:rFonts w:eastAsia="Times New Roman" w:cs="Times New Roman"/>
    </w:rPr>
  </w:style>
  <w:style w:type="paragraph" w:styleId="af5">
    <w:name w:val="Revision"/>
    <w:hidden/>
    <w:uiPriority w:val="99"/>
    <w:semiHidden/>
    <w:rsid w:val="002C55E9"/>
    <w:pPr>
      <w:spacing w:line="240" w:lineRule="auto"/>
      <w:jc w:val="left"/>
    </w:pPr>
  </w:style>
  <w:style w:type="character" w:customStyle="1" w:styleId="30">
    <w:name w:val="כותרת 3 תו"/>
    <w:basedOn w:val="a1"/>
    <w:link w:val="3"/>
    <w:uiPriority w:val="9"/>
    <w:rsid w:val="007027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62"/>
    <w:pPr>
      <w:bidi/>
    </w:pPr>
  </w:style>
  <w:style w:type="paragraph" w:styleId="1">
    <w:name w:val="heading 1"/>
    <w:basedOn w:val="a0"/>
    <w:next w:val="a"/>
    <w:link w:val="10"/>
    <w:uiPriority w:val="9"/>
    <w:qFormat/>
    <w:rsid w:val="007027B3"/>
    <w:pPr>
      <w:ind w:left="360"/>
      <w:jc w:val="center"/>
      <w:outlineLvl w:val="0"/>
    </w:pPr>
    <w:rPr>
      <w:b/>
      <w:bCs/>
      <w:sz w:val="28"/>
      <w:szCs w:val="28"/>
    </w:rPr>
  </w:style>
  <w:style w:type="paragraph" w:styleId="2">
    <w:name w:val="heading 2"/>
    <w:basedOn w:val="a0"/>
    <w:next w:val="a"/>
    <w:link w:val="20"/>
    <w:uiPriority w:val="9"/>
    <w:unhideWhenUsed/>
    <w:qFormat/>
    <w:rsid w:val="007027B3"/>
    <w:pPr>
      <w:numPr>
        <w:numId w:val="23"/>
      </w:numPr>
      <w:spacing w:before="120" w:after="120"/>
      <w:ind w:left="357" w:hanging="357"/>
      <w:outlineLvl w:val="1"/>
    </w:pPr>
    <w:rPr>
      <w:b/>
      <w:bCs/>
    </w:rPr>
  </w:style>
  <w:style w:type="paragraph" w:styleId="3">
    <w:name w:val="heading 3"/>
    <w:basedOn w:val="a0"/>
    <w:next w:val="a"/>
    <w:link w:val="30"/>
    <w:uiPriority w:val="9"/>
    <w:unhideWhenUsed/>
    <w:qFormat/>
    <w:rsid w:val="007027B3"/>
    <w:pPr>
      <w:numPr>
        <w:ilvl w:val="1"/>
        <w:numId w:val="23"/>
      </w:numPr>
      <w:spacing w:after="1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721FBE"/>
    <w:pPr>
      <w:tabs>
        <w:tab w:val="center" w:pos="4153"/>
        <w:tab w:val="right" w:pos="8306"/>
      </w:tabs>
      <w:spacing w:line="240" w:lineRule="auto"/>
    </w:pPr>
  </w:style>
  <w:style w:type="character" w:customStyle="1" w:styleId="a5">
    <w:name w:val="כותרת עליונה תו"/>
    <w:basedOn w:val="a1"/>
    <w:link w:val="a4"/>
    <w:rsid w:val="00721FBE"/>
  </w:style>
  <w:style w:type="paragraph" w:styleId="a6">
    <w:name w:val="footer"/>
    <w:basedOn w:val="a"/>
    <w:link w:val="a7"/>
    <w:unhideWhenUsed/>
    <w:rsid w:val="00721FBE"/>
    <w:pPr>
      <w:tabs>
        <w:tab w:val="center" w:pos="4153"/>
        <w:tab w:val="right" w:pos="8306"/>
      </w:tabs>
      <w:spacing w:line="240" w:lineRule="auto"/>
    </w:pPr>
  </w:style>
  <w:style w:type="character" w:customStyle="1" w:styleId="a7">
    <w:name w:val="כותרת תחתונה תו"/>
    <w:basedOn w:val="a1"/>
    <w:link w:val="a6"/>
    <w:uiPriority w:val="99"/>
    <w:rsid w:val="00721FBE"/>
  </w:style>
  <w:style w:type="paragraph" w:styleId="a8">
    <w:name w:val="Balloon Text"/>
    <w:basedOn w:val="a"/>
    <w:link w:val="a9"/>
    <w:uiPriority w:val="99"/>
    <w:semiHidden/>
    <w:unhideWhenUsed/>
    <w:rsid w:val="00721FBE"/>
    <w:pPr>
      <w:spacing w:line="240" w:lineRule="auto"/>
    </w:pPr>
    <w:rPr>
      <w:rFonts w:ascii="Tahoma" w:hAnsi="Tahoma" w:cs="Tahoma"/>
      <w:sz w:val="16"/>
      <w:szCs w:val="16"/>
    </w:rPr>
  </w:style>
  <w:style w:type="character" w:customStyle="1" w:styleId="a9">
    <w:name w:val="טקסט בלונים תו"/>
    <w:basedOn w:val="a1"/>
    <w:link w:val="a8"/>
    <w:uiPriority w:val="99"/>
    <w:semiHidden/>
    <w:rsid w:val="00721FBE"/>
    <w:rPr>
      <w:rFonts w:ascii="Tahoma" w:hAnsi="Tahoma" w:cs="Tahoma"/>
      <w:sz w:val="16"/>
      <w:szCs w:val="16"/>
    </w:rPr>
  </w:style>
  <w:style w:type="character" w:customStyle="1" w:styleId="10">
    <w:name w:val="כותרת 1 תו"/>
    <w:basedOn w:val="a1"/>
    <w:link w:val="1"/>
    <w:uiPriority w:val="9"/>
    <w:rsid w:val="007027B3"/>
    <w:rPr>
      <w:b/>
      <w:bCs/>
      <w:sz w:val="28"/>
      <w:szCs w:val="28"/>
    </w:rPr>
  </w:style>
  <w:style w:type="table" w:styleId="aa">
    <w:name w:val="Table Grid"/>
    <w:basedOn w:val="a2"/>
    <w:uiPriority w:val="59"/>
    <w:rsid w:val="00590C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 Char Char Char Char Char Char,תו"/>
    <w:basedOn w:val="a"/>
    <w:link w:val="ac"/>
    <w:uiPriority w:val="99"/>
    <w:unhideWhenUsed/>
    <w:rsid w:val="007A3BA5"/>
    <w:pPr>
      <w:spacing w:line="240" w:lineRule="auto"/>
    </w:pPr>
  </w:style>
  <w:style w:type="character" w:customStyle="1" w:styleId="ac">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תו תו תו תו תו, תו תו תו1 תו,fn תו,fn Char תו,single space תו,תו תו"/>
    <w:basedOn w:val="a1"/>
    <w:link w:val="ab"/>
    <w:uiPriority w:val="99"/>
    <w:rsid w:val="007A3BA5"/>
    <w:rPr>
      <w:sz w:val="20"/>
      <w:szCs w:val="20"/>
    </w:rPr>
  </w:style>
  <w:style w:type="character" w:styleId="ad">
    <w:name w:val="footnote reference"/>
    <w:aliases w:val="Footnote Reference Number,Footnote Reference_LVL6,Footnote Reference_LVL61,Footnote Reference_LVL62,Footnote Reference_LVL63,Footnote Reference_LVL64,fr,SUPERS,EN Footnote Reference,number,Footnote Reference,טקסט הערת שוליים חדש"/>
    <w:basedOn w:val="a1"/>
    <w:uiPriority w:val="99"/>
    <w:unhideWhenUsed/>
    <w:rsid w:val="007A3BA5"/>
    <w:rPr>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0">
    <w:name w:val="List Paragraph"/>
    <w:basedOn w:val="a"/>
    <w:uiPriority w:val="34"/>
    <w:qFormat/>
    <w:rsid w:val="00FE3AF7"/>
    <w:pPr>
      <w:ind w:left="720"/>
      <w:contextualSpacing/>
    </w:pPr>
  </w:style>
  <w:style w:type="character" w:styleId="af0">
    <w:name w:val="annotation reference"/>
    <w:basedOn w:val="a1"/>
    <w:uiPriority w:val="99"/>
    <w:semiHidden/>
    <w:unhideWhenUsed/>
    <w:rsid w:val="00603A63"/>
    <w:rPr>
      <w:sz w:val="16"/>
      <w:szCs w:val="16"/>
    </w:rPr>
  </w:style>
  <w:style w:type="paragraph" w:styleId="af1">
    <w:name w:val="annotation text"/>
    <w:basedOn w:val="a"/>
    <w:link w:val="af2"/>
    <w:uiPriority w:val="99"/>
    <w:semiHidden/>
    <w:unhideWhenUsed/>
    <w:rsid w:val="00603A63"/>
    <w:pPr>
      <w:spacing w:line="240" w:lineRule="auto"/>
    </w:pPr>
    <w:rPr>
      <w:sz w:val="20"/>
      <w:szCs w:val="20"/>
    </w:rPr>
  </w:style>
  <w:style w:type="character" w:customStyle="1" w:styleId="af2">
    <w:name w:val="טקסט הערה תו"/>
    <w:basedOn w:val="a1"/>
    <w:link w:val="af1"/>
    <w:uiPriority w:val="99"/>
    <w:semiHidden/>
    <w:rsid w:val="00603A63"/>
    <w:rPr>
      <w:sz w:val="20"/>
      <w:szCs w:val="20"/>
    </w:rPr>
  </w:style>
  <w:style w:type="paragraph" w:styleId="af3">
    <w:name w:val="annotation subject"/>
    <w:basedOn w:val="af1"/>
    <w:next w:val="af1"/>
    <w:link w:val="af4"/>
    <w:uiPriority w:val="99"/>
    <w:semiHidden/>
    <w:unhideWhenUsed/>
    <w:rsid w:val="00603A63"/>
    <w:rPr>
      <w:b/>
      <w:bCs/>
    </w:rPr>
  </w:style>
  <w:style w:type="character" w:customStyle="1" w:styleId="af4">
    <w:name w:val="נושא הערה תו"/>
    <w:basedOn w:val="af2"/>
    <w:link w:val="af3"/>
    <w:uiPriority w:val="99"/>
    <w:semiHidden/>
    <w:rsid w:val="00603A63"/>
    <w:rPr>
      <w:b/>
      <w:bCs/>
      <w:sz w:val="20"/>
      <w:szCs w:val="20"/>
    </w:rPr>
  </w:style>
  <w:style w:type="character" w:customStyle="1" w:styleId="20">
    <w:name w:val="כותרת 2 תו"/>
    <w:basedOn w:val="a1"/>
    <w:link w:val="2"/>
    <w:uiPriority w:val="9"/>
    <w:rsid w:val="007027B3"/>
    <w:rPr>
      <w:b/>
      <w:bCs/>
    </w:rPr>
  </w:style>
  <w:style w:type="paragraph" w:styleId="NormalWeb">
    <w:name w:val="Normal (Web)"/>
    <w:basedOn w:val="a"/>
    <w:uiPriority w:val="99"/>
    <w:semiHidden/>
    <w:unhideWhenUsed/>
    <w:rsid w:val="003B6584"/>
    <w:pPr>
      <w:bidi w:val="0"/>
      <w:spacing w:before="100" w:beforeAutospacing="1" w:after="100" w:afterAutospacing="1" w:line="240" w:lineRule="auto"/>
      <w:jc w:val="left"/>
    </w:pPr>
    <w:rPr>
      <w:rFonts w:eastAsia="Times New Roman" w:cs="Times New Roman"/>
    </w:rPr>
  </w:style>
  <w:style w:type="paragraph" w:styleId="af5">
    <w:name w:val="Revision"/>
    <w:hidden/>
    <w:uiPriority w:val="99"/>
    <w:semiHidden/>
    <w:rsid w:val="002C55E9"/>
    <w:pPr>
      <w:spacing w:line="240" w:lineRule="auto"/>
      <w:jc w:val="left"/>
    </w:pPr>
  </w:style>
  <w:style w:type="character" w:customStyle="1" w:styleId="30">
    <w:name w:val="כותרת 3 תו"/>
    <w:basedOn w:val="a1"/>
    <w:link w:val="3"/>
    <w:uiPriority w:val="9"/>
    <w:rsid w:val="00702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5126">
      <w:bodyDiv w:val="1"/>
      <w:marLeft w:val="0"/>
      <w:marRight w:val="0"/>
      <w:marTop w:val="0"/>
      <w:marBottom w:val="0"/>
      <w:divBdr>
        <w:top w:val="none" w:sz="0" w:space="0" w:color="auto"/>
        <w:left w:val="none" w:sz="0" w:space="0" w:color="auto"/>
        <w:bottom w:val="none" w:sz="0" w:space="0" w:color="auto"/>
        <w:right w:val="none" w:sz="0" w:space="0" w:color="auto"/>
      </w:divBdr>
    </w:div>
    <w:div w:id="48581455">
      <w:bodyDiv w:val="1"/>
      <w:marLeft w:val="0"/>
      <w:marRight w:val="0"/>
      <w:marTop w:val="0"/>
      <w:marBottom w:val="0"/>
      <w:divBdr>
        <w:top w:val="none" w:sz="0" w:space="0" w:color="auto"/>
        <w:left w:val="none" w:sz="0" w:space="0" w:color="auto"/>
        <w:bottom w:val="none" w:sz="0" w:space="0" w:color="auto"/>
        <w:right w:val="none" w:sz="0" w:space="0" w:color="auto"/>
      </w:divBdr>
    </w:div>
    <w:div w:id="206649943">
      <w:bodyDiv w:val="1"/>
      <w:marLeft w:val="0"/>
      <w:marRight w:val="0"/>
      <w:marTop w:val="0"/>
      <w:marBottom w:val="0"/>
      <w:divBdr>
        <w:top w:val="none" w:sz="0" w:space="0" w:color="auto"/>
        <w:left w:val="none" w:sz="0" w:space="0" w:color="auto"/>
        <w:bottom w:val="none" w:sz="0" w:space="0" w:color="auto"/>
        <w:right w:val="none" w:sz="0" w:space="0" w:color="auto"/>
      </w:divBdr>
    </w:div>
    <w:div w:id="277832515">
      <w:bodyDiv w:val="1"/>
      <w:marLeft w:val="0"/>
      <w:marRight w:val="0"/>
      <w:marTop w:val="0"/>
      <w:marBottom w:val="0"/>
      <w:divBdr>
        <w:top w:val="none" w:sz="0" w:space="0" w:color="auto"/>
        <w:left w:val="none" w:sz="0" w:space="0" w:color="auto"/>
        <w:bottom w:val="none" w:sz="0" w:space="0" w:color="auto"/>
        <w:right w:val="none" w:sz="0" w:space="0" w:color="auto"/>
      </w:divBdr>
    </w:div>
    <w:div w:id="293366140">
      <w:bodyDiv w:val="1"/>
      <w:marLeft w:val="0"/>
      <w:marRight w:val="0"/>
      <w:marTop w:val="0"/>
      <w:marBottom w:val="0"/>
      <w:divBdr>
        <w:top w:val="none" w:sz="0" w:space="0" w:color="auto"/>
        <w:left w:val="none" w:sz="0" w:space="0" w:color="auto"/>
        <w:bottom w:val="none" w:sz="0" w:space="0" w:color="auto"/>
        <w:right w:val="none" w:sz="0" w:space="0" w:color="auto"/>
      </w:divBdr>
    </w:div>
    <w:div w:id="330914338">
      <w:bodyDiv w:val="1"/>
      <w:marLeft w:val="0"/>
      <w:marRight w:val="0"/>
      <w:marTop w:val="0"/>
      <w:marBottom w:val="0"/>
      <w:divBdr>
        <w:top w:val="none" w:sz="0" w:space="0" w:color="auto"/>
        <w:left w:val="none" w:sz="0" w:space="0" w:color="auto"/>
        <w:bottom w:val="none" w:sz="0" w:space="0" w:color="auto"/>
        <w:right w:val="none" w:sz="0" w:space="0" w:color="auto"/>
      </w:divBdr>
    </w:div>
    <w:div w:id="440957576">
      <w:bodyDiv w:val="1"/>
      <w:marLeft w:val="0"/>
      <w:marRight w:val="0"/>
      <w:marTop w:val="0"/>
      <w:marBottom w:val="0"/>
      <w:divBdr>
        <w:top w:val="none" w:sz="0" w:space="0" w:color="auto"/>
        <w:left w:val="none" w:sz="0" w:space="0" w:color="auto"/>
        <w:bottom w:val="none" w:sz="0" w:space="0" w:color="auto"/>
        <w:right w:val="none" w:sz="0" w:space="0" w:color="auto"/>
      </w:divBdr>
    </w:div>
    <w:div w:id="541483247">
      <w:bodyDiv w:val="1"/>
      <w:marLeft w:val="0"/>
      <w:marRight w:val="0"/>
      <w:marTop w:val="0"/>
      <w:marBottom w:val="0"/>
      <w:divBdr>
        <w:top w:val="none" w:sz="0" w:space="0" w:color="auto"/>
        <w:left w:val="none" w:sz="0" w:space="0" w:color="auto"/>
        <w:bottom w:val="none" w:sz="0" w:space="0" w:color="auto"/>
        <w:right w:val="none" w:sz="0" w:space="0" w:color="auto"/>
      </w:divBdr>
    </w:div>
    <w:div w:id="672955120">
      <w:bodyDiv w:val="1"/>
      <w:marLeft w:val="0"/>
      <w:marRight w:val="0"/>
      <w:marTop w:val="0"/>
      <w:marBottom w:val="0"/>
      <w:divBdr>
        <w:top w:val="none" w:sz="0" w:space="0" w:color="auto"/>
        <w:left w:val="none" w:sz="0" w:space="0" w:color="auto"/>
        <w:bottom w:val="none" w:sz="0" w:space="0" w:color="auto"/>
        <w:right w:val="none" w:sz="0" w:space="0" w:color="auto"/>
      </w:divBdr>
    </w:div>
    <w:div w:id="712465830">
      <w:bodyDiv w:val="1"/>
      <w:marLeft w:val="0"/>
      <w:marRight w:val="0"/>
      <w:marTop w:val="0"/>
      <w:marBottom w:val="0"/>
      <w:divBdr>
        <w:top w:val="none" w:sz="0" w:space="0" w:color="auto"/>
        <w:left w:val="none" w:sz="0" w:space="0" w:color="auto"/>
        <w:bottom w:val="none" w:sz="0" w:space="0" w:color="auto"/>
        <w:right w:val="none" w:sz="0" w:space="0" w:color="auto"/>
      </w:divBdr>
    </w:div>
    <w:div w:id="754547079">
      <w:bodyDiv w:val="1"/>
      <w:marLeft w:val="0"/>
      <w:marRight w:val="0"/>
      <w:marTop w:val="0"/>
      <w:marBottom w:val="0"/>
      <w:divBdr>
        <w:top w:val="none" w:sz="0" w:space="0" w:color="auto"/>
        <w:left w:val="none" w:sz="0" w:space="0" w:color="auto"/>
        <w:bottom w:val="none" w:sz="0" w:space="0" w:color="auto"/>
        <w:right w:val="none" w:sz="0" w:space="0" w:color="auto"/>
      </w:divBdr>
    </w:div>
    <w:div w:id="800926556">
      <w:bodyDiv w:val="1"/>
      <w:marLeft w:val="0"/>
      <w:marRight w:val="0"/>
      <w:marTop w:val="0"/>
      <w:marBottom w:val="0"/>
      <w:divBdr>
        <w:top w:val="none" w:sz="0" w:space="0" w:color="auto"/>
        <w:left w:val="none" w:sz="0" w:space="0" w:color="auto"/>
        <w:bottom w:val="none" w:sz="0" w:space="0" w:color="auto"/>
        <w:right w:val="none" w:sz="0" w:space="0" w:color="auto"/>
      </w:divBdr>
    </w:div>
    <w:div w:id="995959544">
      <w:bodyDiv w:val="1"/>
      <w:marLeft w:val="0"/>
      <w:marRight w:val="0"/>
      <w:marTop w:val="0"/>
      <w:marBottom w:val="0"/>
      <w:divBdr>
        <w:top w:val="none" w:sz="0" w:space="0" w:color="auto"/>
        <w:left w:val="none" w:sz="0" w:space="0" w:color="auto"/>
        <w:bottom w:val="none" w:sz="0" w:space="0" w:color="auto"/>
        <w:right w:val="none" w:sz="0" w:space="0" w:color="auto"/>
      </w:divBdr>
    </w:div>
    <w:div w:id="1052968920">
      <w:bodyDiv w:val="1"/>
      <w:marLeft w:val="0"/>
      <w:marRight w:val="0"/>
      <w:marTop w:val="0"/>
      <w:marBottom w:val="0"/>
      <w:divBdr>
        <w:top w:val="none" w:sz="0" w:space="0" w:color="auto"/>
        <w:left w:val="none" w:sz="0" w:space="0" w:color="auto"/>
        <w:bottom w:val="none" w:sz="0" w:space="0" w:color="auto"/>
        <w:right w:val="none" w:sz="0" w:space="0" w:color="auto"/>
      </w:divBdr>
    </w:div>
    <w:div w:id="1074015692">
      <w:bodyDiv w:val="1"/>
      <w:marLeft w:val="0"/>
      <w:marRight w:val="0"/>
      <w:marTop w:val="0"/>
      <w:marBottom w:val="0"/>
      <w:divBdr>
        <w:top w:val="none" w:sz="0" w:space="0" w:color="auto"/>
        <w:left w:val="none" w:sz="0" w:space="0" w:color="auto"/>
        <w:bottom w:val="none" w:sz="0" w:space="0" w:color="auto"/>
        <w:right w:val="none" w:sz="0" w:space="0" w:color="auto"/>
      </w:divBdr>
    </w:div>
    <w:div w:id="1097557547">
      <w:bodyDiv w:val="1"/>
      <w:marLeft w:val="0"/>
      <w:marRight w:val="0"/>
      <w:marTop w:val="0"/>
      <w:marBottom w:val="0"/>
      <w:divBdr>
        <w:top w:val="none" w:sz="0" w:space="0" w:color="auto"/>
        <w:left w:val="none" w:sz="0" w:space="0" w:color="auto"/>
        <w:bottom w:val="none" w:sz="0" w:space="0" w:color="auto"/>
        <w:right w:val="none" w:sz="0" w:space="0" w:color="auto"/>
      </w:divBdr>
    </w:div>
    <w:div w:id="1191840905">
      <w:bodyDiv w:val="1"/>
      <w:marLeft w:val="0"/>
      <w:marRight w:val="0"/>
      <w:marTop w:val="0"/>
      <w:marBottom w:val="0"/>
      <w:divBdr>
        <w:top w:val="none" w:sz="0" w:space="0" w:color="auto"/>
        <w:left w:val="none" w:sz="0" w:space="0" w:color="auto"/>
        <w:bottom w:val="none" w:sz="0" w:space="0" w:color="auto"/>
        <w:right w:val="none" w:sz="0" w:space="0" w:color="auto"/>
      </w:divBdr>
    </w:div>
    <w:div w:id="1203900768">
      <w:bodyDiv w:val="1"/>
      <w:marLeft w:val="0"/>
      <w:marRight w:val="0"/>
      <w:marTop w:val="0"/>
      <w:marBottom w:val="0"/>
      <w:divBdr>
        <w:top w:val="none" w:sz="0" w:space="0" w:color="auto"/>
        <w:left w:val="none" w:sz="0" w:space="0" w:color="auto"/>
        <w:bottom w:val="none" w:sz="0" w:space="0" w:color="auto"/>
        <w:right w:val="none" w:sz="0" w:space="0" w:color="auto"/>
      </w:divBdr>
    </w:div>
    <w:div w:id="1279293541">
      <w:bodyDiv w:val="1"/>
      <w:marLeft w:val="0"/>
      <w:marRight w:val="0"/>
      <w:marTop w:val="0"/>
      <w:marBottom w:val="0"/>
      <w:divBdr>
        <w:top w:val="none" w:sz="0" w:space="0" w:color="auto"/>
        <w:left w:val="none" w:sz="0" w:space="0" w:color="auto"/>
        <w:bottom w:val="none" w:sz="0" w:space="0" w:color="auto"/>
        <w:right w:val="none" w:sz="0" w:space="0" w:color="auto"/>
      </w:divBdr>
      <w:divsChild>
        <w:div w:id="1707945832">
          <w:marLeft w:val="0"/>
          <w:marRight w:val="1267"/>
          <w:marTop w:val="144"/>
          <w:marBottom w:val="0"/>
          <w:divBdr>
            <w:top w:val="none" w:sz="0" w:space="0" w:color="auto"/>
            <w:left w:val="none" w:sz="0" w:space="0" w:color="auto"/>
            <w:bottom w:val="none" w:sz="0" w:space="0" w:color="auto"/>
            <w:right w:val="none" w:sz="0" w:space="0" w:color="auto"/>
          </w:divBdr>
        </w:div>
      </w:divsChild>
    </w:div>
    <w:div w:id="1339849380">
      <w:bodyDiv w:val="1"/>
      <w:marLeft w:val="0"/>
      <w:marRight w:val="0"/>
      <w:marTop w:val="0"/>
      <w:marBottom w:val="0"/>
      <w:divBdr>
        <w:top w:val="none" w:sz="0" w:space="0" w:color="auto"/>
        <w:left w:val="none" w:sz="0" w:space="0" w:color="auto"/>
        <w:bottom w:val="none" w:sz="0" w:space="0" w:color="auto"/>
        <w:right w:val="none" w:sz="0" w:space="0" w:color="auto"/>
      </w:divBdr>
    </w:div>
    <w:div w:id="1403216548">
      <w:bodyDiv w:val="1"/>
      <w:marLeft w:val="0"/>
      <w:marRight w:val="0"/>
      <w:marTop w:val="0"/>
      <w:marBottom w:val="0"/>
      <w:divBdr>
        <w:top w:val="none" w:sz="0" w:space="0" w:color="auto"/>
        <w:left w:val="none" w:sz="0" w:space="0" w:color="auto"/>
        <w:bottom w:val="none" w:sz="0" w:space="0" w:color="auto"/>
        <w:right w:val="none" w:sz="0" w:space="0" w:color="auto"/>
      </w:divBdr>
    </w:div>
    <w:div w:id="1420643042">
      <w:bodyDiv w:val="1"/>
      <w:marLeft w:val="0"/>
      <w:marRight w:val="0"/>
      <w:marTop w:val="0"/>
      <w:marBottom w:val="0"/>
      <w:divBdr>
        <w:top w:val="none" w:sz="0" w:space="0" w:color="auto"/>
        <w:left w:val="none" w:sz="0" w:space="0" w:color="auto"/>
        <w:bottom w:val="none" w:sz="0" w:space="0" w:color="auto"/>
        <w:right w:val="none" w:sz="0" w:space="0" w:color="auto"/>
      </w:divBdr>
    </w:div>
    <w:div w:id="1430810172">
      <w:bodyDiv w:val="1"/>
      <w:marLeft w:val="0"/>
      <w:marRight w:val="0"/>
      <w:marTop w:val="0"/>
      <w:marBottom w:val="0"/>
      <w:divBdr>
        <w:top w:val="none" w:sz="0" w:space="0" w:color="auto"/>
        <w:left w:val="none" w:sz="0" w:space="0" w:color="auto"/>
        <w:bottom w:val="none" w:sz="0" w:space="0" w:color="auto"/>
        <w:right w:val="none" w:sz="0" w:space="0" w:color="auto"/>
      </w:divBdr>
    </w:div>
    <w:div w:id="1457259241">
      <w:bodyDiv w:val="1"/>
      <w:marLeft w:val="0"/>
      <w:marRight w:val="0"/>
      <w:marTop w:val="0"/>
      <w:marBottom w:val="0"/>
      <w:divBdr>
        <w:top w:val="none" w:sz="0" w:space="0" w:color="auto"/>
        <w:left w:val="none" w:sz="0" w:space="0" w:color="auto"/>
        <w:bottom w:val="none" w:sz="0" w:space="0" w:color="auto"/>
        <w:right w:val="none" w:sz="0" w:space="0" w:color="auto"/>
      </w:divBdr>
    </w:div>
    <w:div w:id="1478762288">
      <w:bodyDiv w:val="1"/>
      <w:marLeft w:val="0"/>
      <w:marRight w:val="0"/>
      <w:marTop w:val="0"/>
      <w:marBottom w:val="0"/>
      <w:divBdr>
        <w:top w:val="none" w:sz="0" w:space="0" w:color="auto"/>
        <w:left w:val="none" w:sz="0" w:space="0" w:color="auto"/>
        <w:bottom w:val="none" w:sz="0" w:space="0" w:color="auto"/>
        <w:right w:val="none" w:sz="0" w:space="0" w:color="auto"/>
      </w:divBdr>
    </w:div>
    <w:div w:id="1698504160">
      <w:bodyDiv w:val="1"/>
      <w:marLeft w:val="0"/>
      <w:marRight w:val="0"/>
      <w:marTop w:val="0"/>
      <w:marBottom w:val="0"/>
      <w:divBdr>
        <w:top w:val="none" w:sz="0" w:space="0" w:color="auto"/>
        <w:left w:val="none" w:sz="0" w:space="0" w:color="auto"/>
        <w:bottom w:val="none" w:sz="0" w:space="0" w:color="auto"/>
        <w:right w:val="none" w:sz="0" w:space="0" w:color="auto"/>
      </w:divBdr>
    </w:div>
    <w:div w:id="1717898841">
      <w:bodyDiv w:val="1"/>
      <w:marLeft w:val="0"/>
      <w:marRight w:val="0"/>
      <w:marTop w:val="0"/>
      <w:marBottom w:val="0"/>
      <w:divBdr>
        <w:top w:val="none" w:sz="0" w:space="0" w:color="auto"/>
        <w:left w:val="none" w:sz="0" w:space="0" w:color="auto"/>
        <w:bottom w:val="none" w:sz="0" w:space="0" w:color="auto"/>
        <w:right w:val="none" w:sz="0" w:space="0" w:color="auto"/>
      </w:divBdr>
    </w:div>
    <w:div w:id="1764377401">
      <w:bodyDiv w:val="1"/>
      <w:marLeft w:val="0"/>
      <w:marRight w:val="0"/>
      <w:marTop w:val="0"/>
      <w:marBottom w:val="0"/>
      <w:divBdr>
        <w:top w:val="none" w:sz="0" w:space="0" w:color="auto"/>
        <w:left w:val="none" w:sz="0" w:space="0" w:color="auto"/>
        <w:bottom w:val="none" w:sz="0" w:space="0" w:color="auto"/>
        <w:right w:val="none" w:sz="0" w:space="0" w:color="auto"/>
      </w:divBdr>
    </w:div>
    <w:div w:id="1779523405">
      <w:bodyDiv w:val="1"/>
      <w:marLeft w:val="0"/>
      <w:marRight w:val="0"/>
      <w:marTop w:val="0"/>
      <w:marBottom w:val="0"/>
      <w:divBdr>
        <w:top w:val="none" w:sz="0" w:space="0" w:color="auto"/>
        <w:left w:val="none" w:sz="0" w:space="0" w:color="auto"/>
        <w:bottom w:val="none" w:sz="0" w:space="0" w:color="auto"/>
        <w:right w:val="none" w:sz="0" w:space="0" w:color="auto"/>
      </w:divBdr>
    </w:div>
    <w:div w:id="1835756384">
      <w:bodyDiv w:val="1"/>
      <w:marLeft w:val="0"/>
      <w:marRight w:val="0"/>
      <w:marTop w:val="0"/>
      <w:marBottom w:val="0"/>
      <w:divBdr>
        <w:top w:val="none" w:sz="0" w:space="0" w:color="auto"/>
        <w:left w:val="none" w:sz="0" w:space="0" w:color="auto"/>
        <w:bottom w:val="none" w:sz="0" w:space="0" w:color="auto"/>
        <w:right w:val="none" w:sz="0" w:space="0" w:color="auto"/>
      </w:divBdr>
    </w:div>
    <w:div w:id="1854608684">
      <w:bodyDiv w:val="1"/>
      <w:marLeft w:val="0"/>
      <w:marRight w:val="0"/>
      <w:marTop w:val="0"/>
      <w:marBottom w:val="0"/>
      <w:divBdr>
        <w:top w:val="none" w:sz="0" w:space="0" w:color="auto"/>
        <w:left w:val="none" w:sz="0" w:space="0" w:color="auto"/>
        <w:bottom w:val="none" w:sz="0" w:space="0" w:color="auto"/>
        <w:right w:val="none" w:sz="0" w:space="0" w:color="auto"/>
      </w:divBdr>
    </w:div>
    <w:div w:id="1956206294">
      <w:bodyDiv w:val="1"/>
      <w:marLeft w:val="0"/>
      <w:marRight w:val="0"/>
      <w:marTop w:val="0"/>
      <w:marBottom w:val="0"/>
      <w:divBdr>
        <w:top w:val="none" w:sz="0" w:space="0" w:color="auto"/>
        <w:left w:val="none" w:sz="0" w:space="0" w:color="auto"/>
        <w:bottom w:val="none" w:sz="0" w:space="0" w:color="auto"/>
        <w:right w:val="none" w:sz="0" w:space="0" w:color="auto"/>
      </w:divBdr>
    </w:div>
    <w:div w:id="1961762559">
      <w:bodyDiv w:val="1"/>
      <w:marLeft w:val="0"/>
      <w:marRight w:val="0"/>
      <w:marTop w:val="0"/>
      <w:marBottom w:val="0"/>
      <w:divBdr>
        <w:top w:val="none" w:sz="0" w:space="0" w:color="auto"/>
        <w:left w:val="none" w:sz="0" w:space="0" w:color="auto"/>
        <w:bottom w:val="none" w:sz="0" w:space="0" w:color="auto"/>
        <w:right w:val="none" w:sz="0" w:space="0" w:color="auto"/>
      </w:divBdr>
    </w:div>
    <w:div w:id="1973245368">
      <w:bodyDiv w:val="1"/>
      <w:marLeft w:val="0"/>
      <w:marRight w:val="0"/>
      <w:marTop w:val="0"/>
      <w:marBottom w:val="0"/>
      <w:divBdr>
        <w:top w:val="none" w:sz="0" w:space="0" w:color="auto"/>
        <w:left w:val="none" w:sz="0" w:space="0" w:color="auto"/>
        <w:bottom w:val="none" w:sz="0" w:space="0" w:color="auto"/>
        <w:right w:val="none" w:sz="0" w:space="0" w:color="auto"/>
      </w:divBdr>
    </w:div>
    <w:div w:id="2047678027">
      <w:bodyDiv w:val="1"/>
      <w:marLeft w:val="0"/>
      <w:marRight w:val="0"/>
      <w:marTop w:val="0"/>
      <w:marBottom w:val="0"/>
      <w:divBdr>
        <w:top w:val="none" w:sz="0" w:space="0" w:color="auto"/>
        <w:left w:val="none" w:sz="0" w:space="0" w:color="auto"/>
        <w:bottom w:val="none" w:sz="0" w:space="0" w:color="auto"/>
        <w:right w:val="none" w:sz="0" w:space="0" w:color="auto"/>
      </w:divBdr>
    </w:div>
    <w:div w:id="2077119583">
      <w:bodyDiv w:val="1"/>
      <w:marLeft w:val="0"/>
      <w:marRight w:val="0"/>
      <w:marTop w:val="0"/>
      <w:marBottom w:val="0"/>
      <w:divBdr>
        <w:top w:val="none" w:sz="0" w:space="0" w:color="auto"/>
        <w:left w:val="none" w:sz="0" w:space="0" w:color="auto"/>
        <w:bottom w:val="none" w:sz="0" w:space="0" w:color="auto"/>
        <w:right w:val="none" w:sz="0" w:space="0" w:color="auto"/>
      </w:divBdr>
    </w:div>
    <w:div w:id="20980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vsrvpikuah\VPIKUAH\PIKUAHJR\mehkar\&#1506;&#1493;&#1489;&#1491;&#1497;&#1501;%20&#1508;&#1506;&#1497;&#1500;&#1497;&#1501;\uria\&#1488;&#1513;&#1512;&#1488;&#1497;%20&#1502;&#1497;&#1506;&#1493;&#1496;&#1497;&#1501;\&#1488;&#1497;&#1493;&#1512;%201-%20&#1492;&#1514;&#1508;&#1500;&#1490;&#1493;&#1514;%20&#1492;&#1502;&#1513;&#1499;&#1504;&#1514;&#1488;&#1493;&#1514;%20&#1493;&#1492;&#1488;&#1493;&#1499;&#1500;&#1493;&#1505;&#1497;&#1497;&#149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vsrvpikuah\VPIKUAH\PIKUAHJR\mehkar\&#1506;&#1493;&#1489;&#1491;&#1497;&#1501;%20&#1508;&#1506;&#1497;&#1500;&#1497;&#1501;\uria\&#1488;&#1513;&#1512;&#1488;&#1497;%20&#1502;&#1497;&#1506;&#1493;&#1496;&#1497;&#1501;\&#1508;&#1514;&#1497;&#1495;&#1514;%20&#1505;&#1504;&#1497;&#1508;&#1497;&#1501;-%20&#1488;&#1497;&#1493;&#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e-IL" sz="1200"/>
              <a:t>איור 1</a:t>
            </a:r>
          </a:p>
          <a:p>
            <a:pPr>
              <a:defRPr sz="1200"/>
            </a:pPr>
            <a:r>
              <a:rPr lang="he-IL" sz="1200"/>
              <a:t>שיעור</a:t>
            </a:r>
            <a:r>
              <a:rPr lang="he-IL" sz="1200" baseline="0"/>
              <a:t> המשכנתאות שניתנו ללקוחות המגזר הערבי וחלקם היחסי באוכלוסייה, על פי סוג יישוב, 2014-2010 </a:t>
            </a:r>
          </a:p>
          <a:p>
            <a:pPr>
              <a:defRPr sz="1200"/>
            </a:pPr>
            <a:r>
              <a:rPr lang="he-IL" sz="1200" baseline="0"/>
              <a:t> </a:t>
            </a:r>
            <a:endParaRPr lang="he-IL" sz="1200"/>
          </a:p>
        </c:rich>
      </c:tx>
      <c:layout>
        <c:manualLayout>
          <c:xMode val="edge"/>
          <c:yMode val="edge"/>
          <c:x val="0.12993642098630406"/>
          <c:y val="2.6297127920900188E-3"/>
        </c:manualLayout>
      </c:layout>
      <c:overlay val="0"/>
    </c:title>
    <c:autoTitleDeleted val="0"/>
    <c:plotArea>
      <c:layout>
        <c:manualLayout>
          <c:layoutTarget val="inner"/>
          <c:xMode val="edge"/>
          <c:yMode val="edge"/>
          <c:x val="4.5228620165496072E-2"/>
          <c:y val="0.16799101919488979"/>
          <c:w val="0.91823677679089366"/>
          <c:h val="0.6169133225816652"/>
        </c:manualLayout>
      </c:layout>
      <c:barChart>
        <c:barDir val="col"/>
        <c:grouping val="clustered"/>
        <c:varyColors val="0"/>
        <c:ser>
          <c:idx val="0"/>
          <c:order val="0"/>
          <c:tx>
            <c:strRef>
              <c:f>'des statistics'!$C$64</c:f>
              <c:strCache>
                <c:ptCount val="1"/>
                <c:pt idx="0">
                  <c:v>שיעור הערבים באוכלוסייה</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'des statistics'!$A$65:$A$67</c:f>
              <c:strCache>
                <c:ptCount val="3"/>
                <c:pt idx="0">
                  <c:v>סך האוכלוסייה</c:v>
                </c:pt>
                <c:pt idx="1">
                  <c:v>יישובים מעורבים</c:v>
                </c:pt>
                <c:pt idx="2">
                  <c:v>יישובים שאינם מעורבים</c:v>
                </c:pt>
              </c:strCache>
            </c:strRef>
          </c:cat>
          <c:val>
            <c:numRef>
              <c:f>'des statistics'!$C$65:$C$67</c:f>
              <c:numCache>
                <c:formatCode>General</c:formatCode>
                <c:ptCount val="3"/>
                <c:pt idx="0">
                  <c:v>21.4</c:v>
                </c:pt>
                <c:pt idx="1">
                  <c:v>24</c:v>
                </c:pt>
                <c:pt idx="2">
                  <c:v>20.5</c:v>
                </c:pt>
              </c:numCache>
            </c:numRef>
          </c:val>
          <c:extLst xmlns:c16r2="http://schemas.microsoft.com/office/drawing/2015/06/chart">
            <c:ext xmlns:c16="http://schemas.microsoft.com/office/drawing/2014/chart" uri="{C3380CC4-5D6E-409C-BE32-E72D297353CC}">
              <c16:uniqueId val="{00000000-2F10-47E8-A9AC-AE930491FC87}"/>
            </c:ext>
          </c:extLst>
        </c:ser>
        <c:ser>
          <c:idx val="1"/>
          <c:order val="1"/>
          <c:tx>
            <c:strRef>
              <c:f>'des statistics'!$B$64</c:f>
              <c:strCache>
                <c:ptCount val="1"/>
                <c:pt idx="0">
                  <c:v>שיעור המשכנתאות שנתנו למגזר הערבי</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'des statistics'!$A$65:$A$67</c:f>
              <c:strCache>
                <c:ptCount val="3"/>
                <c:pt idx="0">
                  <c:v>סך האוכלוסייה</c:v>
                </c:pt>
                <c:pt idx="1">
                  <c:v>יישובים מעורבים</c:v>
                </c:pt>
                <c:pt idx="2">
                  <c:v>יישובים שאינם מעורבים</c:v>
                </c:pt>
              </c:strCache>
            </c:strRef>
          </c:cat>
          <c:val>
            <c:numRef>
              <c:f>'des statistics'!$B$65:$B$67</c:f>
              <c:numCache>
                <c:formatCode>General</c:formatCode>
                <c:ptCount val="3"/>
                <c:pt idx="0">
                  <c:v>1.8</c:v>
                </c:pt>
                <c:pt idx="1">
                  <c:v>4.3</c:v>
                </c:pt>
                <c:pt idx="2">
                  <c:v>1.2</c:v>
                </c:pt>
              </c:numCache>
            </c:numRef>
          </c:val>
          <c:extLst xmlns:c16r2="http://schemas.microsoft.com/office/drawing/2015/06/chart">
            <c:ext xmlns:c16="http://schemas.microsoft.com/office/drawing/2014/chart" uri="{C3380CC4-5D6E-409C-BE32-E72D297353CC}">
              <c16:uniqueId val="{00000001-2F10-47E8-A9AC-AE930491FC87}"/>
            </c:ext>
          </c:extLst>
        </c:ser>
        <c:dLbls>
          <c:showLegendKey val="0"/>
          <c:showVal val="0"/>
          <c:showCatName val="0"/>
          <c:showSerName val="0"/>
          <c:showPercent val="0"/>
          <c:showBubbleSize val="0"/>
        </c:dLbls>
        <c:gapWidth val="150"/>
        <c:axId val="32231424"/>
        <c:axId val="32232960"/>
      </c:barChart>
      <c:catAx>
        <c:axId val="32231424"/>
        <c:scaling>
          <c:orientation val="minMax"/>
        </c:scaling>
        <c:delete val="0"/>
        <c:axPos val="b"/>
        <c:numFmt formatCode="General" sourceLinked="0"/>
        <c:majorTickMark val="in"/>
        <c:minorTickMark val="none"/>
        <c:tickLblPos val="nextTo"/>
        <c:spPr>
          <a:ln>
            <a:solidFill>
              <a:sysClr val="windowText" lastClr="000000"/>
            </a:solidFill>
          </a:ln>
        </c:spPr>
        <c:txPr>
          <a:bodyPr/>
          <a:lstStyle/>
          <a:p>
            <a:pPr>
              <a:defRPr sz="1000"/>
            </a:pPr>
            <a:endParaRPr lang="he-IL"/>
          </a:p>
        </c:txPr>
        <c:crossAx val="32232960"/>
        <c:crosses val="autoZero"/>
        <c:auto val="1"/>
        <c:lblAlgn val="ctr"/>
        <c:lblOffset val="100"/>
        <c:noMultiLvlLbl val="0"/>
      </c:catAx>
      <c:valAx>
        <c:axId val="32232960"/>
        <c:scaling>
          <c:orientation val="minMax"/>
        </c:scaling>
        <c:delete val="0"/>
        <c:axPos val="l"/>
        <c:majorGridlines/>
        <c:numFmt formatCode="General" sourceLinked="1"/>
        <c:majorTickMark val="in"/>
        <c:minorTickMark val="none"/>
        <c:tickLblPos val="nextTo"/>
        <c:spPr>
          <a:ln>
            <a:solidFill>
              <a:sysClr val="windowText" lastClr="000000"/>
            </a:solidFill>
          </a:ln>
        </c:spPr>
        <c:txPr>
          <a:bodyPr/>
          <a:lstStyle/>
          <a:p>
            <a:pPr>
              <a:defRPr sz="1000"/>
            </a:pPr>
            <a:endParaRPr lang="he-IL"/>
          </a:p>
        </c:txPr>
        <c:crossAx val="32231424"/>
        <c:crosses val="autoZero"/>
        <c:crossBetween val="between"/>
      </c:valAx>
      <c:spPr>
        <a:ln>
          <a:solidFill>
            <a:sysClr val="windowText" lastClr="000000"/>
          </a:solidFill>
        </a:ln>
      </c:spPr>
    </c:plotArea>
    <c:legend>
      <c:legendPos val="b"/>
      <c:layout>
        <c:manualLayout>
          <c:xMode val="edge"/>
          <c:yMode val="edge"/>
          <c:x val="0.15950106795309801"/>
          <c:y val="0.86308351516301429"/>
          <c:w val="0.6836548644827295"/>
          <c:h val="5.7461312275489944E-2"/>
        </c:manualLayout>
      </c:layout>
      <c:overlay val="0"/>
      <c:spPr>
        <a:solidFill>
          <a:schemeClr val="bg1"/>
        </a:solidFill>
        <a:ln>
          <a:solidFill>
            <a:sysClr val="windowText" lastClr="000000"/>
          </a:solidFill>
        </a:ln>
      </c:spPr>
      <c:txPr>
        <a:bodyPr/>
        <a:lstStyle/>
        <a:p>
          <a:pPr>
            <a:defRPr sz="1000"/>
          </a:pPr>
          <a:endParaRPr lang="he-IL"/>
        </a:p>
      </c:txPr>
    </c:legend>
    <c:plotVisOnly val="1"/>
    <c:dispBlanksAs val="gap"/>
    <c:showDLblsOverMax val="0"/>
  </c:chart>
  <c:spPr>
    <a:solidFill>
      <a:srgbClr val="D4EFFC"/>
    </a:solidFill>
  </c:spPr>
  <c:txPr>
    <a:bodyPr/>
    <a:lstStyle/>
    <a:p>
      <a:pPr>
        <a:defRPr sz="1100">
          <a:latin typeface="David" panose="020E0502060401010101" pitchFamily="34" charset="-79"/>
          <a:cs typeface="David" panose="020E0502060401010101" pitchFamily="34" charset="-79"/>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1100">
                <a:latin typeface="David" panose="020E0502060401010101" pitchFamily="34" charset="-79"/>
                <a:cs typeface="David" panose="020E0502060401010101" pitchFamily="34" charset="-79"/>
              </a:rPr>
              <a:t>איור 2</a:t>
            </a:r>
          </a:p>
          <a:p>
            <a:pPr marL="0" marR="0" indent="0" algn="ctr" defTabSz="914400" rtl="1"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1100">
                <a:latin typeface="David" panose="020E0502060401010101" pitchFamily="34" charset="-79"/>
                <a:cs typeface="David" panose="020E0502060401010101" pitchFamily="34" charset="-79"/>
              </a:rPr>
              <a:t>התפתחות</a:t>
            </a:r>
            <a:r>
              <a:rPr lang="he-IL" sz="1100" baseline="0">
                <a:latin typeface="David" panose="020E0502060401010101" pitchFamily="34" charset="-79"/>
                <a:cs typeface="David" panose="020E0502060401010101" pitchFamily="34" charset="-79"/>
              </a:rPr>
              <a:t> מספר הסניפים לפי מגזרי האוכלוסייה, </a:t>
            </a:r>
            <a:r>
              <a:rPr lang="he-IL" sz="1100" b="1" i="0" baseline="0">
                <a:effectLst/>
              </a:rPr>
              <a:t>סך המערכת הבנקאית, </a:t>
            </a:r>
            <a:r>
              <a:rPr lang="en-US" sz="1100" b="1" i="0" baseline="0">
                <a:effectLst/>
              </a:rPr>
              <a:t> 2005</a:t>
            </a:r>
            <a:r>
              <a:rPr lang="he-IL" sz="1100" b="1" i="0" baseline="0">
                <a:effectLst/>
              </a:rPr>
              <a:t>עד 2016</a:t>
            </a:r>
            <a:endParaRPr lang="he-IL" sz="1100" baseline="0">
              <a:latin typeface="David" panose="020E0502060401010101" pitchFamily="34" charset="-79"/>
              <a:cs typeface="David" panose="020E0502060401010101" pitchFamily="34" charset="-79"/>
            </a:endParaRPr>
          </a:p>
        </c:rich>
      </c:tx>
      <c:layout>
        <c:manualLayout>
          <c:xMode val="edge"/>
          <c:yMode val="edge"/>
          <c:x val="0.11954484126984129"/>
          <c:y val="1.7837711874800696E-2"/>
        </c:manualLayout>
      </c:layout>
      <c:overlay val="0"/>
    </c:title>
    <c:autoTitleDeleted val="0"/>
    <c:plotArea>
      <c:layout>
        <c:manualLayout>
          <c:layoutTarget val="inner"/>
          <c:xMode val="edge"/>
          <c:yMode val="edge"/>
          <c:x val="0.14695714285714287"/>
          <c:y val="0.2359204748939093"/>
          <c:w val="0.76034819398569731"/>
          <c:h val="0.42735438756076066"/>
        </c:manualLayout>
      </c:layout>
      <c:lineChart>
        <c:grouping val="standard"/>
        <c:varyColors val="0"/>
        <c:ser>
          <c:idx val="0"/>
          <c:order val="0"/>
          <c:tx>
            <c:strRef>
              <c:f>'איור ב-4'!$C$5</c:f>
              <c:strCache>
                <c:ptCount val="1"/>
                <c:pt idx="0">
                  <c:v>יישובים יהודיים</c:v>
                </c:pt>
              </c:strCache>
            </c:strRef>
          </c:tx>
          <c:spPr>
            <a:ln>
              <a:solidFill>
                <a:srgbClr val="002060"/>
              </a:solidFill>
            </a:ln>
          </c:spPr>
          <c:marker>
            <c:symbol val="none"/>
          </c:marker>
          <c:dLbls>
            <c:dLbl>
              <c:idx val="11"/>
              <c:layout>
                <c:manualLayout>
                  <c:x val="0"/>
                  <c:y val="5.9844404548174742E-3"/>
                </c:manualLayout>
              </c:layout>
              <c:tx>
                <c:rich>
                  <a:bodyPr/>
                  <a:lstStyle/>
                  <a:p>
                    <a:pPr algn="ctr" rtl="0">
                      <a:defRPr lang="he-IL" sz="1000" b="1" i="0" u="none" strike="noStrike" kern="1200" baseline="0">
                        <a:solidFill>
                          <a:srgbClr val="002060"/>
                        </a:solidFill>
                        <a:latin typeface="David" panose="020E0502060401010101" pitchFamily="34" charset="-79"/>
                        <a:ea typeface="+mn-ea"/>
                        <a:cs typeface="David" panose="020E0502060401010101" pitchFamily="34" charset="-79"/>
                      </a:defRPr>
                    </a:pPr>
                    <a:r>
                      <a:rPr lang="en-US">
                        <a:solidFill>
                          <a:srgbClr val="002060"/>
                        </a:solidFill>
                      </a:rPr>
                      <a:t>792</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76-4614-8B06-DD111D04D22E}"/>
                </c:ext>
              </c:extLst>
            </c:dLbl>
            <c:spPr>
              <a:noFill/>
              <a:ln>
                <a:noFill/>
              </a:ln>
              <a:effectLst/>
            </c:spPr>
            <c:txPr>
              <a:bodyPr/>
              <a:lstStyle/>
              <a:p>
                <a:pPr algn="ctr" rtl="0">
                  <a:defRPr lang="he-IL" sz="1000" b="1" i="0" u="none" strike="noStrike" kern="1200" baseline="0">
                    <a:solidFill>
                      <a:srgbClr val="0066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'איור ב-4'!$B$7:$B$18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'איור ב-4'!$C$7:$C$18</c:f>
              <c:numCache>
                <c:formatCode>0.0</c:formatCode>
                <c:ptCount val="12"/>
                <c:pt idx="0">
                  <c:v>100</c:v>
                </c:pt>
                <c:pt idx="1">
                  <c:v>102.49671484888306</c:v>
                </c:pt>
                <c:pt idx="2">
                  <c:v>104.33639947437582</c:v>
                </c:pt>
                <c:pt idx="3">
                  <c:v>109.59264126149803</c:v>
                </c:pt>
                <c:pt idx="4">
                  <c:v>110.77529566360052</c:v>
                </c:pt>
                <c:pt idx="5">
                  <c:v>111.56373193166884</c:v>
                </c:pt>
                <c:pt idx="6">
                  <c:v>114.19185282522994</c:v>
                </c:pt>
                <c:pt idx="7">
                  <c:v>114.45466491458605</c:v>
                </c:pt>
                <c:pt idx="8">
                  <c:v>111.82654402102494</c:v>
                </c:pt>
                <c:pt idx="9">
                  <c:v>109.98685939553216</c:v>
                </c:pt>
                <c:pt idx="10">
                  <c:v>107.09592641261496</c:v>
                </c:pt>
                <c:pt idx="11">
                  <c:v>104.07358738501969</c:v>
                </c:pt>
              </c:numCache>
            </c:numRef>
          </c:val>
          <c:smooth val="0"/>
          <c:extLst xmlns:c16r2="http://schemas.microsoft.com/office/drawing/2015/06/chart">
            <c:ext xmlns:c16="http://schemas.microsoft.com/office/drawing/2014/chart" uri="{C3380CC4-5D6E-409C-BE32-E72D297353CC}">
              <c16:uniqueId val="{00000001-4D76-4614-8B06-DD111D04D22E}"/>
            </c:ext>
          </c:extLst>
        </c:ser>
        <c:ser>
          <c:idx val="1"/>
          <c:order val="1"/>
          <c:tx>
            <c:strRef>
              <c:f>'איור ב-4'!$D$5</c:f>
              <c:strCache>
                <c:ptCount val="1"/>
                <c:pt idx="0">
                  <c:v>יישובים מעורבים</c:v>
                </c:pt>
              </c:strCache>
            </c:strRef>
          </c:tx>
          <c:spPr>
            <a:ln>
              <a:solidFill>
                <a:schemeClr val="accent6">
                  <a:lumMod val="75000"/>
                </a:schemeClr>
              </a:solidFill>
            </a:ln>
          </c:spPr>
          <c:marker>
            <c:symbol val="none"/>
          </c:marker>
          <c:dLbls>
            <c:dLbl>
              <c:idx val="11"/>
              <c:layout>
                <c:manualLayout>
                  <c:x val="0"/>
                  <c:y val="-2.6929982046678635E-2"/>
                </c:manualLayout>
              </c:layout>
              <c:tx>
                <c:rich>
                  <a:bodyPr/>
                  <a:lstStyle/>
                  <a:p>
                    <a:pPr algn="ctr" rtl="0">
                      <a:defRPr lang="he-IL" sz="1000" b="1" i="0" u="none" strike="noStrike" kern="1200" baseline="0">
                        <a:solidFill>
                          <a:schemeClr val="accent6">
                            <a:lumMod val="75000"/>
                          </a:schemeClr>
                        </a:solidFill>
                        <a:latin typeface="David" panose="020E0502060401010101" pitchFamily="34" charset="-79"/>
                        <a:ea typeface="+mn-ea"/>
                        <a:cs typeface="David" panose="020E0502060401010101" pitchFamily="34" charset="-79"/>
                      </a:defRPr>
                    </a:pPr>
                    <a:r>
                      <a:rPr lang="en-US">
                        <a:solidFill>
                          <a:schemeClr val="accent6">
                            <a:lumMod val="75000"/>
                          </a:schemeClr>
                        </a:solidFill>
                      </a:rPr>
                      <a:t>208</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76-4614-8B06-DD111D04D22E}"/>
                </c:ext>
              </c:extLst>
            </c:dLbl>
            <c:spPr>
              <a:noFill/>
              <a:ln>
                <a:noFill/>
              </a:ln>
              <a:effectLst/>
            </c:spPr>
            <c:txPr>
              <a:bodyPr/>
              <a:lstStyle/>
              <a:p>
                <a:pPr algn="ctr" rtl="0">
                  <a:defRPr lang="he-IL" sz="1000" b="1" i="0" u="none" strike="noStrike" kern="1200" baseline="0">
                    <a:solidFill>
                      <a:srgbClr val="0066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'איור ב-4'!$B$7:$B$18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'איור ב-4'!$D$7:$D$18</c:f>
              <c:numCache>
                <c:formatCode>0.0</c:formatCode>
                <c:ptCount val="12"/>
                <c:pt idx="0">
                  <c:v>100</c:v>
                </c:pt>
                <c:pt idx="1">
                  <c:v>100.51020408163265</c:v>
                </c:pt>
                <c:pt idx="2">
                  <c:v>102.55102040816327</c:v>
                </c:pt>
                <c:pt idx="3">
                  <c:v>106.12244897959184</c:v>
                </c:pt>
                <c:pt idx="4">
                  <c:v>109.18367346938774</c:v>
                </c:pt>
                <c:pt idx="5">
                  <c:v>109.69387755102041</c:v>
                </c:pt>
                <c:pt idx="6">
                  <c:v>113.26530612244898</c:v>
                </c:pt>
                <c:pt idx="7">
                  <c:v>115.30612244897959</c:v>
                </c:pt>
                <c:pt idx="8">
                  <c:v>113.77551020408163</c:v>
                </c:pt>
                <c:pt idx="9">
                  <c:v>110.71428571428571</c:v>
                </c:pt>
                <c:pt idx="10">
                  <c:v>108.16326530612244</c:v>
                </c:pt>
                <c:pt idx="11">
                  <c:v>106.12244897959182</c:v>
                </c:pt>
              </c:numCache>
            </c:numRef>
          </c:val>
          <c:smooth val="0"/>
          <c:extLst xmlns:c16r2="http://schemas.microsoft.com/office/drawing/2015/06/chart">
            <c:ext xmlns:c16="http://schemas.microsoft.com/office/drawing/2014/chart" uri="{C3380CC4-5D6E-409C-BE32-E72D297353CC}">
              <c16:uniqueId val="{00000003-4D76-4614-8B06-DD111D04D22E}"/>
            </c:ext>
          </c:extLst>
        </c:ser>
        <c:ser>
          <c:idx val="2"/>
          <c:order val="2"/>
          <c:tx>
            <c:strRef>
              <c:f>'איור ב-4'!$E$5</c:f>
              <c:strCache>
                <c:ptCount val="1"/>
                <c:pt idx="0">
                  <c:v>יישובים ערביים</c:v>
                </c:pt>
              </c:strCache>
            </c:strRef>
          </c:tx>
          <c:spPr>
            <a:ln>
              <a:solidFill>
                <a:srgbClr val="006600"/>
              </a:solidFill>
            </a:ln>
          </c:spPr>
          <c:marker>
            <c:symbol val="none"/>
          </c:marker>
          <c:dLbls>
            <c:dLbl>
              <c:idx val="11"/>
              <c:layout/>
              <c:tx>
                <c:rich>
                  <a:bodyPr/>
                  <a:lstStyle/>
                  <a:p>
                    <a:pPr>
                      <a:defRPr b="1">
                        <a:solidFill>
                          <a:srgbClr val="006600"/>
                        </a:solidFill>
                        <a:latin typeface="David" panose="020E0502060401010101" pitchFamily="34" charset="-79"/>
                        <a:cs typeface="David" panose="020E0502060401010101" pitchFamily="34" charset="-79"/>
                      </a:defRPr>
                    </a:pPr>
                    <a:r>
                      <a:rPr lang="he-IL" b="1">
                        <a:solidFill>
                          <a:srgbClr val="006600"/>
                        </a:solidFill>
                        <a:latin typeface="David" panose="020E0502060401010101" pitchFamily="34" charset="-79"/>
                        <a:cs typeface="David" panose="020E0502060401010101" pitchFamily="34" charset="-79"/>
                      </a:rPr>
                      <a:t>110</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76-4614-8B06-DD111D04D22E}"/>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'איור ב-4'!$B$7:$B$18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'איור ב-4'!$E$7:$E$18</c:f>
              <c:numCache>
                <c:formatCode>0.0</c:formatCode>
                <c:ptCount val="12"/>
                <c:pt idx="0">
                  <c:v>100</c:v>
                </c:pt>
                <c:pt idx="1">
                  <c:v>101.69491525423729</c:v>
                </c:pt>
                <c:pt idx="2">
                  <c:v>115.25423728813558</c:v>
                </c:pt>
                <c:pt idx="3">
                  <c:v>123.72881355932202</c:v>
                </c:pt>
                <c:pt idx="4">
                  <c:v>137.28813559322032</c:v>
                </c:pt>
                <c:pt idx="5">
                  <c:v>140.67796610169492</c:v>
                </c:pt>
                <c:pt idx="6">
                  <c:v>150.84745762711864</c:v>
                </c:pt>
                <c:pt idx="7">
                  <c:v>159.32203389830508</c:v>
                </c:pt>
                <c:pt idx="8">
                  <c:v>167.79661016949152</c:v>
                </c:pt>
                <c:pt idx="9">
                  <c:v>172.88135593220338</c:v>
                </c:pt>
                <c:pt idx="10">
                  <c:v>179.66101694915255</c:v>
                </c:pt>
                <c:pt idx="11">
                  <c:v>186.4406779661017</c:v>
                </c:pt>
              </c:numCache>
            </c:numRef>
          </c:val>
          <c:smooth val="0"/>
          <c:extLst xmlns:c16r2="http://schemas.microsoft.com/office/drawing/2015/06/chart">
            <c:ext xmlns:c16="http://schemas.microsoft.com/office/drawing/2014/chart" uri="{C3380CC4-5D6E-409C-BE32-E72D297353CC}">
              <c16:uniqueId val="{00000005-4D76-4614-8B06-DD111D04D22E}"/>
            </c:ext>
          </c:extLst>
        </c:ser>
        <c:dLbls>
          <c:showLegendKey val="0"/>
          <c:showVal val="0"/>
          <c:showCatName val="0"/>
          <c:showSerName val="0"/>
          <c:showPercent val="0"/>
          <c:showBubbleSize val="0"/>
        </c:dLbls>
        <c:marker val="1"/>
        <c:smooth val="0"/>
        <c:axId val="32999680"/>
        <c:axId val="33021952"/>
      </c:lineChart>
      <c:dateAx>
        <c:axId val="32999680"/>
        <c:scaling>
          <c:orientation val="minMax"/>
        </c:scaling>
        <c:delete val="0"/>
        <c:axPos val="b"/>
        <c:numFmt formatCode="General" sourceLinked="1"/>
        <c:majorTickMark val="in"/>
        <c:minorTickMark val="none"/>
        <c:tickLblPos val="nextTo"/>
        <c:spPr>
          <a:ln>
            <a:solidFill>
              <a:schemeClr val="tx1"/>
            </a:solidFill>
          </a:ln>
        </c:spPr>
        <c:txPr>
          <a:bodyPr rot="-3600000"/>
          <a:lstStyle/>
          <a:p>
            <a:pPr>
              <a:defRPr>
                <a:latin typeface="David" panose="020E0502060401010101" pitchFamily="34" charset="-79"/>
                <a:cs typeface="David" panose="020E0502060401010101" pitchFamily="34" charset="-79"/>
              </a:defRPr>
            </a:pPr>
            <a:endParaRPr lang="he-IL"/>
          </a:p>
        </c:txPr>
        <c:crossAx val="33021952"/>
        <c:crosses val="autoZero"/>
        <c:auto val="0"/>
        <c:lblOffset val="100"/>
        <c:baseTimeUnit val="days"/>
        <c:majorUnit val="1"/>
      </c:dateAx>
      <c:valAx>
        <c:axId val="33021952"/>
        <c:scaling>
          <c:orientation val="minMax"/>
          <c:max val="200"/>
          <c:min val="80"/>
        </c:scaling>
        <c:delete val="0"/>
        <c:axPos val="l"/>
        <c:majorGridlines/>
        <c:numFmt formatCode="0" sourceLinked="0"/>
        <c:majorTickMark val="in"/>
        <c:minorTickMark val="none"/>
        <c:tickLblPos val="nextTo"/>
        <c:spPr>
          <a:ln w="9525">
            <a:solidFill>
              <a:schemeClr val="tx1"/>
            </a:solidFill>
          </a:ln>
        </c:spPr>
        <c:txPr>
          <a:bodyPr/>
          <a:lstStyle/>
          <a:p>
            <a:pPr>
              <a:defRPr>
                <a:latin typeface="David" panose="020E0502060401010101" pitchFamily="34" charset="-79"/>
                <a:cs typeface="David" panose="020E0502060401010101" pitchFamily="34" charset="-79"/>
              </a:defRPr>
            </a:pPr>
            <a:endParaRPr lang="he-IL"/>
          </a:p>
        </c:txPr>
        <c:crossAx val="32999680"/>
        <c:crosses val="autoZero"/>
        <c:crossBetween val="midCat"/>
        <c:majorUnit val="20"/>
      </c:valAx>
      <c:spPr>
        <a:ln>
          <a:solidFill>
            <a:schemeClr val="tx1"/>
          </a:solidFill>
        </a:ln>
      </c:spPr>
    </c:plotArea>
    <c:legend>
      <c:legendPos val="b"/>
      <c:layout>
        <c:manualLayout>
          <c:xMode val="edge"/>
          <c:yMode val="edge"/>
          <c:x val="0.10053095048512195"/>
          <c:y val="0.79517483599748584"/>
          <c:w val="0.79285357142857138"/>
          <c:h val="6.9077827365442129E-2"/>
        </c:manualLayout>
      </c:layout>
      <c:overlay val="0"/>
      <c:spPr>
        <a:solidFill>
          <a:schemeClr val="bg1"/>
        </a:solidFill>
        <a:ln>
          <a:solidFill>
            <a:sysClr val="windowText" lastClr="000000"/>
          </a:solidFill>
        </a:ln>
      </c:spPr>
      <c:txPr>
        <a:bodyPr/>
        <a:lstStyle/>
        <a:p>
          <a:pPr>
            <a:defRPr sz="1000">
              <a:latin typeface="David" panose="020E0502060401010101" pitchFamily="34" charset="-79"/>
              <a:cs typeface="David" panose="020E0502060401010101" pitchFamily="34" charset="-79"/>
            </a:defRPr>
          </a:pPr>
          <a:endParaRPr lang="he-IL"/>
        </a:p>
      </c:txPr>
    </c:legend>
    <c:plotVisOnly val="1"/>
    <c:dispBlanksAs val="gap"/>
    <c:showDLblsOverMax val="0"/>
  </c:chart>
  <c:spPr>
    <a:solidFill>
      <a:srgbClr val="D4EFFC"/>
    </a:solid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0.00304</cdr:x>
      <cdr:y>0.08544</cdr:y>
    </cdr:from>
    <cdr:to>
      <cdr:x>0.12441</cdr:x>
      <cdr:y>0.13447</cdr:y>
    </cdr:to>
    <cdr:sp macro="" textlink="">
      <cdr:nvSpPr>
        <cdr:cNvPr id="2" name="TextBox 1"/>
        <cdr:cNvSpPr txBox="1"/>
      </cdr:nvSpPr>
      <cdr:spPr>
        <a:xfrm xmlns:a="http://schemas.openxmlformats.org/drawingml/2006/main">
          <a:off x="19050" y="333375"/>
          <a:ext cx="760950" cy="19129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000">
              <a:latin typeface="David" panose="020E0502060401010101" pitchFamily="34" charset="-79"/>
              <a:cs typeface="David" panose="020E0502060401010101" pitchFamily="34" charset="-79"/>
            </a:rPr>
            <a:t>אחוזים</a:t>
          </a:r>
        </a:p>
      </cdr:txBody>
    </cdr:sp>
  </cdr:relSizeAnchor>
  <cdr:relSizeAnchor xmlns:cdr="http://schemas.openxmlformats.org/drawingml/2006/chartDrawing">
    <cdr:from>
      <cdr:x>0.10869</cdr:x>
      <cdr:y>0.90964</cdr:y>
    </cdr:from>
    <cdr:to>
      <cdr:x>1</cdr:x>
      <cdr:y>0.99423</cdr:y>
    </cdr:to>
    <cdr:sp macro="" textlink="">
      <cdr:nvSpPr>
        <cdr:cNvPr id="4" name="TextBox 3"/>
        <cdr:cNvSpPr txBox="1"/>
      </cdr:nvSpPr>
      <cdr:spPr>
        <a:xfrm xmlns:a="http://schemas.openxmlformats.org/drawingml/2006/main">
          <a:off x="555941" y="2876550"/>
          <a:ext cx="4558984" cy="267504"/>
        </a:xfrm>
        <a:prstGeom xmlns:a="http://schemas.openxmlformats.org/drawingml/2006/main" prst="rect">
          <a:avLst/>
        </a:prstGeom>
      </cdr:spPr>
      <cdr:txBody>
        <a:bodyPr xmlns:a="http://schemas.openxmlformats.org/drawingml/2006/main" vertOverflow="clip" wrap="square" rtlCol="1" anchor="b"/>
        <a:lstStyle xmlns:a="http://schemas.openxmlformats.org/drawingml/2006/main"/>
        <a:p xmlns:a="http://schemas.openxmlformats.org/drawingml/2006/main">
          <a:pPr rtl="1"/>
          <a:r>
            <a:rPr lang="he-IL" sz="900">
              <a:latin typeface="David" panose="020E0502060401010101" pitchFamily="34" charset="-79"/>
              <a:cs typeface="David" panose="020E0502060401010101" pitchFamily="34" charset="-79"/>
            </a:rPr>
            <a:t>המקור: נתוני הלשכה המרכזית לסטטיסטיקה, דיווחים לפיקוח</a:t>
          </a:r>
          <a:r>
            <a:rPr lang="he-IL" sz="900" baseline="0">
              <a:latin typeface="David" panose="020E0502060401010101" pitchFamily="34" charset="-79"/>
              <a:cs typeface="David" panose="020E0502060401010101" pitchFamily="34" charset="-79"/>
            </a:rPr>
            <a:t> על הבנקים ועיבודי הפיקוח על הבנקים.</a:t>
          </a:r>
          <a:endParaRPr lang="he-IL" sz="900">
            <a:latin typeface="David" panose="020E0502060401010101" pitchFamily="34" charset="-79"/>
            <a:cs typeface="David" panose="020E0502060401010101" pitchFamily="34"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0.00464</cdr:x>
      <cdr:y>0.89479</cdr:y>
    </cdr:from>
    <cdr:to>
      <cdr:x>0.99928</cdr:x>
      <cdr:y>0.95906</cdr:y>
    </cdr:to>
    <cdr:sp macro="" textlink="">
      <cdr:nvSpPr>
        <cdr:cNvPr id="2" name="TextBox 1"/>
        <cdr:cNvSpPr txBox="1"/>
      </cdr:nvSpPr>
      <cdr:spPr>
        <a:xfrm xmlns:a="http://schemas.openxmlformats.org/drawingml/2006/main">
          <a:off x="19664" y="2832989"/>
          <a:ext cx="4215906" cy="20350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rtl="1"/>
          <a:r>
            <a:rPr lang="he-IL" sz="900" baseline="0">
              <a:latin typeface="David" panose="020E0502060401010101" pitchFamily="34" charset="-79"/>
              <a:cs typeface="David" panose="020E0502060401010101" pitchFamily="34" charset="-79"/>
            </a:rPr>
            <a:t>המקור: דיווחים לפיקוח על הבנקים ועיבודי הפיקוח על הבנקים.</a:t>
          </a:r>
          <a:endParaRPr lang="he-IL" sz="900">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0.76613</cdr:x>
      <cdr:y>0.13964</cdr:y>
    </cdr:from>
    <cdr:to>
      <cdr:x>1</cdr:x>
      <cdr:y>0.25185</cdr:y>
    </cdr:to>
    <cdr:sp macro="" textlink="">
      <cdr:nvSpPr>
        <cdr:cNvPr id="3" name="TextBox 2"/>
        <cdr:cNvSpPr txBox="1"/>
      </cdr:nvSpPr>
      <cdr:spPr>
        <a:xfrm xmlns:a="http://schemas.openxmlformats.org/drawingml/2006/main">
          <a:off x="1930648" y="569287"/>
          <a:ext cx="589352" cy="457446"/>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a:r>
            <a:rPr lang="he-IL" sz="1000" b="0" i="0" u="none" strike="noStrike" kern="1200" baseline="0">
              <a:solidFill>
                <a:srgbClr val="000000"/>
              </a:solidFill>
              <a:effectLst/>
              <a:latin typeface="David"/>
              <a:ea typeface="+mn-ea"/>
              <a:cs typeface="David"/>
            </a:rPr>
            <a:t>מספר</a:t>
          </a:r>
          <a:r>
            <a:rPr lang="he-IL" sz="1100" baseline="0"/>
            <a:t> </a:t>
          </a:r>
          <a:r>
            <a:rPr lang="he-IL" sz="1000" b="0" i="0" u="none" strike="noStrike" kern="1200" baseline="0">
              <a:solidFill>
                <a:srgbClr val="000000"/>
              </a:solidFill>
              <a:effectLst/>
              <a:latin typeface="David"/>
              <a:ea typeface="+mn-ea"/>
              <a:cs typeface="David"/>
            </a:rPr>
            <a:t>הסניפים</a:t>
          </a:r>
        </a:p>
      </cdr:txBody>
    </cdr:sp>
  </cdr:relSizeAnchor>
  <cdr:relSizeAnchor xmlns:cdr="http://schemas.openxmlformats.org/drawingml/2006/chartDrawing">
    <cdr:from>
      <cdr:x>0</cdr:x>
      <cdr:y>0.11024</cdr:y>
    </cdr:from>
    <cdr:to>
      <cdr:x>0.24045</cdr:x>
      <cdr:y>0.22984</cdr:y>
    </cdr:to>
    <cdr:sp macro="" textlink="">
      <cdr:nvSpPr>
        <cdr:cNvPr id="4" name="TextBox 1"/>
        <cdr:cNvSpPr txBox="1"/>
      </cdr:nvSpPr>
      <cdr:spPr>
        <a:xfrm xmlns:a="http://schemas.openxmlformats.org/drawingml/2006/main">
          <a:off x="0" y="349040"/>
          <a:ext cx="1019175" cy="37867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he-IL" sz="1000" b="0" i="0" baseline="0">
              <a:solidFill>
                <a:schemeClr val="dk1"/>
              </a:solidFill>
              <a:effectLst/>
              <a:latin typeface="+mn-lt"/>
              <a:ea typeface="+mn-ea"/>
              <a:cs typeface="David" pitchFamily="2" charset="-79"/>
            </a:rPr>
            <a:t>מדד</a:t>
          </a:r>
        </a:p>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he-IL" sz="1000" b="0" i="0" baseline="0">
              <a:solidFill>
                <a:schemeClr val="dk1"/>
              </a:solidFill>
              <a:effectLst/>
              <a:latin typeface="+mn-lt"/>
              <a:ea typeface="+mn-ea"/>
              <a:cs typeface="David" pitchFamily="2" charset="-79"/>
            </a:rPr>
            <a:t>(31/12/05</a:t>
          </a:r>
          <a:r>
            <a:rPr lang="en-US" sz="1000" b="0" i="0" baseline="0">
              <a:solidFill>
                <a:schemeClr val="dk1"/>
              </a:solidFill>
              <a:effectLst/>
              <a:latin typeface="+mn-lt"/>
              <a:ea typeface="+mn-ea"/>
              <a:cs typeface="David" pitchFamily="2" charset="-79"/>
            </a:rPr>
            <a:t> </a:t>
          </a:r>
          <a:r>
            <a:rPr lang="he-IL" sz="1000" b="0" i="0" baseline="0">
              <a:solidFill>
                <a:schemeClr val="dk1"/>
              </a:solidFill>
              <a:effectLst/>
              <a:latin typeface="+mn-lt"/>
              <a:ea typeface="+mn-ea"/>
              <a:cs typeface="David" pitchFamily="2" charset="-79"/>
            </a:rPr>
            <a:t>=</a:t>
          </a:r>
          <a:r>
            <a:rPr lang="en-US" sz="1000" b="0" i="0" baseline="0">
              <a:solidFill>
                <a:schemeClr val="dk1"/>
              </a:solidFill>
              <a:effectLst/>
              <a:latin typeface="+mn-lt"/>
              <a:ea typeface="+mn-ea"/>
              <a:cs typeface="David" pitchFamily="2" charset="-79"/>
            </a:rPr>
            <a:t> </a:t>
          </a:r>
          <a:r>
            <a:rPr lang="he-IL" sz="1000" b="0" i="0" baseline="0">
              <a:solidFill>
                <a:schemeClr val="dk1"/>
              </a:solidFill>
              <a:effectLst/>
              <a:latin typeface="+mn-lt"/>
              <a:ea typeface="+mn-ea"/>
              <a:cs typeface="David" pitchFamily="2" charset="-79"/>
            </a:rPr>
            <a:t>100)</a:t>
          </a:r>
          <a:endParaRPr lang="he-IL" sz="1100"/>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1893E-B019-4822-AB2A-8691566CA432}"/>
</file>

<file path=customXml/itemProps2.xml><?xml version="1.0" encoding="utf-8"?>
<ds:datastoreItem xmlns:ds="http://schemas.openxmlformats.org/officeDocument/2006/customXml" ds:itemID="{93B46858-79FC-451D-882C-7617099C3257}"/>
</file>

<file path=customXml/itemProps3.xml><?xml version="1.0" encoding="utf-8"?>
<ds:datastoreItem xmlns:ds="http://schemas.openxmlformats.org/officeDocument/2006/customXml" ds:itemID="{2BE88206-9E37-4EE6-81D6-643977399EBF}"/>
</file>

<file path=customXml/itemProps4.xml><?xml version="1.0" encoding="utf-8"?>
<ds:datastoreItem xmlns:ds="http://schemas.openxmlformats.org/officeDocument/2006/customXml" ds:itemID="{303DF182-16D2-468F-82AC-E7A06C22F9B0}"/>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7437</Characters>
  <Application>Microsoft Office Word</Application>
  <DocSecurity>0</DocSecurity>
  <Lines>61</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2017-11-21T08:35:00Z</dcterms:created>
  <dcterms:modified xsi:type="dcterms:W3CDTF">2017-11-21T08:35:00Z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