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86"/>
        <w:bidiVisual/>
        <w:tblW w:w="8728" w:type="dxa"/>
        <w:tblLayout w:type="fixed"/>
        <w:tblLook w:val="0000" w:firstRow="0" w:lastRow="0" w:firstColumn="0" w:lastColumn="0" w:noHBand="0" w:noVBand="0"/>
      </w:tblPr>
      <w:tblGrid>
        <w:gridCol w:w="2916"/>
        <w:gridCol w:w="2835"/>
        <w:gridCol w:w="2977"/>
      </w:tblGrid>
      <w:tr w:rsidR="0019102D" w:rsidRPr="006B7C03" w:rsidTr="0097253E">
        <w:trPr>
          <w:trHeight w:val="1566"/>
          <w:tblHeader/>
        </w:trPr>
        <w:tc>
          <w:tcPr>
            <w:tcW w:w="2916" w:type="dxa"/>
            <w:tcBorders>
              <w:top w:val="nil"/>
              <w:left w:val="nil"/>
              <w:bottom w:val="nil"/>
              <w:right w:val="nil"/>
            </w:tcBorders>
            <w:vAlign w:val="center"/>
          </w:tcPr>
          <w:p w:rsidR="0019102D" w:rsidRPr="000D4675" w:rsidRDefault="0019102D" w:rsidP="0097253E">
            <w:pPr>
              <w:jc w:val="center"/>
              <w:rPr>
                <w:rFonts w:ascii="David" w:hAnsi="David" w:cs="David"/>
                <w:b/>
                <w:bCs/>
                <w:sz w:val="28"/>
                <w:szCs w:val="28"/>
                <w:rtl/>
              </w:rPr>
            </w:pPr>
            <w:bookmarkStart w:id="0" w:name="_Hlk149732323"/>
            <w:r w:rsidRPr="000D4675">
              <w:rPr>
                <w:rFonts w:ascii="David" w:hAnsi="David" w:cs="David"/>
                <w:b/>
                <w:bCs/>
                <w:sz w:val="28"/>
                <w:szCs w:val="28"/>
                <w:rtl/>
              </w:rPr>
              <w:t>בנק ישראל</w:t>
            </w:r>
          </w:p>
          <w:p w:rsidR="0019102D" w:rsidRPr="000D4675" w:rsidRDefault="0019102D" w:rsidP="0097253E">
            <w:pPr>
              <w:ind w:right="-101"/>
              <w:jc w:val="center"/>
              <w:rPr>
                <w:rFonts w:ascii="David" w:hAnsi="David" w:cs="David"/>
                <w:rtl/>
              </w:rPr>
            </w:pPr>
            <w:r w:rsidRPr="00F84402">
              <w:rPr>
                <w:rFonts w:ascii="David" w:hAnsi="David" w:cs="David"/>
                <w:rtl/>
              </w:rPr>
              <w:t>דוברות והסברה כלכלית</w:t>
            </w:r>
          </w:p>
        </w:tc>
        <w:tc>
          <w:tcPr>
            <w:tcW w:w="2835" w:type="dxa"/>
            <w:tcBorders>
              <w:top w:val="nil"/>
              <w:left w:val="nil"/>
              <w:bottom w:val="nil"/>
              <w:right w:val="nil"/>
            </w:tcBorders>
          </w:tcPr>
          <w:p w:rsidR="0019102D" w:rsidRPr="000D4675" w:rsidRDefault="0019102D" w:rsidP="0097253E">
            <w:pPr>
              <w:jc w:val="center"/>
              <w:rPr>
                <w:rFonts w:ascii="David" w:hAnsi="David" w:cs="David"/>
              </w:rPr>
            </w:pPr>
            <w:r w:rsidRPr="000D4675">
              <w:rPr>
                <w:rFonts w:ascii="David" w:hAnsi="David" w:cs="David"/>
                <w:noProof/>
              </w:rPr>
              <w:drawing>
                <wp:inline distT="0" distB="0" distL="0" distR="0" wp14:anchorId="7991F5E2" wp14:editId="6F92DCC1">
                  <wp:extent cx="1066800" cy="1112684"/>
                  <wp:effectExtent l="0" t="0" r="0" b="0"/>
                  <wp:docPr id="9" name="תמונה 9"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270" cy="1122561"/>
                          </a:xfrm>
                          <a:prstGeom prst="rect">
                            <a:avLst/>
                          </a:prstGeom>
                          <a:noFill/>
                        </pic:spPr>
                      </pic:pic>
                    </a:graphicData>
                  </a:graphic>
                </wp:inline>
              </w:drawing>
            </w:r>
          </w:p>
        </w:tc>
        <w:tc>
          <w:tcPr>
            <w:tcW w:w="2977" w:type="dxa"/>
            <w:tcBorders>
              <w:top w:val="nil"/>
              <w:left w:val="nil"/>
              <w:bottom w:val="nil"/>
              <w:right w:val="nil"/>
            </w:tcBorders>
            <w:vAlign w:val="center"/>
          </w:tcPr>
          <w:p w:rsidR="0019102D" w:rsidRPr="006B7C03" w:rsidRDefault="0019102D" w:rsidP="0019102D">
            <w:pPr>
              <w:jc w:val="right"/>
              <w:rPr>
                <w:rFonts w:ascii="David" w:hAnsi="David" w:cs="David"/>
                <w:rtl/>
              </w:rPr>
            </w:pPr>
            <w:r w:rsidRPr="006B7C03">
              <w:rPr>
                <w:rFonts w:ascii="David" w:hAnsi="David" w:cs="David"/>
                <w:rtl/>
              </w:rPr>
              <w:t xml:space="preserve">‏‏      ירושלים, </w:t>
            </w:r>
            <w:r w:rsidRPr="006B7C03">
              <w:rPr>
                <w:rFonts w:ascii="David" w:hAnsi="David" w:cs="David" w:hint="eastAsia"/>
                <w:rtl/>
              </w:rPr>
              <w:t>‏</w:t>
            </w:r>
            <w:r>
              <w:rPr>
                <w:rFonts w:ascii="David" w:hAnsi="David" w:cs="David" w:hint="cs"/>
                <w:rtl/>
              </w:rPr>
              <w:t>י</w:t>
            </w:r>
            <w:r w:rsidRPr="006B7C03">
              <w:rPr>
                <w:rFonts w:ascii="David" w:hAnsi="David" w:cs="David"/>
                <w:rtl/>
              </w:rPr>
              <w:t>"</w:t>
            </w:r>
            <w:r w:rsidRPr="006B7C03">
              <w:rPr>
                <w:rFonts w:ascii="David" w:hAnsi="David" w:cs="David" w:hint="eastAsia"/>
                <w:rtl/>
              </w:rPr>
              <w:t>ז</w:t>
            </w:r>
            <w:r w:rsidRPr="006B7C03">
              <w:rPr>
                <w:rFonts w:ascii="David" w:hAnsi="David" w:cs="David"/>
                <w:rtl/>
              </w:rPr>
              <w:t xml:space="preserve"> חשון, תשפ"ד</w:t>
            </w:r>
          </w:p>
          <w:p w:rsidR="0019102D" w:rsidRPr="006B7C03" w:rsidRDefault="0019102D" w:rsidP="0019102D">
            <w:pPr>
              <w:jc w:val="right"/>
              <w:rPr>
                <w:rFonts w:ascii="David" w:hAnsi="David" w:cs="David"/>
              </w:rPr>
            </w:pPr>
            <w:r w:rsidRPr="006B7C03">
              <w:rPr>
                <w:rFonts w:ascii="David" w:hAnsi="David" w:cs="David" w:hint="eastAsia"/>
                <w:rtl/>
              </w:rPr>
              <w:t>‏</w:t>
            </w:r>
            <w:r>
              <w:rPr>
                <w:rFonts w:ascii="David" w:hAnsi="David" w:cs="David" w:hint="cs"/>
                <w:rtl/>
              </w:rPr>
              <w:t>1</w:t>
            </w:r>
            <w:r w:rsidRPr="006B7C03">
              <w:rPr>
                <w:rFonts w:ascii="David" w:hAnsi="David" w:cs="David"/>
                <w:rtl/>
              </w:rPr>
              <w:t xml:space="preserve"> </w:t>
            </w:r>
            <w:r w:rsidRPr="006B7C03">
              <w:rPr>
                <w:rFonts w:ascii="David" w:hAnsi="David" w:cs="David" w:hint="eastAsia"/>
                <w:rtl/>
              </w:rPr>
              <w:t>ב</w:t>
            </w:r>
            <w:r>
              <w:rPr>
                <w:rFonts w:ascii="David" w:hAnsi="David" w:cs="David" w:hint="cs"/>
                <w:rtl/>
              </w:rPr>
              <w:t>נובמבר</w:t>
            </w:r>
            <w:r w:rsidRPr="006B7C03">
              <w:rPr>
                <w:rFonts w:ascii="David" w:hAnsi="David" w:cs="David"/>
                <w:rtl/>
              </w:rPr>
              <w:t xml:space="preserve"> 20</w:t>
            </w:r>
            <w:r w:rsidRPr="006B7C03">
              <w:rPr>
                <w:rFonts w:ascii="David" w:hAnsi="David" w:cs="David" w:hint="cs"/>
                <w:rtl/>
              </w:rPr>
              <w:t>23</w:t>
            </w:r>
          </w:p>
        </w:tc>
      </w:tr>
    </w:tbl>
    <w:p w:rsidR="001D5704" w:rsidRPr="0019102D" w:rsidRDefault="0019102D" w:rsidP="0019102D">
      <w:pPr>
        <w:rPr>
          <w:rFonts w:ascii="David" w:eastAsia="David" w:hAnsi="David" w:cs="David"/>
          <w:b/>
          <w:sz w:val="24"/>
          <w:szCs w:val="24"/>
        </w:rPr>
      </w:pPr>
      <w:r w:rsidRPr="0019102D">
        <w:rPr>
          <w:rFonts w:ascii="David" w:eastAsia="David" w:hAnsi="David" w:cs="David"/>
          <w:b/>
          <w:sz w:val="24"/>
          <w:szCs w:val="24"/>
          <w:rtl/>
        </w:rPr>
        <w:t>הודעה לעיתונות:</w:t>
      </w:r>
    </w:p>
    <w:p w:rsidR="006B3ACC" w:rsidRPr="0019102D" w:rsidRDefault="00471694">
      <w:pPr>
        <w:jc w:val="center"/>
        <w:rPr>
          <w:rFonts w:ascii="David" w:eastAsia="David" w:hAnsi="David" w:cs="David"/>
          <w:bCs/>
          <w:sz w:val="32"/>
          <w:szCs w:val="32"/>
        </w:rPr>
      </w:pPr>
      <w:r w:rsidRPr="0019102D">
        <w:rPr>
          <w:rFonts w:ascii="David" w:eastAsia="David" w:hAnsi="David" w:cs="David"/>
          <w:bCs/>
          <w:sz w:val="32"/>
          <w:szCs w:val="32"/>
          <w:rtl/>
        </w:rPr>
        <w:t>מניעת הגבלת חשבון בנק בעקבות 'מלחמת חרבות ברזל' - תקנות שיקים ללא כיסוי</w:t>
      </w:r>
    </w:p>
    <w:p w:rsidR="006B3ACC" w:rsidRPr="0019102D" w:rsidRDefault="00471694">
      <w:pPr>
        <w:numPr>
          <w:ilvl w:val="0"/>
          <w:numId w:val="1"/>
        </w:numPr>
        <w:pBdr>
          <w:top w:val="nil"/>
          <w:left w:val="nil"/>
          <w:bottom w:val="nil"/>
          <w:right w:val="nil"/>
          <w:between w:val="nil"/>
        </w:pBdr>
        <w:spacing w:after="0" w:line="360" w:lineRule="auto"/>
        <w:jc w:val="both"/>
        <w:rPr>
          <w:rFonts w:ascii="David" w:hAnsi="David" w:cs="David"/>
          <w:bCs/>
          <w:color w:val="000000"/>
          <w:sz w:val="24"/>
          <w:szCs w:val="24"/>
        </w:rPr>
      </w:pPr>
      <w:r w:rsidRPr="0019102D">
        <w:rPr>
          <w:rFonts w:ascii="David" w:eastAsia="David" w:hAnsi="David" w:cs="David"/>
          <w:bCs/>
          <w:color w:val="000000"/>
          <w:sz w:val="24"/>
          <w:szCs w:val="24"/>
          <w:rtl/>
        </w:rPr>
        <w:t xml:space="preserve">נקבעו תקנות על פיהן שיקים </w:t>
      </w:r>
      <w:proofErr w:type="spellStart"/>
      <w:r w:rsidRPr="0019102D">
        <w:rPr>
          <w:rFonts w:ascii="David" w:eastAsia="David" w:hAnsi="David" w:cs="David"/>
          <w:bCs/>
          <w:color w:val="000000"/>
          <w:sz w:val="24"/>
          <w:szCs w:val="24"/>
          <w:rtl/>
        </w:rPr>
        <w:t>שסורבו</w:t>
      </w:r>
      <w:proofErr w:type="spellEnd"/>
      <w:r w:rsidRPr="0019102D">
        <w:rPr>
          <w:rFonts w:ascii="David" w:eastAsia="David" w:hAnsi="David" w:cs="David"/>
          <w:bCs/>
          <w:color w:val="000000"/>
          <w:sz w:val="24"/>
          <w:szCs w:val="24"/>
          <w:rtl/>
        </w:rPr>
        <w:t xml:space="preserve"> מכיוון שלא היה להם כיסוי בחודש אוקטובר לא יכללו ברשימת השיקים המביאה להטלת הגבלה על החשבון עליו הם משוכים. הקלה זו הוארכה לאוכלוסיות מסוימות גם עבור </w:t>
      </w:r>
      <w:r w:rsidR="00F35295" w:rsidRPr="0019102D">
        <w:rPr>
          <w:rFonts w:ascii="David" w:eastAsia="David" w:hAnsi="David" w:cs="David"/>
          <w:bCs/>
          <w:color w:val="000000"/>
          <w:sz w:val="24"/>
          <w:szCs w:val="24"/>
          <w:rtl/>
        </w:rPr>
        <w:t xml:space="preserve">חודש </w:t>
      </w:r>
      <w:r w:rsidRPr="0019102D">
        <w:rPr>
          <w:rFonts w:ascii="David" w:eastAsia="David" w:hAnsi="David" w:cs="David"/>
          <w:bCs/>
          <w:color w:val="000000"/>
          <w:sz w:val="24"/>
          <w:szCs w:val="24"/>
          <w:rtl/>
        </w:rPr>
        <w:t xml:space="preserve">נובמבר. </w:t>
      </w:r>
    </w:p>
    <w:p w:rsidR="006B3ACC" w:rsidRPr="0019102D" w:rsidRDefault="00471694">
      <w:pPr>
        <w:numPr>
          <w:ilvl w:val="0"/>
          <w:numId w:val="1"/>
        </w:numPr>
        <w:pBdr>
          <w:top w:val="nil"/>
          <w:left w:val="nil"/>
          <w:bottom w:val="nil"/>
          <w:right w:val="nil"/>
          <w:between w:val="nil"/>
        </w:pBdr>
        <w:spacing w:after="0" w:line="360" w:lineRule="auto"/>
        <w:jc w:val="both"/>
        <w:rPr>
          <w:rFonts w:ascii="David" w:hAnsi="David" w:cs="David"/>
          <w:bCs/>
          <w:color w:val="000000"/>
          <w:sz w:val="24"/>
          <w:szCs w:val="24"/>
        </w:rPr>
      </w:pPr>
      <w:r w:rsidRPr="0019102D">
        <w:rPr>
          <w:rFonts w:ascii="David" w:eastAsia="David" w:hAnsi="David" w:cs="David"/>
          <w:bCs/>
          <w:color w:val="000000"/>
          <w:sz w:val="24"/>
          <w:szCs w:val="24"/>
          <w:rtl/>
        </w:rPr>
        <w:t>האוכלוסייה הזכאית להקלות גם ב</w:t>
      </w:r>
      <w:r w:rsidR="00F35295" w:rsidRPr="0019102D">
        <w:rPr>
          <w:rFonts w:ascii="David" w:eastAsia="David" w:hAnsi="David" w:cs="David"/>
          <w:bCs/>
          <w:color w:val="000000"/>
          <w:sz w:val="24"/>
          <w:szCs w:val="24"/>
          <w:rtl/>
        </w:rPr>
        <w:t xml:space="preserve">חודש </w:t>
      </w:r>
      <w:r w:rsidRPr="0019102D">
        <w:rPr>
          <w:rFonts w:ascii="David" w:eastAsia="David" w:hAnsi="David" w:cs="David"/>
          <w:bCs/>
          <w:color w:val="000000"/>
          <w:sz w:val="24"/>
          <w:szCs w:val="24"/>
          <w:rtl/>
        </w:rPr>
        <w:t>נובמבר כוללת בין השאר את תושבי הישובים שנפגעו, משרתי ומשרתות מילואים ובנות ובני זוגם, נעדרים, חטופים או שבויים ובני משפחותיהם, נפגעי פעולות איבה ובני משפחותיהם ועוד, הכול כמפורט בתקנות.</w:t>
      </w:r>
      <w:r w:rsidRPr="0019102D">
        <w:rPr>
          <w:rFonts w:ascii="David" w:eastAsia="David" w:hAnsi="David" w:cs="David"/>
          <w:bCs/>
          <w:color w:val="000000"/>
          <w:sz w:val="24"/>
          <w:szCs w:val="24"/>
        </w:rPr>
        <w:t xml:space="preserve"> </w:t>
      </w:r>
    </w:p>
    <w:p w:rsidR="006B3ACC" w:rsidRPr="0019102D" w:rsidRDefault="00471694">
      <w:pPr>
        <w:numPr>
          <w:ilvl w:val="0"/>
          <w:numId w:val="1"/>
        </w:numPr>
        <w:pBdr>
          <w:top w:val="nil"/>
          <w:left w:val="nil"/>
          <w:bottom w:val="nil"/>
          <w:right w:val="nil"/>
          <w:between w:val="nil"/>
        </w:pBdr>
        <w:spacing w:line="360" w:lineRule="auto"/>
        <w:jc w:val="both"/>
        <w:rPr>
          <w:rFonts w:ascii="David" w:hAnsi="David" w:cs="David"/>
          <w:bCs/>
          <w:color w:val="000000"/>
          <w:sz w:val="24"/>
          <w:szCs w:val="24"/>
        </w:rPr>
      </w:pPr>
      <w:r w:rsidRPr="0019102D">
        <w:rPr>
          <w:rFonts w:ascii="David" w:eastAsia="David" w:hAnsi="David" w:cs="David"/>
          <w:bCs/>
          <w:color w:val="000000"/>
          <w:sz w:val="24"/>
          <w:szCs w:val="24"/>
          <w:rtl/>
        </w:rPr>
        <w:t>בנוסף, השיקים שלא נכללו ברשימה יוסרו גם מרשימת השיקים למשלוח התראה בגין חמישה שיקים ללא כיסוי.</w:t>
      </w:r>
    </w:p>
    <w:p w:rsidR="006B3ACC" w:rsidRPr="0019102D" w:rsidRDefault="00471694">
      <w:pPr>
        <w:spacing w:line="360" w:lineRule="auto"/>
        <w:jc w:val="both"/>
        <w:rPr>
          <w:rFonts w:ascii="David" w:eastAsia="David" w:hAnsi="David" w:cs="David"/>
          <w:sz w:val="24"/>
          <w:szCs w:val="24"/>
        </w:rPr>
      </w:pPr>
      <w:r w:rsidRPr="0019102D">
        <w:rPr>
          <w:rFonts w:ascii="David" w:eastAsia="David" w:hAnsi="David" w:cs="David"/>
          <w:sz w:val="24"/>
          <w:szCs w:val="24"/>
          <w:rtl/>
        </w:rPr>
        <w:t xml:space="preserve">בעקבות מלחמת חרבות ברזל ומצב החרום במשק, ועל בסיס שיתוף פעולה בין משרד המשפטים לבנק ישראל ובאישור ועדת חוקה, חוק ומשפט, קבע שר המשפטים, יריב לוין, ביום חמישי 26 אוקטובר, 2023, מתוקף סמכותו לפי חוק שיקים ללא כיסוי, תקנות לפיהן שיקים </w:t>
      </w:r>
      <w:proofErr w:type="spellStart"/>
      <w:r w:rsidRPr="0019102D">
        <w:rPr>
          <w:rFonts w:ascii="David" w:eastAsia="David" w:hAnsi="David" w:cs="David"/>
          <w:sz w:val="24"/>
          <w:szCs w:val="24"/>
          <w:rtl/>
        </w:rPr>
        <w:t>שסורבו</w:t>
      </w:r>
      <w:proofErr w:type="spellEnd"/>
      <w:r w:rsidRPr="0019102D">
        <w:rPr>
          <w:rFonts w:ascii="David" w:eastAsia="David" w:hAnsi="David" w:cs="David"/>
          <w:sz w:val="24"/>
          <w:szCs w:val="24"/>
          <w:rtl/>
        </w:rPr>
        <w:t xml:space="preserve"> בגלל שלא היה להם כיסוי, במהלך חודש אוקטובר, לא יכללו ברשימת השיקים המביאה להטלת הגבלה על חשבון השיקים שעליו הם משוכים. בהתאם שיקים אלו יוסרו גם מרשימת השיקים למשלוח התראה בגין חמישה שיקים ללא כיסוי. בנוסף, הקלות אלו יחולו על קבוצות אוכלוסיות זכאיות, כגון תושבי הישובים שנפגעו, משרתי ומשרתות מילואים ובנות ובני זוגם, נעדרים, חטופים או שבויים ובני משפחותיהם, נפגעי פעולות איבה ובני משפחותיהם ועוד, הכול כמפורט בתקנות, למשך חודש נוסף, דהיינו עד סוף חודש נובמבר.</w:t>
      </w:r>
    </w:p>
    <w:p w:rsidR="006B3ACC" w:rsidRPr="0019102D" w:rsidRDefault="00471694" w:rsidP="00F35295">
      <w:pPr>
        <w:spacing w:line="360" w:lineRule="auto"/>
        <w:jc w:val="both"/>
        <w:rPr>
          <w:rFonts w:ascii="David" w:eastAsia="David" w:hAnsi="David" w:cs="David"/>
          <w:sz w:val="24"/>
          <w:szCs w:val="24"/>
        </w:rPr>
      </w:pPr>
      <w:r w:rsidRPr="0019102D">
        <w:rPr>
          <w:rFonts w:ascii="David" w:eastAsia="David" w:hAnsi="David" w:cs="David"/>
          <w:sz w:val="24"/>
          <w:szCs w:val="24"/>
          <w:rtl/>
        </w:rPr>
        <w:t>חשוב לשים לב כי לגבי ההקלות שיינתנו בחודש נובמבר, למעט תושבי הישובים שנפגעו (בהתאם לרשימת היישובים המנויה בתוספת לחוק דחיית מועדים), יתר הזכאים יצטרכו לפנות לבנק על מנת ליידע אותו בעניין זכאותם להקלות אלו, שכן המידע בדבר השתייכותם לאותן קבוצות אוכלוסייה לא מצוי בידי הבנקים.</w:t>
      </w:r>
    </w:p>
    <w:p w:rsidR="006B3ACC" w:rsidRPr="0019102D" w:rsidRDefault="00471694" w:rsidP="00D94800">
      <w:pPr>
        <w:spacing w:line="360" w:lineRule="auto"/>
        <w:jc w:val="both"/>
        <w:rPr>
          <w:rFonts w:ascii="David" w:eastAsia="David" w:hAnsi="David" w:cs="David"/>
          <w:sz w:val="24"/>
          <w:szCs w:val="24"/>
        </w:rPr>
      </w:pPr>
      <w:r w:rsidRPr="0019102D">
        <w:rPr>
          <w:rFonts w:ascii="David" w:eastAsia="David" w:hAnsi="David" w:cs="David"/>
          <w:sz w:val="24"/>
          <w:szCs w:val="24"/>
          <w:rtl/>
        </w:rPr>
        <w:t>חשוב לציין שגריעת השיקים אינה פוטרת מהחובה להעברת התשלום למוטב ומהשלכות שליליות אחרות שעלולות להיות לאי תשלום השיק, כדוגמת פתיחת הליך בהוצאה לפועל לנוכח זכות המוטב לפעול לגביית השיק באמצעות לשכת ההוצאה לפועל</w:t>
      </w:r>
      <w:r w:rsidR="00B07572" w:rsidRPr="0019102D">
        <w:rPr>
          <w:rFonts w:ascii="David" w:eastAsia="David" w:hAnsi="David" w:cs="David"/>
          <w:sz w:val="24"/>
          <w:szCs w:val="24"/>
          <w:rtl/>
        </w:rPr>
        <w:t xml:space="preserve"> או השפעה על חיתום האשראי של הלקוח</w:t>
      </w:r>
      <w:r w:rsidR="00D94800" w:rsidRPr="0019102D">
        <w:rPr>
          <w:rFonts w:ascii="David" w:eastAsia="David" w:hAnsi="David" w:cs="David"/>
          <w:sz w:val="24"/>
          <w:szCs w:val="24"/>
          <w:rtl/>
        </w:rPr>
        <w:t>.</w:t>
      </w:r>
    </w:p>
    <w:p w:rsidR="006B3ACC" w:rsidRPr="0019102D" w:rsidRDefault="00471694">
      <w:pPr>
        <w:spacing w:line="360" w:lineRule="auto"/>
        <w:jc w:val="both"/>
        <w:rPr>
          <w:rFonts w:ascii="David" w:eastAsia="David" w:hAnsi="David" w:cs="David"/>
          <w:sz w:val="24"/>
          <w:szCs w:val="24"/>
        </w:rPr>
      </w:pPr>
      <w:r w:rsidRPr="0019102D">
        <w:rPr>
          <w:rFonts w:ascii="David" w:eastAsia="David" w:hAnsi="David" w:cs="David"/>
          <w:sz w:val="24"/>
          <w:szCs w:val="24"/>
          <w:rtl/>
        </w:rPr>
        <w:t xml:space="preserve">הפיקוח על הבנקים פועל להגברת המודעות להקלות במטרה להעלות את שיעור מיצוי זכויות הלקוחות בקרב האוכלוסיות הזכאיות להארכה עד סוף </w:t>
      </w:r>
      <w:r w:rsidR="00F35295" w:rsidRPr="0019102D">
        <w:rPr>
          <w:rFonts w:ascii="David" w:eastAsia="David" w:hAnsi="David" w:cs="David"/>
          <w:sz w:val="24"/>
          <w:szCs w:val="24"/>
          <w:rtl/>
        </w:rPr>
        <w:t xml:space="preserve">חודש </w:t>
      </w:r>
      <w:r w:rsidRPr="0019102D">
        <w:rPr>
          <w:rFonts w:ascii="David" w:eastAsia="David" w:hAnsi="David" w:cs="David"/>
          <w:sz w:val="24"/>
          <w:szCs w:val="24"/>
          <w:rtl/>
        </w:rPr>
        <w:t xml:space="preserve">נובמבר, בין היתר באמצעות הנחיה לשינויים במשלוח ההודעות ללקוח בקשר עם שיקים ללא כיסוי. </w:t>
      </w:r>
    </w:p>
    <w:p w:rsidR="0019102D" w:rsidRDefault="0019102D" w:rsidP="001D5704">
      <w:pPr>
        <w:spacing w:line="360" w:lineRule="auto"/>
        <w:jc w:val="both"/>
        <w:rPr>
          <w:rFonts w:ascii="David" w:eastAsia="David" w:hAnsi="David" w:cs="David"/>
          <w:sz w:val="24"/>
          <w:szCs w:val="24"/>
          <w:rtl/>
        </w:rPr>
      </w:pPr>
    </w:p>
    <w:p w:rsidR="006B3ACC" w:rsidRDefault="00471694" w:rsidP="001D5704">
      <w:pPr>
        <w:spacing w:line="360" w:lineRule="auto"/>
        <w:jc w:val="both"/>
        <w:rPr>
          <w:rFonts w:ascii="David" w:eastAsia="David" w:hAnsi="David" w:cs="David"/>
          <w:sz w:val="24"/>
          <w:szCs w:val="24"/>
          <w:rtl/>
        </w:rPr>
      </w:pPr>
      <w:r w:rsidRPr="0019102D">
        <w:rPr>
          <w:rFonts w:ascii="David" w:eastAsia="David" w:hAnsi="David" w:cs="David"/>
          <w:bCs/>
          <w:sz w:val="24"/>
          <w:szCs w:val="24"/>
          <w:rtl/>
        </w:rPr>
        <w:lastRenderedPageBreak/>
        <w:t>המפקח על הבנקים, מר דניאל חחיאשוילי</w:t>
      </w:r>
      <w:r w:rsidRPr="0019102D">
        <w:rPr>
          <w:rFonts w:ascii="David" w:eastAsia="David" w:hAnsi="David" w:cs="David"/>
          <w:sz w:val="24"/>
          <w:szCs w:val="24"/>
          <w:rtl/>
        </w:rPr>
        <w:t>: "אני מודה למשרד המשפטים על העבודה המשותפת וקידום הנושא החשוב. חשוב שתעמוד בעת הזאת לזכות הנפגעים היכולת למנוע הטלת סנקציות משמעותיות על חשבונם, יחד עם שהות שתאפשר להם להתארגן כלכלית באופן מדורג בהתאם לשלבי השיקום מהמצב הקשה אליו נקלעו. כמו כן, אני קורא לציבור הזכאים לעשות שימוש מושכל בהקלות שניתנו על ידי התקנות. ככל שהדבר ניתן, אני ממליץ להגיע להסדר תשלומים חלופי עם המוטב, ולפעול למניעת הצגת שיקים ללא כיסוי בחשבון ככל האפשר.</w:t>
      </w:r>
      <w:r w:rsidR="001D5704" w:rsidRPr="0019102D">
        <w:rPr>
          <w:rFonts w:ascii="David" w:eastAsia="David" w:hAnsi="David" w:cs="David"/>
          <w:sz w:val="24"/>
          <w:szCs w:val="24"/>
          <w:rtl/>
        </w:rPr>
        <w:t>"</w:t>
      </w:r>
    </w:p>
    <w:p w:rsidR="0019102D" w:rsidRDefault="0019102D" w:rsidP="0019102D">
      <w:pPr>
        <w:spacing w:line="360" w:lineRule="auto"/>
        <w:jc w:val="both"/>
        <w:rPr>
          <w:rFonts w:ascii="David" w:eastAsia="David" w:hAnsi="David" w:cs="David"/>
          <w:sz w:val="24"/>
          <w:szCs w:val="24"/>
          <w:rtl/>
        </w:rPr>
      </w:pPr>
      <w:r w:rsidRPr="0019102D">
        <w:rPr>
          <w:rFonts w:ascii="David" w:eastAsia="David" w:hAnsi="David" w:cs="David"/>
          <w:bCs/>
          <w:sz w:val="24"/>
          <w:szCs w:val="24"/>
          <w:rtl/>
        </w:rPr>
        <w:t xml:space="preserve">המשנה ליועצת המשפטית לממשלה (משפט אזרחי), עו"ד כרמית </w:t>
      </w:r>
      <w:proofErr w:type="spellStart"/>
      <w:r w:rsidRPr="0019102D">
        <w:rPr>
          <w:rFonts w:ascii="David" w:eastAsia="David" w:hAnsi="David" w:cs="David"/>
          <w:bCs/>
          <w:sz w:val="24"/>
          <w:szCs w:val="24"/>
          <w:rtl/>
        </w:rPr>
        <w:t>יוליס</w:t>
      </w:r>
      <w:proofErr w:type="spellEnd"/>
      <w:r w:rsidRPr="0019102D">
        <w:rPr>
          <w:rFonts w:ascii="David" w:eastAsia="David" w:hAnsi="David" w:cs="David"/>
          <w:b/>
          <w:sz w:val="24"/>
          <w:szCs w:val="24"/>
          <w:rtl/>
        </w:rPr>
        <w:t>:</w:t>
      </w:r>
      <w:r w:rsidRPr="0019102D">
        <w:rPr>
          <w:rFonts w:ascii="David" w:eastAsia="David" w:hAnsi="David" w:cs="David"/>
          <w:sz w:val="24"/>
          <w:szCs w:val="24"/>
          <w:rtl/>
        </w:rPr>
        <w:t xml:space="preserve"> "אני מודה לשר וליו"ר ועדת חוקה, חוק ומשפט על קידום מהיר ונחוץ של המהלך שיוכל להביא להקלה וסיוע לכלל האוכלוסייה, ובפרט לאוכלוסיות שנפגעו באופן ישיר מהמצב </w:t>
      </w:r>
      <w:proofErr w:type="spellStart"/>
      <w:r w:rsidRPr="0019102D">
        <w:rPr>
          <w:rFonts w:ascii="David" w:eastAsia="David" w:hAnsi="David" w:cs="David"/>
          <w:sz w:val="24"/>
          <w:szCs w:val="24"/>
          <w:rtl/>
        </w:rPr>
        <w:t>הבטחוני</w:t>
      </w:r>
      <w:proofErr w:type="spellEnd"/>
      <w:r w:rsidRPr="0019102D">
        <w:rPr>
          <w:rFonts w:ascii="David" w:eastAsia="David" w:hAnsi="David" w:cs="David"/>
          <w:sz w:val="24"/>
          <w:szCs w:val="24"/>
          <w:rtl/>
        </w:rPr>
        <w:t xml:space="preserve"> הקשה במדינתנו. תודה מיוחדת לבנק ישראל על שיתוף הפעולה החשוב בעניין זה. אדגיש כי מטרת התקנות היא להקל על ההתמודדות הכלכלית בסיטואציה המורכבת של המלחמה</w:t>
      </w:r>
      <w:r w:rsidRPr="0019102D">
        <w:rPr>
          <w:rFonts w:ascii="David" w:eastAsia="David" w:hAnsi="David" w:cs="David"/>
          <w:sz w:val="24"/>
          <w:szCs w:val="24"/>
        </w:rPr>
        <w:t xml:space="preserve"> </w:t>
      </w:r>
      <w:r w:rsidRPr="0019102D">
        <w:rPr>
          <w:rFonts w:ascii="David" w:eastAsia="David" w:hAnsi="David" w:cs="David"/>
          <w:sz w:val="24"/>
          <w:szCs w:val="24"/>
          <w:rtl/>
        </w:rPr>
        <w:t>אנו פועלים כל העת על מנת לקדם מענים נוספים ומשלימים במישור האזרחי לנפגעים הזקוקים לסיוע."</w:t>
      </w:r>
    </w:p>
    <w:p w:rsidR="00D15E6E" w:rsidRDefault="00D15E6E" w:rsidP="00D15E6E">
      <w:pPr>
        <w:spacing w:line="360" w:lineRule="auto"/>
        <w:jc w:val="both"/>
        <w:rPr>
          <w:rFonts w:ascii="David" w:eastAsia="David" w:hAnsi="David" w:cs="David"/>
          <w:sz w:val="24"/>
          <w:szCs w:val="24"/>
          <w:rtl/>
        </w:rPr>
      </w:pPr>
      <w:r>
        <w:rPr>
          <w:rFonts w:ascii="David" w:eastAsia="David" w:hAnsi="David" w:cs="David" w:hint="cs"/>
          <w:sz w:val="24"/>
          <w:szCs w:val="24"/>
          <w:rtl/>
        </w:rPr>
        <w:t>לינק לצפייה ב</w:t>
      </w:r>
      <w:r w:rsidRPr="00D15E6E">
        <w:rPr>
          <w:rFonts w:ascii="David" w:eastAsia="David" w:hAnsi="David" w:cs="David"/>
          <w:sz w:val="24"/>
          <w:szCs w:val="24"/>
          <w:rtl/>
        </w:rPr>
        <w:t>תקנות שיקים ללא כיסוי</w:t>
      </w:r>
      <w:bookmarkStart w:id="1" w:name="_GoBack"/>
      <w:bookmarkEnd w:id="1"/>
      <w:r>
        <w:rPr>
          <w:rFonts w:ascii="David" w:eastAsia="David" w:hAnsi="David" w:cs="David" w:hint="cs"/>
          <w:sz w:val="24"/>
          <w:szCs w:val="24"/>
          <w:rtl/>
        </w:rPr>
        <w:t xml:space="preserve">: </w:t>
      </w:r>
    </w:p>
    <w:p w:rsidR="00D15E6E" w:rsidRPr="0019102D" w:rsidRDefault="00D15E6E" w:rsidP="00D15E6E">
      <w:pPr>
        <w:spacing w:line="360" w:lineRule="auto"/>
        <w:jc w:val="both"/>
        <w:rPr>
          <w:rFonts w:ascii="David" w:eastAsia="David" w:hAnsi="David" w:cs="David"/>
          <w:sz w:val="24"/>
          <w:szCs w:val="24"/>
        </w:rPr>
      </w:pPr>
      <w:hyperlink r:id="rId8" w:history="1">
        <w:r w:rsidRPr="009A39ED">
          <w:rPr>
            <w:rStyle w:val="Hyperlink"/>
            <w:rFonts w:ascii="David" w:eastAsia="David" w:hAnsi="David" w:cs="David"/>
            <w:sz w:val="24"/>
            <w:szCs w:val="24"/>
          </w:rPr>
          <w:t>https://www.nevo.co.il/law_html/law01/p220k3_004.htm</w:t>
        </w:r>
      </w:hyperlink>
      <w:r>
        <w:rPr>
          <w:rFonts w:ascii="David" w:eastAsia="David" w:hAnsi="David" w:cs="David" w:hint="cs"/>
          <w:sz w:val="24"/>
          <w:szCs w:val="24"/>
          <w:rtl/>
        </w:rPr>
        <w:t xml:space="preserve"> </w:t>
      </w:r>
    </w:p>
    <w:p w:rsidR="0019102D" w:rsidRPr="0019102D" w:rsidRDefault="0019102D" w:rsidP="001D5704">
      <w:pPr>
        <w:spacing w:line="360" w:lineRule="auto"/>
        <w:jc w:val="both"/>
        <w:rPr>
          <w:rFonts w:ascii="David" w:eastAsia="David" w:hAnsi="David" w:cs="David"/>
          <w:sz w:val="24"/>
          <w:szCs w:val="24"/>
        </w:rPr>
      </w:pPr>
    </w:p>
    <w:p w:rsidR="006B3ACC" w:rsidRPr="0019102D" w:rsidRDefault="006B3ACC">
      <w:pPr>
        <w:rPr>
          <w:rFonts w:ascii="David" w:eastAsia="David" w:hAnsi="David" w:cs="David"/>
          <w:sz w:val="24"/>
          <w:szCs w:val="24"/>
        </w:rPr>
      </w:pPr>
    </w:p>
    <w:bookmarkEnd w:id="0"/>
    <w:p w:rsidR="006B3ACC" w:rsidRPr="0019102D" w:rsidRDefault="006B3ACC">
      <w:pPr>
        <w:rPr>
          <w:rFonts w:ascii="David" w:eastAsia="David" w:hAnsi="David" w:cs="David"/>
          <w:sz w:val="24"/>
          <w:szCs w:val="24"/>
        </w:rPr>
      </w:pPr>
    </w:p>
    <w:sectPr w:rsidR="006B3ACC" w:rsidRPr="0019102D" w:rsidSect="0019102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D3" w:rsidRDefault="004263D3">
      <w:pPr>
        <w:spacing w:after="0" w:line="240" w:lineRule="auto"/>
      </w:pPr>
      <w:r>
        <w:separator/>
      </w:r>
    </w:p>
  </w:endnote>
  <w:endnote w:type="continuationSeparator" w:id="0">
    <w:p w:rsidR="004263D3" w:rsidRDefault="0042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2A" w:rsidRDefault="00EB6C2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CC" w:rsidRDefault="006B3ACC">
    <w:pPr>
      <w:pBdr>
        <w:top w:val="nil"/>
        <w:left w:val="nil"/>
        <w:bottom w:val="nil"/>
        <w:right w:val="nil"/>
        <w:between w:val="nil"/>
      </w:pBdr>
      <w:tabs>
        <w:tab w:val="center" w:pos="4153"/>
        <w:tab w:val="right" w:pos="8306"/>
        <w:tab w:val="right" w:pos="9015"/>
      </w:tabs>
      <w:spacing w:after="0" w:line="240" w:lineRule="auto"/>
      <w:ind w:left="-483" w:right="-709"/>
      <w:jc w:val="center"/>
      <w:rPr>
        <w:rFonts w:ascii="Tahoma" w:eastAsia="Tahoma" w:hAnsi="Tahoma" w:cs="Tahoma"/>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2A" w:rsidRDefault="00EB6C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D3" w:rsidRDefault="004263D3">
      <w:pPr>
        <w:spacing w:after="0" w:line="240" w:lineRule="auto"/>
      </w:pPr>
      <w:r>
        <w:separator/>
      </w:r>
    </w:p>
  </w:footnote>
  <w:footnote w:type="continuationSeparator" w:id="0">
    <w:p w:rsidR="004263D3" w:rsidRDefault="00426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2A" w:rsidRDefault="00EB6C2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CC" w:rsidRPr="00EB6C2A" w:rsidRDefault="006B3ACC" w:rsidP="00EB6C2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2A" w:rsidRDefault="00EB6C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7ED8"/>
    <w:multiLevelType w:val="multilevel"/>
    <w:tmpl w:val="1520D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CC"/>
    <w:rsid w:val="0019102D"/>
    <w:rsid w:val="001D5704"/>
    <w:rsid w:val="004263D3"/>
    <w:rsid w:val="00471694"/>
    <w:rsid w:val="00590777"/>
    <w:rsid w:val="005E48C9"/>
    <w:rsid w:val="006B3ACC"/>
    <w:rsid w:val="008C402B"/>
    <w:rsid w:val="008D4A8B"/>
    <w:rsid w:val="00A24C3E"/>
    <w:rsid w:val="00AF6B5F"/>
    <w:rsid w:val="00B07572"/>
    <w:rsid w:val="00D15E6E"/>
    <w:rsid w:val="00D94800"/>
    <w:rsid w:val="00EB6C2A"/>
    <w:rsid w:val="00F352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35295"/>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35295"/>
    <w:rPr>
      <w:rFonts w:ascii="Tahoma" w:hAnsi="Tahoma" w:cs="Tahoma"/>
      <w:sz w:val="18"/>
      <w:szCs w:val="18"/>
    </w:rPr>
  </w:style>
  <w:style w:type="paragraph" w:styleId="a7">
    <w:name w:val="header"/>
    <w:basedOn w:val="a"/>
    <w:link w:val="a8"/>
    <w:uiPriority w:val="99"/>
    <w:unhideWhenUsed/>
    <w:rsid w:val="0019102D"/>
    <w:pPr>
      <w:tabs>
        <w:tab w:val="center" w:pos="4153"/>
        <w:tab w:val="right" w:pos="8306"/>
      </w:tabs>
      <w:spacing w:after="0" w:line="240" w:lineRule="auto"/>
    </w:pPr>
  </w:style>
  <w:style w:type="character" w:customStyle="1" w:styleId="a8">
    <w:name w:val="כותרת עליונה תו"/>
    <w:basedOn w:val="a0"/>
    <w:link w:val="a7"/>
    <w:uiPriority w:val="99"/>
    <w:rsid w:val="0019102D"/>
  </w:style>
  <w:style w:type="paragraph" w:styleId="a9">
    <w:name w:val="footer"/>
    <w:basedOn w:val="a"/>
    <w:link w:val="aa"/>
    <w:uiPriority w:val="99"/>
    <w:unhideWhenUsed/>
    <w:rsid w:val="0019102D"/>
    <w:pPr>
      <w:tabs>
        <w:tab w:val="center" w:pos="4153"/>
        <w:tab w:val="right" w:pos="8306"/>
      </w:tabs>
      <w:spacing w:after="0" w:line="240" w:lineRule="auto"/>
    </w:pPr>
  </w:style>
  <w:style w:type="character" w:customStyle="1" w:styleId="aa">
    <w:name w:val="כותרת תחתונה תו"/>
    <w:basedOn w:val="a0"/>
    <w:link w:val="a9"/>
    <w:uiPriority w:val="99"/>
    <w:rsid w:val="0019102D"/>
  </w:style>
  <w:style w:type="character" w:styleId="Hyperlink">
    <w:name w:val="Hyperlink"/>
    <w:basedOn w:val="a0"/>
    <w:uiPriority w:val="99"/>
    <w:unhideWhenUsed/>
    <w:rsid w:val="00D15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evo.co.il/law_html/law01/p220k3_004.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2675</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2023-11-01T13:07:00Z</dcterms:created>
  <dcterms:modified xsi:type="dcterms:W3CDTF">2023-11-01T13:11:00Z</dcterms:modified>
</cp:coreProperties>
</file>