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b/>
                <w:bCs/>
                <w:sz w:val="24"/>
                <w:szCs w:val="24"/>
                <w:rtl/>
              </w:rPr>
            </w:pPr>
            <w:r w:rsidRPr="00202530">
              <w:rPr>
                <w:b/>
                <w:bCs/>
                <w:sz w:val="24"/>
                <w:szCs w:val="24"/>
                <w:rtl/>
              </w:rPr>
              <w:t>בנק ישראל</w:t>
            </w:r>
          </w:p>
          <w:p w:rsidR="009005BA" w:rsidRPr="00202530" w:rsidRDefault="009005BA" w:rsidP="0029736D">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pPr>
            <w:r w:rsidRPr="00202530">
              <w:rPr>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202530" w:rsidRDefault="009005BA" w:rsidP="009005BA">
            <w:pPr>
              <w:jc w:val="right"/>
              <w:rPr>
                <w:rtl/>
              </w:rPr>
            </w:pPr>
            <w:r w:rsidRPr="00202530">
              <w:rPr>
                <w:highlight w:val="green"/>
                <w:rtl/>
              </w:rPr>
              <w:t>‏</w:t>
            </w:r>
            <w:r w:rsidRPr="00202530">
              <w:rPr>
                <w:rtl/>
              </w:rPr>
              <w:t xml:space="preserve">ירושלים, </w:t>
            </w:r>
            <w:r w:rsidRPr="00202530">
              <w:rPr>
                <w:rtl/>
              </w:rPr>
              <w:fldChar w:fldCharType="begin"/>
            </w:r>
            <w:r w:rsidRPr="00202530">
              <w:rPr>
                <w:rtl/>
              </w:rPr>
              <w:instrText xml:space="preserve"> </w:instrText>
            </w:r>
            <w:r w:rsidRPr="00202530">
              <w:instrText>DATE</w:instrText>
            </w:r>
            <w:r w:rsidRPr="00202530">
              <w:rPr>
                <w:rtl/>
              </w:rPr>
              <w:instrText xml:space="preserve"> \@ "</w:instrText>
            </w:r>
            <w:r w:rsidRPr="00202530">
              <w:instrText>d MMMM, yyyy" \h</w:instrText>
            </w:r>
            <w:r w:rsidRPr="00202530">
              <w:rPr>
                <w:rtl/>
              </w:rPr>
              <w:instrText xml:space="preserve"> </w:instrText>
            </w:r>
            <w:r w:rsidRPr="00202530">
              <w:rPr>
                <w:rtl/>
              </w:rPr>
              <w:fldChar w:fldCharType="separate"/>
            </w:r>
            <w:r w:rsidR="00674571">
              <w:rPr>
                <w:noProof/>
                <w:rtl/>
              </w:rPr>
              <w:t>‏ט' ניסן, תשפ"ה</w:t>
            </w:r>
            <w:r w:rsidRPr="00202530">
              <w:rPr>
                <w:rtl/>
              </w:rPr>
              <w:fldChar w:fldCharType="end"/>
            </w:r>
          </w:p>
          <w:p w:rsidR="009005BA" w:rsidRPr="00202530" w:rsidRDefault="009005BA" w:rsidP="009005BA">
            <w:pPr>
              <w:jc w:val="right"/>
              <w:rPr>
                <w:highlight w:val="green"/>
              </w:rPr>
            </w:pPr>
            <w:r w:rsidRPr="00202530">
              <w:rPr>
                <w:rtl/>
              </w:rPr>
              <w:fldChar w:fldCharType="begin"/>
            </w:r>
            <w:r w:rsidRPr="00202530">
              <w:rPr>
                <w:rtl/>
              </w:rPr>
              <w:instrText xml:space="preserve"> </w:instrText>
            </w:r>
            <w:r w:rsidRPr="00202530">
              <w:instrText>DATE</w:instrText>
            </w:r>
            <w:r w:rsidRPr="00202530">
              <w:rPr>
                <w:rtl/>
              </w:rPr>
              <w:instrText xml:space="preserve"> \@ "</w:instrText>
            </w:r>
            <w:r w:rsidRPr="00202530">
              <w:instrText>d MMMM, yyyy</w:instrText>
            </w:r>
            <w:r w:rsidRPr="00202530">
              <w:rPr>
                <w:rtl/>
              </w:rPr>
              <w:instrText xml:space="preserve">" </w:instrText>
            </w:r>
            <w:r w:rsidRPr="00202530">
              <w:rPr>
                <w:rtl/>
              </w:rPr>
              <w:fldChar w:fldCharType="separate"/>
            </w:r>
            <w:r w:rsidR="00674571">
              <w:rPr>
                <w:noProof/>
                <w:rtl/>
              </w:rPr>
              <w:t>‏7 אפריל, 2025</w:t>
            </w:r>
            <w:r w:rsidRPr="00202530">
              <w:rPr>
                <w:rtl/>
              </w:rPr>
              <w:fldChar w:fldCharType="end"/>
            </w:r>
          </w:p>
        </w:tc>
      </w:tr>
    </w:tbl>
    <w:p w:rsidR="009005BA" w:rsidRPr="00202530" w:rsidRDefault="009005BA" w:rsidP="007B0741">
      <w:pPr>
        <w:tabs>
          <w:tab w:val="left" w:pos="2315"/>
        </w:tabs>
        <w:rPr>
          <w:sz w:val="24"/>
          <w:szCs w:val="24"/>
          <w:rtl/>
        </w:rPr>
      </w:pPr>
    </w:p>
    <w:p w:rsidR="00D66255" w:rsidRPr="00202530" w:rsidRDefault="008E761A" w:rsidP="009005BA">
      <w:pPr>
        <w:tabs>
          <w:tab w:val="left" w:pos="2315"/>
        </w:tabs>
        <w:rPr>
          <w:sz w:val="24"/>
          <w:szCs w:val="24"/>
          <w:rtl/>
        </w:rPr>
      </w:pPr>
      <w:r w:rsidRPr="00202530">
        <w:rPr>
          <w:sz w:val="24"/>
          <w:szCs w:val="24"/>
          <w:rtl/>
        </w:rPr>
        <w:t>הודעה לעיתונות:</w:t>
      </w:r>
    </w:p>
    <w:p w:rsidR="00202530" w:rsidRPr="00202530" w:rsidRDefault="00202530" w:rsidP="00202530">
      <w:pPr>
        <w:pStyle w:val="afb"/>
        <w:rPr>
          <w:rFonts w:ascii="Calibri" w:hAnsi="Calibri" w:cs="Calibri"/>
          <w:rtl/>
        </w:rPr>
      </w:pPr>
      <w:bookmarkStart w:id="0" w:name="_GoBack"/>
      <w:r w:rsidRPr="00202530">
        <w:rPr>
          <w:rFonts w:ascii="Calibri" w:hAnsi="Calibri" w:cs="Calibri"/>
          <w:rtl/>
        </w:rPr>
        <w:t xml:space="preserve">התחזית המקרו-כלכלית של חטיבת המחקר, </w:t>
      </w:r>
      <w:r w:rsidR="00D0016C" w:rsidRPr="00D0016C">
        <w:rPr>
          <w:rFonts w:ascii="Calibri" w:hAnsi="Calibri" w:cs="Calibri"/>
          <w:rtl/>
        </w:rPr>
        <w:t>אפריל</w:t>
      </w:r>
      <w:r w:rsidRPr="00202530">
        <w:rPr>
          <w:rFonts w:ascii="Calibri" w:hAnsi="Calibri" w:cs="Calibri"/>
          <w:rtl/>
        </w:rPr>
        <w:t xml:space="preserve"> 2025</w:t>
      </w:r>
    </w:p>
    <w:bookmarkEnd w:id="0"/>
    <w:p w:rsidR="00202530" w:rsidRPr="00202530" w:rsidRDefault="00202530" w:rsidP="00202530">
      <w:pPr>
        <w:pStyle w:val="11"/>
        <w:rPr>
          <w:rFonts w:ascii="Calibri" w:hAnsi="Calibri" w:cs="Calibri"/>
        </w:rPr>
      </w:pPr>
      <w:r w:rsidRPr="00202530">
        <w:rPr>
          <w:rFonts w:ascii="Calibri" w:hAnsi="Calibri" w:cs="Calibri"/>
          <w:rtl/>
        </w:rPr>
        <w:t>תמצית</w:t>
      </w:r>
    </w:p>
    <w:p w:rsidR="00202296" w:rsidRPr="00202296" w:rsidRDefault="00202296" w:rsidP="00D25954">
      <w:pPr>
        <w:spacing w:after="120"/>
        <w:jc w:val="both"/>
        <w:rPr>
          <w:rFonts w:eastAsia="Calibri"/>
          <w:rtl/>
        </w:rPr>
      </w:pPr>
      <w:r w:rsidRPr="00202296">
        <w:rPr>
          <w:rFonts w:eastAsia="Calibri"/>
          <w:rtl/>
        </w:rPr>
        <w:t>מסמך זה מציג את התחזית המקרו-כלכלית שחטיבת המחקר בבנק ישראל גיבשה באפריל 2025 בנוגע למשתני המקרו העיקריים – התוצר, האינפלציה והריבית</w:t>
      </w:r>
      <w:r w:rsidR="00202530" w:rsidRPr="00202530">
        <w:rPr>
          <w:rFonts w:eastAsia="Calibri"/>
          <w:rtl/>
        </w:rPr>
        <w:t>.</w:t>
      </w:r>
      <w:r w:rsidR="00202530" w:rsidRPr="00202530">
        <w:rPr>
          <w:rFonts w:eastAsia="Calibri"/>
          <w:vertAlign w:val="superscript"/>
          <w:rtl/>
        </w:rPr>
        <w:footnoteReference w:id="1"/>
      </w:r>
      <w:r w:rsidR="00202530" w:rsidRPr="00202530">
        <w:rPr>
          <w:rFonts w:eastAsia="Calibri"/>
          <w:rtl/>
        </w:rPr>
        <w:t xml:space="preserve"> </w:t>
      </w:r>
      <w:r w:rsidRPr="00202296">
        <w:rPr>
          <w:rFonts w:eastAsia="Calibri"/>
          <w:rtl/>
        </w:rPr>
        <w:t>על פי התרחיש הבסיסי של התחזית, התוצר צפוי לצמוח בשנת 2025 ב-</w:t>
      </w:r>
      <w:r w:rsidR="00D25954">
        <w:rPr>
          <w:rFonts w:eastAsia="Calibri" w:hint="cs"/>
          <w:rtl/>
        </w:rPr>
        <w:t>3.5</w:t>
      </w:r>
      <w:r w:rsidRPr="00202296">
        <w:rPr>
          <w:rFonts w:eastAsia="Calibri"/>
          <w:rtl/>
        </w:rPr>
        <w:t>% וב-2026 ב-4.</w:t>
      </w:r>
      <w:r w:rsidR="00D25954">
        <w:rPr>
          <w:rFonts w:eastAsia="Calibri" w:hint="cs"/>
          <w:rtl/>
        </w:rPr>
        <w:t>0</w:t>
      </w:r>
      <w:r w:rsidRPr="00202296">
        <w:rPr>
          <w:rFonts w:eastAsia="Calibri"/>
          <w:rtl/>
        </w:rPr>
        <w:t>%. שיעור האינפלציה בארבעת הרבעונים הקרובים (המסתיימים ברבעון הראשון של שנת 2026) צפוי לעמוד על 2.</w:t>
      </w:r>
      <w:r w:rsidR="00D25954">
        <w:rPr>
          <w:rFonts w:eastAsia="Calibri" w:hint="cs"/>
          <w:rtl/>
        </w:rPr>
        <w:t>5</w:t>
      </w:r>
      <w:r w:rsidRPr="00202296">
        <w:rPr>
          <w:rFonts w:eastAsia="Calibri"/>
          <w:rtl/>
        </w:rPr>
        <w:t>%. במהלך שנת 2025 הוא צפוי לעמוד על 2.</w:t>
      </w:r>
      <w:r w:rsidR="00D25954">
        <w:rPr>
          <w:rFonts w:eastAsia="Calibri" w:hint="cs"/>
          <w:rtl/>
        </w:rPr>
        <w:t>6</w:t>
      </w:r>
      <w:r w:rsidRPr="00202296">
        <w:rPr>
          <w:rFonts w:eastAsia="Calibri"/>
          <w:rtl/>
        </w:rPr>
        <w:t xml:space="preserve">% ובמהלך שנת 2026 על 2.2%. רמת הריבית ברבעון הראשון של 2026 צפויה לעמוד בממוצע על 4.0%. </w:t>
      </w:r>
    </w:p>
    <w:p w:rsidR="00202530" w:rsidRPr="00202530" w:rsidRDefault="00202296" w:rsidP="007625DA">
      <w:pPr>
        <w:spacing w:after="120"/>
        <w:jc w:val="both"/>
        <w:rPr>
          <w:rFonts w:eastAsia="Calibri"/>
          <w:rtl/>
        </w:rPr>
      </w:pPr>
      <w:r w:rsidRPr="00202296">
        <w:rPr>
          <w:rFonts w:eastAsia="Calibri"/>
          <w:rtl/>
        </w:rPr>
        <w:t xml:space="preserve">התחזית גובשה תחת ההנחה שהתחדשות הלחימה בעזה לא תגלוש מעבר לרבעון השני של 2025 ובתוך תקופה זו לא תתבטא במגבלות פעילות </w:t>
      </w:r>
      <w:r w:rsidR="00BB18E8">
        <w:rPr>
          <w:rFonts w:eastAsia="Calibri" w:hint="cs"/>
          <w:rtl/>
        </w:rPr>
        <w:t>חמורות</w:t>
      </w:r>
      <w:r w:rsidRPr="00202296">
        <w:rPr>
          <w:rFonts w:eastAsia="Calibri"/>
          <w:rtl/>
        </w:rPr>
        <w:t xml:space="preserve"> על העורף (</w:t>
      </w:r>
      <w:r w:rsidR="00C46113">
        <w:rPr>
          <w:rFonts w:eastAsia="Calibri" w:hint="cs"/>
          <w:rtl/>
        </w:rPr>
        <w:t>בניגוד למה</w:t>
      </w:r>
      <w:r w:rsidRPr="00202296">
        <w:rPr>
          <w:rFonts w:eastAsia="Calibri"/>
          <w:rtl/>
        </w:rPr>
        <w:t xml:space="preserve"> שהיה בתחילת המלחמה). </w:t>
      </w:r>
      <w:r w:rsidR="00D25954">
        <w:rPr>
          <w:rFonts w:eastAsia="Calibri" w:hint="cs"/>
          <w:rtl/>
        </w:rPr>
        <w:t>בנוסף, התחזית כוללת הערכות לגבי ההשפעה של מכסי</w:t>
      </w:r>
      <w:r w:rsidR="00430A11">
        <w:rPr>
          <w:rFonts w:eastAsia="Calibri" w:hint="cs"/>
          <w:rtl/>
        </w:rPr>
        <w:t xml:space="preserve"> הייבוא</w:t>
      </w:r>
      <w:r w:rsidR="00D25954">
        <w:rPr>
          <w:rFonts w:eastAsia="Calibri" w:hint="cs"/>
          <w:rtl/>
        </w:rPr>
        <w:t xml:space="preserve"> </w:t>
      </w:r>
      <w:r w:rsidR="00BB18E8">
        <w:rPr>
          <w:rFonts w:eastAsia="Calibri" w:hint="cs"/>
          <w:rtl/>
        </w:rPr>
        <w:t>עליהן הודיעה</w:t>
      </w:r>
      <w:r w:rsidR="00430A11">
        <w:rPr>
          <w:rFonts w:eastAsia="Calibri" w:hint="cs"/>
          <w:rtl/>
        </w:rPr>
        <w:t xml:space="preserve"> ארה"ב</w:t>
      </w:r>
      <w:r w:rsidR="00BB18E8">
        <w:rPr>
          <w:rFonts w:eastAsia="Calibri" w:hint="cs"/>
          <w:rtl/>
        </w:rPr>
        <w:t xml:space="preserve"> ב-2 באפריל</w:t>
      </w:r>
      <w:r w:rsidR="00235A43">
        <w:rPr>
          <w:rFonts w:eastAsia="Calibri" w:hint="cs"/>
          <w:rtl/>
        </w:rPr>
        <w:t xml:space="preserve"> 2025</w:t>
      </w:r>
      <w:r w:rsidR="00D25954">
        <w:rPr>
          <w:rFonts w:eastAsia="Calibri" w:hint="cs"/>
          <w:rtl/>
        </w:rPr>
        <w:t xml:space="preserve">. הנחת העבודה שעומדת בבסיס התחזית היא </w:t>
      </w:r>
      <w:r w:rsidR="00C46113">
        <w:rPr>
          <w:rFonts w:eastAsia="Calibri" w:hint="cs"/>
          <w:rtl/>
        </w:rPr>
        <w:t>שהעלאת ה</w:t>
      </w:r>
      <w:r w:rsidR="00BB18E8">
        <w:rPr>
          <w:rFonts w:eastAsia="Calibri" w:hint="cs"/>
          <w:rtl/>
        </w:rPr>
        <w:t>מכסים</w:t>
      </w:r>
      <w:r w:rsidR="00D25954">
        <w:rPr>
          <w:rFonts w:eastAsia="Calibri" w:hint="cs"/>
          <w:rtl/>
        </w:rPr>
        <w:t xml:space="preserve"> בעולם </w:t>
      </w:r>
      <w:r w:rsidR="00C46113">
        <w:rPr>
          <w:rFonts w:eastAsia="Calibri" w:hint="cs"/>
          <w:rtl/>
        </w:rPr>
        <w:t>ת</w:t>
      </w:r>
      <w:r w:rsidR="00D25954">
        <w:rPr>
          <w:rFonts w:eastAsia="Calibri" w:hint="cs"/>
          <w:rtl/>
        </w:rPr>
        <w:t>וביל לירידה של 4% ב</w:t>
      </w:r>
      <w:r w:rsidR="00C46113">
        <w:rPr>
          <w:rFonts w:eastAsia="Calibri" w:hint="cs"/>
          <w:rtl/>
        </w:rPr>
        <w:t>היקף</w:t>
      </w:r>
      <w:r w:rsidR="00D25954">
        <w:rPr>
          <w:rFonts w:eastAsia="Calibri" w:hint="cs"/>
          <w:rtl/>
        </w:rPr>
        <w:t xml:space="preserve"> הסחר העולמי </w:t>
      </w:r>
      <w:r w:rsidR="00496BE1">
        <w:rPr>
          <w:rFonts w:eastAsia="Calibri" w:hint="cs"/>
          <w:rtl/>
        </w:rPr>
        <w:t>עד סוף שנת 2026</w:t>
      </w:r>
      <w:r w:rsidR="00D61A22">
        <w:rPr>
          <w:rFonts w:eastAsia="Calibri" w:hint="cs"/>
          <w:rtl/>
        </w:rPr>
        <w:t xml:space="preserve"> (ביחס </w:t>
      </w:r>
      <w:r w:rsidR="00EB1168">
        <w:rPr>
          <w:rFonts w:eastAsia="Calibri" w:hint="cs"/>
          <w:rtl/>
        </w:rPr>
        <w:t>למצב ללא מכסים</w:t>
      </w:r>
      <w:r w:rsidR="00D61A22">
        <w:rPr>
          <w:rFonts w:eastAsia="Calibri" w:hint="cs"/>
          <w:rtl/>
        </w:rPr>
        <w:t>)</w:t>
      </w:r>
      <w:r w:rsidR="00D25954">
        <w:rPr>
          <w:rFonts w:eastAsia="Calibri" w:hint="cs"/>
          <w:rtl/>
        </w:rPr>
        <w:t xml:space="preserve">. </w:t>
      </w:r>
      <w:r w:rsidR="00D25954" w:rsidRPr="00D25954">
        <w:rPr>
          <w:rFonts w:eastAsia="Calibri"/>
          <w:rtl/>
        </w:rPr>
        <w:t>התחזית מאופיינת ברמה גבוהה במיוחד של אי</w:t>
      </w:r>
      <w:r w:rsidR="00D61A22">
        <w:rPr>
          <w:rFonts w:eastAsia="Calibri" w:hint="cs"/>
          <w:rtl/>
        </w:rPr>
        <w:t>-</w:t>
      </w:r>
      <w:r w:rsidR="00D25954" w:rsidRPr="00D25954">
        <w:rPr>
          <w:rFonts w:eastAsia="Calibri"/>
          <w:rtl/>
        </w:rPr>
        <w:t xml:space="preserve">ודאות, </w:t>
      </w:r>
      <w:r w:rsidR="007625DA">
        <w:rPr>
          <w:rFonts w:eastAsia="Calibri" w:hint="cs"/>
          <w:rtl/>
        </w:rPr>
        <w:t xml:space="preserve">על רקע </w:t>
      </w:r>
      <w:r w:rsidR="00D61A22">
        <w:rPr>
          <w:rFonts w:eastAsia="Calibri" w:hint="cs"/>
          <w:rtl/>
        </w:rPr>
        <w:t xml:space="preserve">אי-הוודאות לגבי </w:t>
      </w:r>
      <w:r w:rsidR="00C46113">
        <w:rPr>
          <w:rFonts w:eastAsia="Calibri" w:hint="cs"/>
          <w:rtl/>
        </w:rPr>
        <w:t>ה</w:t>
      </w:r>
      <w:r w:rsidR="00D61A22">
        <w:rPr>
          <w:rFonts w:eastAsia="Calibri" w:hint="cs"/>
          <w:rtl/>
        </w:rPr>
        <w:t>היקף ו</w:t>
      </w:r>
      <w:r w:rsidR="00C46113">
        <w:rPr>
          <w:rFonts w:eastAsia="Calibri" w:hint="cs"/>
          <w:rtl/>
        </w:rPr>
        <w:t>ה</w:t>
      </w:r>
      <w:r w:rsidR="00D61A22">
        <w:rPr>
          <w:rFonts w:eastAsia="Calibri" w:hint="cs"/>
          <w:rtl/>
        </w:rPr>
        <w:t>השפעות של מלחמת הסחר המתפתחת בעולם</w:t>
      </w:r>
      <w:r w:rsidR="00D25954">
        <w:rPr>
          <w:rFonts w:eastAsia="Calibri" w:hint="cs"/>
          <w:rtl/>
        </w:rPr>
        <w:t xml:space="preserve"> </w:t>
      </w:r>
      <w:r w:rsidR="007625DA">
        <w:rPr>
          <w:rFonts w:eastAsia="Calibri" w:hint="cs"/>
          <w:rtl/>
        </w:rPr>
        <w:t xml:space="preserve">ועל רקע </w:t>
      </w:r>
      <w:r w:rsidR="00D25954">
        <w:rPr>
          <w:rFonts w:eastAsia="Calibri" w:hint="cs"/>
          <w:rtl/>
        </w:rPr>
        <w:t>האפשרות</w:t>
      </w:r>
      <w:r w:rsidR="00D25954" w:rsidRPr="00D25954">
        <w:rPr>
          <w:rFonts w:eastAsia="Calibri"/>
          <w:rtl/>
        </w:rPr>
        <w:t xml:space="preserve"> לתרחישים ביטחוניים ח</w:t>
      </w:r>
      <w:r w:rsidR="00D61A22">
        <w:rPr>
          <w:rFonts w:eastAsia="Calibri"/>
          <w:rtl/>
        </w:rPr>
        <w:t>מורים יותר מאלו שמגולמים בתחזית</w:t>
      </w:r>
      <w:r w:rsidR="00D25954" w:rsidRPr="00D25954">
        <w:rPr>
          <w:rFonts w:eastAsia="Calibri"/>
          <w:rtl/>
        </w:rPr>
        <w:t>.</w:t>
      </w:r>
      <w:r w:rsidRPr="00202296">
        <w:rPr>
          <w:rFonts w:eastAsia="Calibri"/>
          <w:rtl/>
        </w:rPr>
        <w:t xml:space="preserve"> להערכתנו, הסיכונים לתחזית הצמיחה נוטים כלפי מטה והסיכונים לתחזית האינפלציה, הריבית והגרעון נוטים כלפי מעלה.</w:t>
      </w:r>
    </w:p>
    <w:p w:rsidR="00202530" w:rsidRPr="00202530" w:rsidRDefault="00202530" w:rsidP="00202530">
      <w:pPr>
        <w:pStyle w:val="11"/>
        <w:rPr>
          <w:rFonts w:ascii="Calibri" w:hAnsi="Calibri" w:cs="Calibri"/>
          <w:rtl/>
        </w:rPr>
      </w:pPr>
      <w:r w:rsidRPr="00202530">
        <w:rPr>
          <w:rFonts w:ascii="Calibri" w:hAnsi="Calibri" w:cs="Calibri"/>
          <w:rtl/>
        </w:rPr>
        <w:t>התחזית</w:t>
      </w:r>
    </w:p>
    <w:p w:rsidR="00202530" w:rsidRPr="00202530" w:rsidRDefault="00202296" w:rsidP="00BB18E8">
      <w:pPr>
        <w:spacing w:after="120"/>
        <w:jc w:val="both"/>
        <w:rPr>
          <w:rFonts w:eastAsia="Calibri"/>
        </w:rPr>
      </w:pPr>
      <w:r w:rsidRPr="00202296">
        <w:rPr>
          <w:rFonts w:eastAsia="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296">
        <w:rPr>
          <w:rFonts w:eastAsia="Calibri"/>
        </w:rPr>
        <w:t>DSGE (Dynamic Stochastic General Equilibrium)</w:t>
      </w:r>
      <w:r w:rsidRPr="00202296">
        <w:rPr>
          <w:rFonts w:eastAsia="Calibri"/>
          <w:rtl/>
        </w:rPr>
        <w:t xml:space="preserve"> שפותח בחטיבת המחקר – מודל מבני שמבוסס על יסודות מיקרו-כלכליים. 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w:t>
      </w:r>
      <w:r w:rsidR="00202530" w:rsidRPr="00202530">
        <w:rPr>
          <w:rFonts w:eastAsia="Calibri"/>
          <w:rtl/>
        </w:rPr>
        <w:t xml:space="preserve"> </w:t>
      </w:r>
    </w:p>
    <w:p w:rsidR="00202530" w:rsidRPr="00153AEE" w:rsidRDefault="00202530" w:rsidP="00153AEE">
      <w:pPr>
        <w:pStyle w:val="a"/>
        <w:rPr>
          <w:rtl/>
        </w:rPr>
      </w:pPr>
      <w:r w:rsidRPr="00153AEE">
        <w:rPr>
          <w:rtl/>
        </w:rPr>
        <w:t>הסביבה העולמית</w:t>
      </w:r>
    </w:p>
    <w:p w:rsidR="00A37310" w:rsidRPr="00496BE1" w:rsidRDefault="00202296" w:rsidP="00FC04DD">
      <w:pPr>
        <w:spacing w:after="360"/>
        <w:jc w:val="both"/>
        <w:rPr>
          <w:rFonts w:eastAsia="Calibri"/>
        </w:rPr>
      </w:pPr>
      <w:r w:rsidRPr="00202296">
        <w:rPr>
          <w:rFonts w:eastAsia="Calibri"/>
          <w:rtl/>
        </w:rPr>
        <w:t>הערכותינו לגבי ההתפתחויות בסביבה העולמית מתבססות בעיקרן על התחזיות שמגבשים מוסדות בין-לאומיים ובתי השקעות זרים</w:t>
      </w:r>
      <w:r w:rsidRPr="009F7582">
        <w:rPr>
          <w:rFonts w:eastAsia="Calibri"/>
          <w:color w:val="000000" w:themeColor="text1"/>
          <w:rtl/>
        </w:rPr>
        <w:t xml:space="preserve">. </w:t>
      </w:r>
      <w:r w:rsidR="00A63AD0">
        <w:rPr>
          <w:rFonts w:eastAsia="Calibri" w:hint="cs"/>
          <w:color w:val="000000" w:themeColor="text1"/>
          <w:rtl/>
        </w:rPr>
        <w:t>בפרט, הסתייענו בניתוחים ש</w:t>
      </w:r>
      <w:r w:rsidR="00430A11">
        <w:rPr>
          <w:rFonts w:eastAsia="Calibri" w:hint="cs"/>
          <w:color w:val="000000" w:themeColor="text1"/>
          <w:rtl/>
        </w:rPr>
        <w:t xml:space="preserve">ל גופים אלו </w:t>
      </w:r>
      <w:r w:rsidR="00A63AD0">
        <w:rPr>
          <w:rFonts w:eastAsia="Calibri" w:hint="cs"/>
          <w:color w:val="000000" w:themeColor="text1"/>
          <w:rtl/>
        </w:rPr>
        <w:t>על מנת להעריך את ההשפעה הגלובלית של הטלת מכסי היבוא בארה"ב וב</w:t>
      </w:r>
      <w:r w:rsidR="00496BE1">
        <w:rPr>
          <w:rFonts w:eastAsia="Calibri" w:hint="cs"/>
          <w:color w:val="000000" w:themeColor="text1"/>
          <w:rtl/>
        </w:rPr>
        <w:t>תגובה לכך גם ב</w:t>
      </w:r>
      <w:r w:rsidR="00A63AD0">
        <w:rPr>
          <w:rFonts w:eastAsia="Calibri" w:hint="cs"/>
          <w:color w:val="000000" w:themeColor="text1"/>
          <w:rtl/>
        </w:rPr>
        <w:t xml:space="preserve">מדינות נוספות. </w:t>
      </w:r>
      <w:r w:rsidRPr="00202296">
        <w:rPr>
          <w:rFonts w:eastAsia="Calibri"/>
          <w:rtl/>
        </w:rPr>
        <w:t xml:space="preserve">בהתאם, אנו מניחים כי האינפלציה במדינות המפותחות תעמוד על </w:t>
      </w:r>
      <w:r w:rsidR="006119E5">
        <w:rPr>
          <w:rFonts w:eastAsia="Calibri" w:hint="cs"/>
          <w:rtl/>
        </w:rPr>
        <w:t>3.2</w:t>
      </w:r>
      <w:r w:rsidRPr="00202296">
        <w:rPr>
          <w:rFonts w:eastAsia="Calibri"/>
          <w:rtl/>
        </w:rPr>
        <w:t>% ו-</w:t>
      </w:r>
      <w:r w:rsidR="006119E5">
        <w:rPr>
          <w:rFonts w:eastAsia="Calibri" w:hint="cs"/>
          <w:rtl/>
        </w:rPr>
        <w:t>3.1</w:t>
      </w:r>
      <w:r w:rsidRPr="00202296">
        <w:rPr>
          <w:rFonts w:eastAsia="Calibri"/>
          <w:rtl/>
        </w:rPr>
        <w:t xml:space="preserve">% בשנים 2025 ו-2026, בהתאמה, (לעומת 2.3% ו-2.2% בתחזית ינואר), התוצר </w:t>
      </w:r>
      <w:r w:rsidR="00496BE1">
        <w:rPr>
          <w:rFonts w:eastAsia="Calibri" w:hint="cs"/>
          <w:rtl/>
        </w:rPr>
        <w:t xml:space="preserve">של מדינות אלו </w:t>
      </w:r>
      <w:r w:rsidRPr="00202296">
        <w:rPr>
          <w:rFonts w:eastAsia="Calibri"/>
          <w:rtl/>
        </w:rPr>
        <w:t>יצמח בשיעורים של 1.</w:t>
      </w:r>
      <w:r w:rsidR="006119E5">
        <w:rPr>
          <w:rFonts w:eastAsia="Calibri" w:hint="cs"/>
          <w:rtl/>
        </w:rPr>
        <w:t>0</w:t>
      </w:r>
      <w:r w:rsidRPr="00202296">
        <w:rPr>
          <w:rFonts w:eastAsia="Calibri"/>
          <w:rtl/>
        </w:rPr>
        <w:t>% ו-1.</w:t>
      </w:r>
      <w:r w:rsidR="006119E5">
        <w:rPr>
          <w:rFonts w:eastAsia="Calibri" w:hint="cs"/>
          <w:rtl/>
        </w:rPr>
        <w:t>2</w:t>
      </w:r>
      <w:r w:rsidRPr="00202296">
        <w:rPr>
          <w:rFonts w:eastAsia="Calibri"/>
          <w:rtl/>
        </w:rPr>
        <w:t>% באותן שנים (בהשוואה ל-1.5% ו-1.6% בתחזית ינואר) והריבית תעמוד על 3.</w:t>
      </w:r>
      <w:r w:rsidR="006119E5">
        <w:rPr>
          <w:rFonts w:eastAsia="Calibri" w:hint="cs"/>
          <w:rtl/>
        </w:rPr>
        <w:t>3</w:t>
      </w:r>
      <w:r w:rsidRPr="00202296">
        <w:rPr>
          <w:rFonts w:eastAsia="Calibri"/>
          <w:rtl/>
        </w:rPr>
        <w:t>% ו-2.9% בשנים אלו (לעומת 2.9% ו-2.8% בתחזית ינואר</w:t>
      </w:r>
      <w:r w:rsidRPr="009F7582">
        <w:rPr>
          <w:rFonts w:eastAsia="Calibri"/>
          <w:color w:val="000000" w:themeColor="text1"/>
          <w:rtl/>
        </w:rPr>
        <w:t>). אשר ליבוא המדינות המפותחות, אנו מניחים כי הוא יצמח ב-</w:t>
      </w:r>
      <w:r w:rsidR="006119E5" w:rsidRPr="009F7582">
        <w:rPr>
          <w:rFonts w:eastAsia="Calibri" w:hint="cs"/>
          <w:color w:val="000000" w:themeColor="text1"/>
          <w:rtl/>
        </w:rPr>
        <w:t>0.</w:t>
      </w:r>
      <w:r w:rsidR="00C2155B" w:rsidRPr="009F7582">
        <w:rPr>
          <w:rFonts w:eastAsia="Calibri" w:hint="cs"/>
          <w:color w:val="000000" w:themeColor="text1"/>
          <w:rtl/>
        </w:rPr>
        <w:t>3</w:t>
      </w:r>
      <w:r w:rsidRPr="009F7582">
        <w:rPr>
          <w:rFonts w:eastAsia="Calibri"/>
          <w:color w:val="000000" w:themeColor="text1"/>
          <w:rtl/>
        </w:rPr>
        <w:t xml:space="preserve">% </w:t>
      </w:r>
      <w:r w:rsidR="00D61A22">
        <w:rPr>
          <w:rFonts w:eastAsia="Calibri" w:hint="cs"/>
          <w:color w:val="000000" w:themeColor="text1"/>
          <w:rtl/>
        </w:rPr>
        <w:t xml:space="preserve">בלבד </w:t>
      </w:r>
      <w:r w:rsidR="006119E5" w:rsidRPr="009F7582">
        <w:rPr>
          <w:rFonts w:eastAsia="Calibri" w:hint="cs"/>
          <w:color w:val="000000" w:themeColor="text1"/>
          <w:rtl/>
        </w:rPr>
        <w:t>בשנת 2025</w:t>
      </w:r>
      <w:r w:rsidRPr="009F7582">
        <w:rPr>
          <w:rFonts w:eastAsia="Calibri"/>
          <w:color w:val="000000" w:themeColor="text1"/>
          <w:rtl/>
        </w:rPr>
        <w:t xml:space="preserve"> ו</w:t>
      </w:r>
      <w:r w:rsidR="007479AE" w:rsidRPr="009F7582">
        <w:rPr>
          <w:rFonts w:eastAsia="Calibri" w:hint="cs"/>
          <w:color w:val="000000" w:themeColor="text1"/>
          <w:rtl/>
        </w:rPr>
        <w:t>יתכווץ ב-0.</w:t>
      </w:r>
      <w:r w:rsidR="00C2155B" w:rsidRPr="009F7582">
        <w:rPr>
          <w:rFonts w:eastAsia="Calibri" w:hint="cs"/>
          <w:color w:val="000000" w:themeColor="text1"/>
          <w:rtl/>
        </w:rPr>
        <w:t>7</w:t>
      </w:r>
      <w:r w:rsidR="007479AE" w:rsidRPr="009F7582">
        <w:rPr>
          <w:rFonts w:eastAsia="Calibri" w:hint="cs"/>
          <w:color w:val="000000" w:themeColor="text1"/>
          <w:rtl/>
        </w:rPr>
        <w:t xml:space="preserve">% בשנת </w:t>
      </w:r>
      <w:r w:rsidRPr="009F7582">
        <w:rPr>
          <w:rFonts w:eastAsia="Calibri"/>
          <w:color w:val="000000" w:themeColor="text1"/>
          <w:rtl/>
        </w:rPr>
        <w:t>2026</w:t>
      </w:r>
      <w:r w:rsidR="00496BE1">
        <w:rPr>
          <w:rFonts w:eastAsia="Calibri" w:hint="cs"/>
          <w:color w:val="000000" w:themeColor="text1"/>
          <w:rtl/>
        </w:rPr>
        <w:t xml:space="preserve"> </w:t>
      </w:r>
      <w:r w:rsidR="00496BE1">
        <w:rPr>
          <w:rFonts w:eastAsia="Calibri" w:hint="cs"/>
          <w:color w:val="000000" w:themeColor="text1"/>
          <w:rtl/>
        </w:rPr>
        <w:lastRenderedPageBreak/>
        <w:t xml:space="preserve">(לעומת </w:t>
      </w:r>
      <w:r w:rsidR="00D46AA0">
        <w:rPr>
          <w:rFonts w:eastAsia="Calibri" w:hint="cs"/>
          <w:color w:val="000000" w:themeColor="text1"/>
          <w:rtl/>
        </w:rPr>
        <w:t xml:space="preserve">גידול </w:t>
      </w:r>
      <w:r w:rsidR="00496BE1">
        <w:rPr>
          <w:rFonts w:eastAsia="Calibri" w:hint="cs"/>
          <w:color w:val="000000" w:themeColor="text1"/>
          <w:rtl/>
        </w:rPr>
        <w:t>של 2.4% ו-2.6% בתחזית ינואר)</w:t>
      </w:r>
      <w:r w:rsidR="00D61A22">
        <w:rPr>
          <w:rFonts w:eastAsia="Calibri" w:hint="cs"/>
          <w:color w:val="000000" w:themeColor="text1"/>
          <w:rtl/>
        </w:rPr>
        <w:t xml:space="preserve"> </w:t>
      </w:r>
      <w:r w:rsidR="00D61A22">
        <w:rPr>
          <w:rFonts w:eastAsia="Calibri"/>
          <w:color w:val="000000" w:themeColor="text1"/>
          <w:rtl/>
        </w:rPr>
        <w:t>–</w:t>
      </w:r>
      <w:r w:rsidR="00D61A22">
        <w:rPr>
          <w:rFonts w:eastAsia="Calibri" w:hint="cs"/>
          <w:color w:val="000000" w:themeColor="text1"/>
          <w:rtl/>
        </w:rPr>
        <w:t xml:space="preserve"> במידה רבה בהשפעת הטלת המכסים</w:t>
      </w:r>
      <w:r w:rsidRPr="009F7582">
        <w:rPr>
          <w:rFonts w:eastAsia="Calibri"/>
          <w:color w:val="000000" w:themeColor="text1"/>
          <w:rtl/>
        </w:rPr>
        <w:t xml:space="preserve">. מחירה </w:t>
      </w:r>
      <w:r w:rsidRPr="00202296">
        <w:rPr>
          <w:rFonts w:eastAsia="Calibri"/>
          <w:rtl/>
        </w:rPr>
        <w:t>של חבית נפט מסוג "ברנט" ירד מרמה של כ-$77 בעת עריכת תחזית ינואר, לרמה של כ-$</w:t>
      </w:r>
      <w:r w:rsidR="00FC04DD">
        <w:rPr>
          <w:rFonts w:eastAsia="Calibri" w:hint="cs"/>
          <w:rtl/>
        </w:rPr>
        <w:t>65</w:t>
      </w:r>
      <w:r w:rsidR="00FC04DD" w:rsidRPr="00202296">
        <w:rPr>
          <w:rFonts w:eastAsia="Calibri"/>
          <w:rtl/>
        </w:rPr>
        <w:t xml:space="preserve"> </w:t>
      </w:r>
      <w:r w:rsidRPr="00202296">
        <w:rPr>
          <w:rFonts w:eastAsia="Calibri"/>
          <w:rtl/>
        </w:rPr>
        <w:t>כעת.</w:t>
      </w:r>
      <w:r w:rsidR="00202530" w:rsidRPr="00202530">
        <w:rPr>
          <w:rFonts w:eastAsia="Calibri"/>
        </w:rPr>
        <w:t xml:space="preserve"> </w:t>
      </w:r>
    </w:p>
    <w:tbl>
      <w:tblPr>
        <w:bidiVisual/>
        <w:tblW w:w="5000" w:type="pct"/>
        <w:tblLook w:val="04A0" w:firstRow="1" w:lastRow="0" w:firstColumn="1" w:lastColumn="0" w:noHBand="0" w:noVBand="1"/>
      </w:tblPr>
      <w:tblGrid>
        <w:gridCol w:w="4447"/>
        <w:gridCol w:w="1061"/>
        <w:gridCol w:w="1060"/>
        <w:gridCol w:w="1060"/>
        <w:gridCol w:w="1060"/>
        <w:gridCol w:w="1058"/>
      </w:tblGrid>
      <w:tr w:rsidR="00A37310" w:rsidRPr="00C94167" w:rsidTr="00810C7A">
        <w:trPr>
          <w:trHeight w:val="375"/>
        </w:trPr>
        <w:tc>
          <w:tcPr>
            <w:tcW w:w="5000" w:type="pct"/>
            <w:gridSpan w:val="6"/>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000000"/>
                <w:sz w:val="24"/>
                <w:szCs w:val="24"/>
              </w:rPr>
            </w:pPr>
            <w:r>
              <w:rPr>
                <w:rtl/>
              </w:rPr>
              <w:br w:type="page"/>
            </w:r>
            <w:r w:rsidRPr="00C94167">
              <w:rPr>
                <w:rFonts w:eastAsia="Times New Roman"/>
                <w:b/>
                <w:bCs/>
                <w:color w:val="000000"/>
                <w:sz w:val="24"/>
                <w:szCs w:val="24"/>
                <w:rtl/>
              </w:rPr>
              <w:t xml:space="preserve">לוח  1 </w:t>
            </w:r>
            <w:r w:rsidRPr="00C94167">
              <w:rPr>
                <w:rFonts w:eastAsia="Times New Roman"/>
                <w:color w:val="000000"/>
                <w:sz w:val="24"/>
                <w:szCs w:val="24"/>
                <w:rtl/>
              </w:rPr>
              <w:t>|</w:t>
            </w:r>
            <w:r w:rsidRPr="00C94167">
              <w:rPr>
                <w:rFonts w:eastAsia="Times New Roman"/>
                <w:b/>
                <w:bCs/>
                <w:color w:val="000000"/>
                <w:sz w:val="24"/>
                <w:szCs w:val="24"/>
                <w:rtl/>
              </w:rPr>
              <w:t xml:space="preserve"> תחזית חטיבת המחקר לשנים 2025—2026</w:t>
            </w:r>
          </w:p>
        </w:tc>
      </w:tr>
      <w:tr w:rsidR="00A37310" w:rsidRPr="00C94167" w:rsidTr="00810C7A">
        <w:trPr>
          <w:trHeight w:val="360"/>
        </w:trPr>
        <w:tc>
          <w:tcPr>
            <w:tcW w:w="5000" w:type="pct"/>
            <w:gridSpan w:val="6"/>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4"/>
                <w:szCs w:val="24"/>
                <w:rtl/>
              </w:rPr>
            </w:pPr>
            <w:r w:rsidRPr="00C94167">
              <w:rPr>
                <w:rFonts w:eastAsia="Times New Roman"/>
                <w:color w:val="000000"/>
                <w:rtl/>
              </w:rPr>
              <w:t>(שיעורי השינוי השנתיים באחוזים</w:t>
            </w:r>
            <w:r w:rsidRPr="00C94167">
              <w:rPr>
                <w:rFonts w:eastAsia="Times New Roman"/>
                <w:color w:val="000000"/>
                <w:vertAlign w:val="superscript"/>
                <w:rtl/>
              </w:rPr>
              <w:t>1</w:t>
            </w:r>
            <w:r w:rsidRPr="00C94167">
              <w:rPr>
                <w:rFonts w:eastAsia="Times New Roman"/>
                <w:color w:val="000000"/>
                <w:rtl/>
              </w:rPr>
              <w:t>, אלא אם צוין אחרת)</w:t>
            </w:r>
          </w:p>
        </w:tc>
      </w:tr>
      <w:tr w:rsidR="00A37310" w:rsidRPr="00C94167" w:rsidTr="00A37310">
        <w:trPr>
          <w:trHeight w:val="315"/>
        </w:trPr>
        <w:tc>
          <w:tcPr>
            <w:tcW w:w="2281" w:type="pct"/>
            <w:tcBorders>
              <w:top w:val="single" w:sz="4" w:space="0" w:color="1F497D"/>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4"/>
                <w:szCs w:val="24"/>
                <w:rtl/>
              </w:rPr>
            </w:pPr>
            <w:r w:rsidRPr="00C94167">
              <w:rPr>
                <w:rFonts w:eastAsia="Times New Roman"/>
                <w:color w:val="000000"/>
                <w:sz w:val="24"/>
                <w:szCs w:val="24"/>
                <w:rtl/>
              </w:rPr>
              <w:t> </w:t>
            </w:r>
          </w:p>
        </w:tc>
        <w:tc>
          <w:tcPr>
            <w:tcW w:w="544" w:type="pct"/>
            <w:tcBorders>
              <w:top w:val="single" w:sz="4" w:space="0" w:color="1F497D"/>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2024</w:t>
            </w:r>
          </w:p>
        </w:tc>
        <w:tc>
          <w:tcPr>
            <w:tcW w:w="1088" w:type="pct"/>
            <w:gridSpan w:val="2"/>
            <w:tcBorders>
              <w:top w:val="single" w:sz="4" w:space="0" w:color="1F497D"/>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2025</w:t>
            </w:r>
          </w:p>
        </w:tc>
        <w:tc>
          <w:tcPr>
            <w:tcW w:w="1087" w:type="pct"/>
            <w:gridSpan w:val="2"/>
            <w:tcBorders>
              <w:top w:val="single" w:sz="4" w:space="0" w:color="1F497D"/>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1F497D"/>
                <w:sz w:val="24"/>
                <w:szCs w:val="24"/>
                <w:rtl/>
              </w:rPr>
            </w:pPr>
            <w:r w:rsidRPr="00C94167">
              <w:rPr>
                <w:rFonts w:eastAsia="Times New Roman"/>
                <w:b/>
                <w:bCs/>
                <w:color w:val="1F497D"/>
                <w:sz w:val="24"/>
                <w:szCs w:val="24"/>
                <w:rtl/>
              </w:rPr>
              <w:t>2026</w:t>
            </w:r>
          </w:p>
        </w:tc>
      </w:tr>
      <w:tr w:rsidR="00A37310" w:rsidRPr="00C94167" w:rsidTr="00A37310">
        <w:trPr>
          <w:trHeight w:val="494"/>
        </w:trPr>
        <w:tc>
          <w:tcPr>
            <w:tcW w:w="2281" w:type="pct"/>
            <w:tcBorders>
              <w:top w:val="nil"/>
              <w:left w:val="nil"/>
              <w:bottom w:val="single" w:sz="4" w:space="0" w:color="1F497D"/>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0"/>
                <w:szCs w:val="20"/>
              </w:rPr>
            </w:pPr>
            <w:r w:rsidRPr="00C94167">
              <w:rPr>
                <w:rFonts w:eastAsia="Times New Roman"/>
                <w:color w:val="000000"/>
                <w:sz w:val="20"/>
                <w:szCs w:val="20"/>
              </w:rPr>
              <w:t> </w:t>
            </w:r>
          </w:p>
        </w:tc>
        <w:tc>
          <w:tcPr>
            <w:tcW w:w="544" w:type="pct"/>
            <w:tcBorders>
              <w:top w:val="nil"/>
              <w:left w:val="nil"/>
              <w:bottom w:val="nil"/>
              <w:right w:val="nil"/>
            </w:tcBorders>
            <w:shd w:val="clear" w:color="000000" w:fill="D9D9D9"/>
            <w:hideMark/>
          </w:tcPr>
          <w:p w:rsidR="00A37310" w:rsidRPr="00C94167" w:rsidRDefault="00A37310" w:rsidP="00810C7A">
            <w:pPr>
              <w:spacing w:after="0" w:line="240" w:lineRule="auto"/>
              <w:rPr>
                <w:rFonts w:eastAsia="Times New Roman"/>
                <w:color w:val="1F497D"/>
              </w:rPr>
            </w:pPr>
            <w:r w:rsidRPr="00C94167">
              <w:rPr>
                <w:rFonts w:eastAsia="Times New Roman"/>
                <w:color w:val="1F497D"/>
                <w:rtl/>
              </w:rPr>
              <w:t>בפועל</w:t>
            </w:r>
          </w:p>
        </w:tc>
        <w:tc>
          <w:tcPr>
            <w:tcW w:w="544"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התחזית ל-2025</w:t>
            </w:r>
          </w:p>
        </w:tc>
        <w:tc>
          <w:tcPr>
            <w:tcW w:w="544"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השינוי מתחזית ינואר</w:t>
            </w:r>
          </w:p>
        </w:tc>
        <w:tc>
          <w:tcPr>
            <w:tcW w:w="544"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התחזית ל-2026</w:t>
            </w:r>
          </w:p>
        </w:tc>
        <w:tc>
          <w:tcPr>
            <w:tcW w:w="543" w:type="pct"/>
            <w:tcBorders>
              <w:top w:val="nil"/>
              <w:left w:val="nil"/>
              <w:bottom w:val="single" w:sz="4" w:space="0" w:color="1F497D"/>
              <w:right w:val="nil"/>
            </w:tcBorders>
            <w:shd w:val="clear" w:color="auto" w:fill="auto"/>
            <w:hideMark/>
          </w:tcPr>
          <w:p w:rsidR="00A37310" w:rsidRPr="00C94167" w:rsidRDefault="00A37310" w:rsidP="00810C7A">
            <w:pPr>
              <w:spacing w:after="0" w:line="240" w:lineRule="auto"/>
              <w:rPr>
                <w:rFonts w:eastAsia="Times New Roman"/>
                <w:color w:val="1F497D"/>
                <w:rtl/>
              </w:rPr>
            </w:pPr>
            <w:r w:rsidRPr="00C94167">
              <w:rPr>
                <w:rFonts w:eastAsia="Times New Roman"/>
                <w:color w:val="1F497D"/>
                <w:rtl/>
              </w:rPr>
              <w:t>השינוי מתחזית ינואר</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tl/>
              </w:rPr>
            </w:pPr>
            <w:r w:rsidRPr="00C94167">
              <w:rPr>
                <w:rFonts w:eastAsia="Times New Roman"/>
                <w:rtl/>
              </w:rPr>
              <w:t>תוצר מקומי גולמי</w:t>
            </w:r>
          </w:p>
        </w:tc>
        <w:tc>
          <w:tcPr>
            <w:tcW w:w="544" w:type="pct"/>
            <w:tcBorders>
              <w:top w:val="single" w:sz="4" w:space="0" w:color="1F497D"/>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0.9</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hint="cs"/>
                <w:b/>
                <w:bCs/>
                <w:color w:val="000000"/>
                <w:rtl/>
              </w:rPr>
              <w:t>3.5</w:t>
            </w:r>
          </w:p>
        </w:tc>
        <w:tc>
          <w:tcPr>
            <w:tcW w:w="544" w:type="pct"/>
            <w:tcBorders>
              <w:top w:val="nil"/>
              <w:left w:val="nil"/>
              <w:bottom w:val="nil"/>
              <w:right w:val="nil"/>
            </w:tcBorders>
            <w:shd w:val="clear" w:color="auto" w:fill="auto"/>
            <w:noWrap/>
            <w:vAlign w:val="bottom"/>
            <w:hideMark/>
          </w:tcPr>
          <w:p w:rsidR="00A37310" w:rsidRPr="00C94167" w:rsidRDefault="007479AE" w:rsidP="00202296">
            <w:pPr>
              <w:spacing w:after="0" w:line="240" w:lineRule="auto"/>
              <w:rPr>
                <w:rFonts w:eastAsia="Times New Roman"/>
                <w:color w:val="1F497D"/>
              </w:rPr>
            </w:pPr>
            <w:r>
              <w:rPr>
                <w:rFonts w:eastAsia="Times New Roman" w:hint="cs"/>
                <w:color w:val="1F497D"/>
                <w:rtl/>
              </w:rPr>
              <w:t>0.5-</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b/>
                <w:bCs/>
                <w:color w:val="000000"/>
              </w:rPr>
              <w:t>4.0</w:t>
            </w:r>
          </w:p>
        </w:tc>
        <w:tc>
          <w:tcPr>
            <w:tcW w:w="543"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color w:val="1F497D"/>
              </w:rPr>
              <w:t>0.5</w:t>
            </w:r>
            <w:r>
              <w:rPr>
                <w:rFonts w:eastAsia="Times New Roman" w:hint="cs"/>
                <w:color w:val="1F497D"/>
                <w:rtl/>
              </w:rPr>
              <w:t>-</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צריכה פרטית</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3.7</w:t>
            </w:r>
          </w:p>
        </w:tc>
        <w:tc>
          <w:tcPr>
            <w:tcW w:w="544" w:type="pct"/>
            <w:tcBorders>
              <w:top w:val="nil"/>
              <w:left w:val="nil"/>
              <w:bottom w:val="nil"/>
              <w:right w:val="nil"/>
            </w:tcBorders>
            <w:shd w:val="clear" w:color="auto" w:fill="auto"/>
            <w:noWrap/>
            <w:vAlign w:val="bottom"/>
            <w:hideMark/>
          </w:tcPr>
          <w:p w:rsidR="00A37310" w:rsidRPr="00C94167" w:rsidRDefault="007479AE" w:rsidP="007479AE">
            <w:pPr>
              <w:spacing w:after="0" w:line="240" w:lineRule="auto"/>
              <w:rPr>
                <w:rFonts w:eastAsia="Times New Roman"/>
                <w:b/>
                <w:bCs/>
                <w:color w:val="000000"/>
              </w:rPr>
            </w:pPr>
            <w:r>
              <w:rPr>
                <w:rFonts w:eastAsia="Times New Roman"/>
                <w:b/>
                <w:bCs/>
                <w:color w:val="000000"/>
              </w:rPr>
              <w:t>6.0</w:t>
            </w:r>
          </w:p>
        </w:tc>
        <w:tc>
          <w:tcPr>
            <w:tcW w:w="544" w:type="pct"/>
            <w:tcBorders>
              <w:top w:val="nil"/>
              <w:left w:val="nil"/>
              <w:bottom w:val="nil"/>
              <w:right w:val="nil"/>
            </w:tcBorders>
            <w:shd w:val="clear" w:color="auto" w:fill="auto"/>
            <w:noWrap/>
            <w:vAlign w:val="bottom"/>
            <w:hideMark/>
          </w:tcPr>
          <w:p w:rsidR="00A37310" w:rsidRPr="00C94167" w:rsidRDefault="00A37310" w:rsidP="007479AE">
            <w:pPr>
              <w:spacing w:after="0" w:line="240" w:lineRule="auto"/>
              <w:rPr>
                <w:rFonts w:eastAsia="Times New Roman"/>
                <w:color w:val="1F497D"/>
              </w:rPr>
            </w:pPr>
            <w:r>
              <w:rPr>
                <w:rFonts w:eastAsia="Times New Roman"/>
                <w:color w:val="1F497D"/>
              </w:rPr>
              <w:t>-1.</w:t>
            </w:r>
            <w:r w:rsidR="007479AE">
              <w:rPr>
                <w:rFonts w:eastAsia="Times New Roman"/>
                <w:color w:val="1F497D"/>
              </w:rPr>
              <w:t>5</w:t>
            </w:r>
          </w:p>
        </w:tc>
        <w:tc>
          <w:tcPr>
            <w:tcW w:w="544" w:type="pct"/>
            <w:tcBorders>
              <w:top w:val="nil"/>
              <w:left w:val="nil"/>
              <w:bottom w:val="nil"/>
              <w:right w:val="nil"/>
            </w:tcBorders>
            <w:shd w:val="clear" w:color="auto" w:fill="auto"/>
            <w:noWrap/>
            <w:vAlign w:val="bottom"/>
            <w:hideMark/>
          </w:tcPr>
          <w:p w:rsidR="00A37310" w:rsidRPr="00C94167" w:rsidRDefault="007479AE" w:rsidP="007479AE">
            <w:pPr>
              <w:spacing w:after="0" w:line="240" w:lineRule="auto"/>
              <w:rPr>
                <w:rFonts w:eastAsia="Times New Roman"/>
                <w:b/>
                <w:bCs/>
                <w:color w:val="000000"/>
              </w:rPr>
            </w:pPr>
            <w:r>
              <w:rPr>
                <w:rFonts w:eastAsia="Times New Roman"/>
                <w:b/>
                <w:bCs/>
                <w:color w:val="000000"/>
              </w:rPr>
              <w:t>3.5</w:t>
            </w:r>
          </w:p>
        </w:tc>
        <w:tc>
          <w:tcPr>
            <w:tcW w:w="543" w:type="pct"/>
            <w:tcBorders>
              <w:top w:val="nil"/>
              <w:left w:val="nil"/>
              <w:bottom w:val="nil"/>
              <w:right w:val="nil"/>
            </w:tcBorders>
            <w:shd w:val="clear" w:color="auto" w:fill="auto"/>
            <w:noWrap/>
            <w:vAlign w:val="bottom"/>
            <w:hideMark/>
          </w:tcPr>
          <w:p w:rsidR="00A37310" w:rsidRPr="00C94167" w:rsidRDefault="00A37310" w:rsidP="007479AE">
            <w:pPr>
              <w:spacing w:after="0" w:line="240" w:lineRule="auto"/>
              <w:rPr>
                <w:rFonts w:eastAsia="Times New Roman"/>
                <w:color w:val="1F497D"/>
              </w:rPr>
            </w:pPr>
            <w:r>
              <w:rPr>
                <w:rFonts w:eastAsia="Times New Roman"/>
                <w:color w:val="1F497D"/>
              </w:rPr>
              <w:t>-</w:t>
            </w:r>
            <w:r w:rsidR="007479AE">
              <w:rPr>
                <w:rFonts w:eastAsia="Times New Roman"/>
                <w:color w:val="1F497D"/>
              </w:rPr>
              <w:t>2.0</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השקעה בנכסים קבועים (ללא אוניות ומטוסים)</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-6.1</w:t>
            </w:r>
          </w:p>
        </w:tc>
        <w:tc>
          <w:tcPr>
            <w:tcW w:w="544"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000000"/>
              </w:rPr>
            </w:pPr>
            <w:r>
              <w:rPr>
                <w:rFonts w:eastAsia="Times New Roman"/>
                <w:b/>
                <w:bCs/>
                <w:color w:val="000000"/>
              </w:rPr>
              <w:t>10.0</w:t>
            </w:r>
          </w:p>
        </w:tc>
        <w:tc>
          <w:tcPr>
            <w:tcW w:w="544"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1F497D"/>
              </w:rPr>
            </w:pPr>
            <w:r>
              <w:rPr>
                <w:rFonts w:eastAsia="Times New Roman"/>
                <w:color w:val="1F497D"/>
              </w:rPr>
              <w:t>2.0</w:t>
            </w:r>
          </w:p>
        </w:tc>
        <w:tc>
          <w:tcPr>
            <w:tcW w:w="544"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b/>
                <w:bCs/>
                <w:color w:val="000000"/>
              </w:rPr>
            </w:pPr>
            <w:r>
              <w:rPr>
                <w:rFonts w:eastAsia="Times New Roman"/>
                <w:b/>
                <w:bCs/>
                <w:color w:val="000000"/>
              </w:rPr>
              <w:t>12</w:t>
            </w:r>
            <w:r w:rsidRPr="00C94167">
              <w:rPr>
                <w:rFonts w:eastAsia="Times New Roman"/>
                <w:b/>
                <w:bCs/>
                <w:color w:val="000000"/>
              </w:rPr>
              <w:t>.0</w:t>
            </w:r>
          </w:p>
        </w:tc>
        <w:tc>
          <w:tcPr>
            <w:tcW w:w="543" w:type="pct"/>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1F497D"/>
              </w:rPr>
            </w:pPr>
            <w:r>
              <w:rPr>
                <w:rFonts w:eastAsia="Times New Roman"/>
                <w:color w:val="1F497D"/>
              </w:rPr>
              <w:t>-3.0</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צריכה ציבורית (ללא יבוא ביטחוני)</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11.4</w:t>
            </w:r>
          </w:p>
        </w:tc>
        <w:tc>
          <w:tcPr>
            <w:tcW w:w="544" w:type="pct"/>
            <w:tcBorders>
              <w:top w:val="nil"/>
              <w:left w:val="nil"/>
              <w:bottom w:val="nil"/>
              <w:right w:val="nil"/>
            </w:tcBorders>
            <w:shd w:val="clear" w:color="auto" w:fill="auto"/>
            <w:noWrap/>
            <w:vAlign w:val="bottom"/>
            <w:hideMark/>
          </w:tcPr>
          <w:p w:rsidR="00A37310" w:rsidRPr="00C94167" w:rsidRDefault="00A37310" w:rsidP="00202296">
            <w:pPr>
              <w:spacing w:after="0" w:line="240" w:lineRule="auto"/>
              <w:rPr>
                <w:rFonts w:eastAsia="Times New Roman"/>
                <w:b/>
                <w:bCs/>
                <w:color w:val="000000"/>
              </w:rPr>
            </w:pPr>
            <w:r w:rsidRPr="00C94167">
              <w:rPr>
                <w:rFonts w:eastAsia="Times New Roman"/>
                <w:b/>
                <w:bCs/>
                <w:color w:val="000000"/>
              </w:rPr>
              <w:t>-</w:t>
            </w:r>
            <w:r w:rsidR="00202296">
              <w:rPr>
                <w:rFonts w:eastAsia="Times New Roman"/>
                <w:b/>
                <w:bCs/>
                <w:color w:val="000000"/>
              </w:rPr>
              <w:t>0.5</w:t>
            </w:r>
          </w:p>
        </w:tc>
        <w:tc>
          <w:tcPr>
            <w:tcW w:w="544" w:type="pct"/>
            <w:tcBorders>
              <w:top w:val="nil"/>
              <w:left w:val="nil"/>
              <w:bottom w:val="nil"/>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1.0</w:t>
            </w:r>
          </w:p>
        </w:tc>
        <w:tc>
          <w:tcPr>
            <w:tcW w:w="544" w:type="pct"/>
            <w:tcBorders>
              <w:top w:val="nil"/>
              <w:left w:val="nil"/>
              <w:bottom w:val="nil"/>
              <w:right w:val="nil"/>
            </w:tcBorders>
            <w:shd w:val="clear" w:color="auto" w:fill="auto"/>
            <w:noWrap/>
            <w:vAlign w:val="bottom"/>
            <w:hideMark/>
          </w:tcPr>
          <w:p w:rsidR="00A37310" w:rsidRPr="00C94167" w:rsidRDefault="00202296" w:rsidP="00810C7A">
            <w:pPr>
              <w:spacing w:after="0" w:line="240" w:lineRule="auto"/>
              <w:rPr>
                <w:rFonts w:eastAsia="Times New Roman"/>
                <w:b/>
                <w:bCs/>
                <w:color w:val="000000"/>
              </w:rPr>
            </w:pPr>
            <w:r>
              <w:rPr>
                <w:rFonts w:eastAsia="Times New Roman"/>
                <w:b/>
                <w:bCs/>
                <w:color w:val="000000"/>
              </w:rPr>
              <w:t>-2.5</w:t>
            </w:r>
          </w:p>
        </w:tc>
        <w:tc>
          <w:tcPr>
            <w:tcW w:w="543" w:type="pct"/>
            <w:tcBorders>
              <w:top w:val="nil"/>
              <w:left w:val="nil"/>
              <w:bottom w:val="nil"/>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-4.5</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יצוא (ללא יהלומים והזנק)</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-4.6</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b/>
                <w:bCs/>
                <w:color w:val="000000"/>
              </w:rPr>
              <w:t>2</w:t>
            </w:r>
            <w:r w:rsidR="00A37310" w:rsidRPr="00C94167">
              <w:rPr>
                <w:rFonts w:eastAsia="Times New Roman"/>
                <w:b/>
                <w:bCs/>
                <w:color w:val="000000"/>
              </w:rPr>
              <w:t>.5</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color w:val="1F497D"/>
              </w:rPr>
              <w:t>-2.0</w:t>
            </w:r>
          </w:p>
        </w:tc>
        <w:tc>
          <w:tcPr>
            <w:tcW w:w="544"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tl/>
              </w:rPr>
            </w:pPr>
            <w:r>
              <w:rPr>
                <w:rFonts w:eastAsia="Times New Roman" w:hint="cs"/>
                <w:b/>
                <w:bCs/>
                <w:color w:val="000000"/>
                <w:rtl/>
              </w:rPr>
              <w:t>2</w:t>
            </w:r>
            <w:r w:rsidR="00A37310" w:rsidRPr="00C94167">
              <w:rPr>
                <w:rFonts w:eastAsia="Times New Roman" w:hint="cs"/>
                <w:b/>
                <w:bCs/>
                <w:color w:val="000000"/>
                <w:rtl/>
              </w:rPr>
              <w:t>.5</w:t>
            </w:r>
          </w:p>
        </w:tc>
        <w:tc>
          <w:tcPr>
            <w:tcW w:w="543" w:type="pct"/>
            <w:tcBorders>
              <w:top w:val="nil"/>
              <w:left w:val="nil"/>
              <w:bottom w:val="nil"/>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hint="cs"/>
                <w:color w:val="1F497D"/>
                <w:rtl/>
              </w:rPr>
              <w:t>3.0-</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rtl/>
              </w:rPr>
              <w:t>יבוא אזרחי (ללא יהלומים, אוניות ומטוסים)</w:t>
            </w:r>
          </w:p>
        </w:tc>
        <w:tc>
          <w:tcPr>
            <w:tcW w:w="544" w:type="pct"/>
            <w:tcBorders>
              <w:top w:val="nil"/>
              <w:left w:val="nil"/>
              <w:bottom w:val="single" w:sz="4" w:space="0" w:color="1F497D"/>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-1.9</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7479AE">
            <w:pPr>
              <w:spacing w:after="0" w:line="240" w:lineRule="auto"/>
              <w:rPr>
                <w:rFonts w:eastAsia="Times New Roman"/>
                <w:b/>
                <w:bCs/>
                <w:color w:val="000000"/>
              </w:rPr>
            </w:pPr>
            <w:r>
              <w:rPr>
                <w:rFonts w:eastAsia="Times New Roman"/>
                <w:b/>
                <w:bCs/>
                <w:color w:val="000000"/>
              </w:rPr>
              <w:t>1</w:t>
            </w:r>
            <w:r w:rsidR="007479AE">
              <w:rPr>
                <w:rFonts w:eastAsia="Times New Roman"/>
                <w:b/>
                <w:bCs/>
                <w:color w:val="000000"/>
              </w:rPr>
              <w:t>2</w:t>
            </w:r>
            <w:r>
              <w:rPr>
                <w:rFonts w:eastAsia="Times New Roman"/>
                <w:b/>
                <w:bCs/>
                <w:color w:val="000000"/>
              </w:rPr>
              <w:t>.5</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Pr>
            </w:pPr>
            <w:r>
              <w:rPr>
                <w:rFonts w:eastAsia="Times New Roman"/>
                <w:color w:val="1F497D"/>
              </w:rPr>
              <w:t>0</w:t>
            </w:r>
            <w:r w:rsidR="00202296">
              <w:rPr>
                <w:rFonts w:eastAsia="Times New Roman"/>
                <w:color w:val="1F497D"/>
              </w:rPr>
              <w:t>.5</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7479AE" w:rsidP="00810C7A">
            <w:pPr>
              <w:spacing w:after="0" w:line="240" w:lineRule="auto"/>
              <w:rPr>
                <w:rFonts w:eastAsia="Times New Roman"/>
                <w:b/>
                <w:bCs/>
                <w:color w:val="000000"/>
              </w:rPr>
            </w:pPr>
            <w:r>
              <w:rPr>
                <w:rFonts w:eastAsia="Times New Roman"/>
                <w:b/>
                <w:bCs/>
                <w:color w:val="000000"/>
              </w:rPr>
              <w:t>7.5</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A37310" w:rsidP="007479AE">
            <w:pPr>
              <w:spacing w:after="0" w:line="240" w:lineRule="auto"/>
              <w:rPr>
                <w:rFonts w:eastAsia="Times New Roman"/>
                <w:color w:val="1F497D"/>
              </w:rPr>
            </w:pPr>
            <w:r>
              <w:rPr>
                <w:rFonts w:eastAsia="Times New Roman"/>
                <w:color w:val="1F497D"/>
              </w:rPr>
              <w:t>-</w:t>
            </w:r>
            <w:r w:rsidR="007479AE">
              <w:rPr>
                <w:rFonts w:eastAsia="Times New Roman"/>
                <w:color w:val="1F497D"/>
              </w:rPr>
              <w:t>5.5</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שיעור האבטלה הרחב (גיל</w:t>
            </w:r>
            <w:r w:rsidR="00600EFC">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3.5</w:t>
            </w:r>
          </w:p>
        </w:tc>
        <w:tc>
          <w:tcPr>
            <w:tcW w:w="544" w:type="pct"/>
            <w:tcBorders>
              <w:top w:val="nil"/>
              <w:left w:val="nil"/>
              <w:bottom w:val="nil"/>
              <w:right w:val="nil"/>
            </w:tcBorders>
            <w:shd w:val="clear" w:color="auto" w:fill="auto"/>
            <w:vAlign w:val="center"/>
            <w:hideMark/>
          </w:tcPr>
          <w:p w:rsidR="00A37310" w:rsidRPr="00C94167" w:rsidRDefault="00A37310" w:rsidP="00F6516C">
            <w:pPr>
              <w:spacing w:after="0" w:line="240" w:lineRule="auto"/>
              <w:rPr>
                <w:rFonts w:eastAsia="Times New Roman"/>
                <w:b/>
                <w:bCs/>
                <w:color w:val="000000"/>
              </w:rPr>
            </w:pPr>
            <w:r>
              <w:rPr>
                <w:rFonts w:eastAsia="Times New Roman"/>
                <w:b/>
                <w:bCs/>
                <w:color w:val="000000"/>
              </w:rPr>
              <w:t>2.</w:t>
            </w:r>
            <w:r w:rsidR="00F6516C">
              <w:rPr>
                <w:rFonts w:eastAsia="Times New Roman"/>
                <w:b/>
                <w:bCs/>
                <w:color w:val="000000"/>
              </w:rPr>
              <w:t>9</w:t>
            </w:r>
          </w:p>
        </w:tc>
        <w:tc>
          <w:tcPr>
            <w:tcW w:w="544" w:type="pct"/>
            <w:tcBorders>
              <w:top w:val="nil"/>
              <w:left w:val="nil"/>
              <w:bottom w:val="nil"/>
              <w:right w:val="nil"/>
            </w:tcBorders>
            <w:shd w:val="clear" w:color="auto" w:fill="auto"/>
            <w:vAlign w:val="center"/>
            <w:hideMark/>
          </w:tcPr>
          <w:p w:rsidR="00A37310" w:rsidRPr="00C94167" w:rsidRDefault="00A37310" w:rsidP="00F6516C">
            <w:pPr>
              <w:spacing w:after="0" w:line="240" w:lineRule="auto"/>
              <w:rPr>
                <w:rFonts w:eastAsia="Times New Roman"/>
                <w:color w:val="1F497D"/>
              </w:rPr>
            </w:pPr>
            <w:r w:rsidRPr="00C94167">
              <w:rPr>
                <w:rFonts w:eastAsia="Times New Roman"/>
                <w:color w:val="1F497D"/>
              </w:rPr>
              <w:t>-0.</w:t>
            </w:r>
            <w:r w:rsidR="00F6516C">
              <w:rPr>
                <w:rFonts w:eastAsia="Times New Roman"/>
                <w:color w:val="1F497D"/>
              </w:rPr>
              <w:t>2</w:t>
            </w:r>
          </w:p>
        </w:tc>
        <w:tc>
          <w:tcPr>
            <w:tcW w:w="544" w:type="pct"/>
            <w:tcBorders>
              <w:top w:val="nil"/>
              <w:left w:val="nil"/>
              <w:bottom w:val="nil"/>
              <w:right w:val="nil"/>
            </w:tcBorders>
            <w:shd w:val="clear" w:color="auto" w:fill="auto"/>
            <w:vAlign w:val="center"/>
            <w:hideMark/>
          </w:tcPr>
          <w:p w:rsidR="00A37310" w:rsidRPr="00C94167" w:rsidRDefault="00F6516C" w:rsidP="007479AE">
            <w:pPr>
              <w:spacing w:after="0" w:line="240" w:lineRule="auto"/>
              <w:rPr>
                <w:rFonts w:eastAsia="Times New Roman"/>
                <w:b/>
                <w:bCs/>
                <w:color w:val="000000"/>
              </w:rPr>
            </w:pPr>
            <w:r>
              <w:rPr>
                <w:rFonts w:eastAsia="Times New Roman"/>
                <w:b/>
                <w:bCs/>
                <w:color w:val="000000"/>
              </w:rPr>
              <w:t>3.</w:t>
            </w:r>
            <w:r w:rsidR="007479AE">
              <w:rPr>
                <w:rFonts w:eastAsia="Times New Roman"/>
                <w:b/>
                <w:bCs/>
                <w:color w:val="000000"/>
              </w:rPr>
              <w:t>2</w:t>
            </w:r>
          </w:p>
        </w:tc>
        <w:tc>
          <w:tcPr>
            <w:tcW w:w="543" w:type="pct"/>
            <w:tcBorders>
              <w:top w:val="nil"/>
              <w:left w:val="nil"/>
              <w:bottom w:val="nil"/>
              <w:right w:val="nil"/>
            </w:tcBorders>
            <w:shd w:val="clear" w:color="auto" w:fill="auto"/>
            <w:vAlign w:val="center"/>
            <w:hideMark/>
          </w:tcPr>
          <w:p w:rsidR="00A37310" w:rsidRPr="00C94167" w:rsidRDefault="00A37310" w:rsidP="00F6516C">
            <w:pPr>
              <w:spacing w:after="0" w:line="240" w:lineRule="auto"/>
              <w:rPr>
                <w:rFonts w:eastAsia="Times New Roman"/>
                <w:color w:val="1F497D"/>
              </w:rPr>
            </w:pPr>
            <w:r>
              <w:rPr>
                <w:rFonts w:eastAsia="Times New Roman"/>
                <w:color w:val="1F497D"/>
              </w:rPr>
              <w:t>0.</w:t>
            </w:r>
            <w:r w:rsidR="00F6516C">
              <w:rPr>
                <w:rFonts w:eastAsia="Times New Roman"/>
                <w:color w:val="1F497D"/>
              </w:rPr>
              <w:t>1</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שיעור התעסוקה המותאם (גיל</w:t>
            </w:r>
            <w:r w:rsidR="00600EFC">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44" w:type="pct"/>
            <w:tcBorders>
              <w:top w:val="nil"/>
              <w:left w:val="nil"/>
              <w:bottom w:val="single" w:sz="4" w:space="0" w:color="1F497D"/>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Pr>
            </w:pPr>
            <w:r w:rsidRPr="00C94167">
              <w:rPr>
                <w:rFonts w:eastAsia="Times New Roman"/>
                <w:color w:val="000000"/>
              </w:rPr>
              <w:t> </w:t>
            </w:r>
            <w:r>
              <w:rPr>
                <w:rFonts w:eastAsia="Times New Roman" w:hint="cs"/>
                <w:color w:val="000000"/>
                <w:rtl/>
              </w:rPr>
              <w:t>77.8</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F6516C">
            <w:pPr>
              <w:spacing w:after="0" w:line="240" w:lineRule="auto"/>
              <w:rPr>
                <w:rFonts w:eastAsia="Times New Roman"/>
                <w:b/>
                <w:bCs/>
                <w:color w:val="000000"/>
              </w:rPr>
            </w:pPr>
            <w:r w:rsidRPr="00C94167">
              <w:rPr>
                <w:rFonts w:eastAsia="Times New Roman"/>
                <w:b/>
                <w:bCs/>
                <w:color w:val="000000"/>
              </w:rPr>
              <w:t>78.</w:t>
            </w:r>
            <w:r w:rsidR="00F6516C">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F6516C">
            <w:pPr>
              <w:spacing w:after="0" w:line="240" w:lineRule="auto"/>
              <w:rPr>
                <w:rFonts w:eastAsia="Times New Roman"/>
                <w:color w:val="1F497D"/>
              </w:rPr>
            </w:pPr>
            <w:r w:rsidRPr="00C94167">
              <w:rPr>
                <w:rFonts w:eastAsia="Times New Roman"/>
                <w:color w:val="1F497D"/>
              </w:rPr>
              <w:t>0.</w:t>
            </w:r>
            <w:r w:rsidR="00F6516C">
              <w:rPr>
                <w:rFonts w:eastAsia="Times New Roman"/>
                <w:color w:val="1F497D"/>
              </w:rPr>
              <w:t>2</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F6516C">
            <w:pPr>
              <w:spacing w:after="0" w:line="240" w:lineRule="auto"/>
              <w:rPr>
                <w:rFonts w:eastAsia="Times New Roman"/>
                <w:b/>
                <w:bCs/>
                <w:color w:val="000000"/>
                <w:rtl/>
              </w:rPr>
            </w:pPr>
            <w:r w:rsidRPr="00C94167">
              <w:rPr>
                <w:rFonts w:eastAsia="Times New Roman"/>
                <w:b/>
                <w:bCs/>
                <w:color w:val="000000"/>
              </w:rPr>
              <w:t>78.</w:t>
            </w:r>
            <w:r w:rsidR="007479AE">
              <w:rPr>
                <w:rFonts w:eastAsia="Times New Roman"/>
                <w:b/>
                <w:bCs/>
                <w:color w:val="000000"/>
              </w:rPr>
              <w:t>4</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7479AE" w:rsidP="00810C7A">
            <w:pPr>
              <w:spacing w:after="0" w:line="240" w:lineRule="auto"/>
              <w:rPr>
                <w:rFonts w:eastAsia="Times New Roman"/>
                <w:color w:val="1F497D"/>
                <w:rtl/>
              </w:rPr>
            </w:pPr>
            <w:r>
              <w:rPr>
                <w:rFonts w:eastAsia="Times New Roman"/>
                <w:color w:val="1F497D"/>
              </w:rPr>
              <w:t>-0.3</w:t>
            </w:r>
          </w:p>
        </w:tc>
      </w:tr>
      <w:tr w:rsidR="00A37310" w:rsidRPr="00C94167" w:rsidTr="00A37310">
        <w:trPr>
          <w:trHeight w:val="300"/>
        </w:trPr>
        <w:tc>
          <w:tcPr>
            <w:tcW w:w="2281" w:type="pct"/>
            <w:tcBorders>
              <w:top w:val="nil"/>
              <w:left w:val="nil"/>
              <w:bottom w:val="nil"/>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גירעון הממשלה (אחוזי תוצר)</w:t>
            </w:r>
          </w:p>
        </w:tc>
        <w:tc>
          <w:tcPr>
            <w:tcW w:w="544" w:type="pct"/>
            <w:tcBorders>
              <w:top w:val="nil"/>
              <w:left w:val="nil"/>
              <w:bottom w:val="nil"/>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Pr>
            </w:pPr>
            <w:r w:rsidRPr="00C94167">
              <w:rPr>
                <w:rFonts w:eastAsia="Times New Roman"/>
                <w:color w:val="000000"/>
              </w:rPr>
              <w:t>6.</w:t>
            </w:r>
            <w:r>
              <w:rPr>
                <w:rFonts w:eastAsia="Times New Roman"/>
                <w:color w:val="000000"/>
              </w:rPr>
              <w:t>8</w:t>
            </w:r>
          </w:p>
        </w:tc>
        <w:tc>
          <w:tcPr>
            <w:tcW w:w="544" w:type="pct"/>
            <w:tcBorders>
              <w:top w:val="nil"/>
              <w:left w:val="nil"/>
              <w:bottom w:val="nil"/>
              <w:right w:val="nil"/>
            </w:tcBorders>
            <w:shd w:val="clear" w:color="auto" w:fill="auto"/>
            <w:noWrap/>
            <w:vAlign w:val="bottom"/>
            <w:hideMark/>
          </w:tcPr>
          <w:p w:rsidR="00A37310" w:rsidRPr="00C94167" w:rsidRDefault="00202296" w:rsidP="00430A11">
            <w:pPr>
              <w:spacing w:after="0" w:line="240" w:lineRule="auto"/>
              <w:rPr>
                <w:rFonts w:eastAsia="Times New Roman"/>
                <w:b/>
                <w:bCs/>
                <w:color w:val="000000"/>
              </w:rPr>
            </w:pPr>
            <w:r>
              <w:rPr>
                <w:rFonts w:eastAsia="Times New Roman"/>
                <w:b/>
                <w:bCs/>
                <w:color w:val="000000"/>
              </w:rPr>
              <w:t>4.</w:t>
            </w:r>
            <w:r w:rsidR="00430A11">
              <w:rPr>
                <w:rFonts w:eastAsia="Times New Roman"/>
                <w:b/>
                <w:bCs/>
                <w:color w:val="000000"/>
              </w:rPr>
              <w:t>2</w:t>
            </w:r>
          </w:p>
        </w:tc>
        <w:tc>
          <w:tcPr>
            <w:tcW w:w="544" w:type="pct"/>
            <w:tcBorders>
              <w:top w:val="nil"/>
              <w:left w:val="nil"/>
              <w:bottom w:val="nil"/>
              <w:right w:val="nil"/>
            </w:tcBorders>
            <w:shd w:val="clear" w:color="auto" w:fill="auto"/>
            <w:noWrap/>
            <w:vAlign w:val="bottom"/>
            <w:hideMark/>
          </w:tcPr>
          <w:p w:rsidR="00A37310" w:rsidRPr="00C94167" w:rsidRDefault="00A37310" w:rsidP="00430A11">
            <w:pPr>
              <w:spacing w:after="0" w:line="240" w:lineRule="auto"/>
              <w:rPr>
                <w:rFonts w:eastAsia="Times New Roman"/>
                <w:color w:val="1F497D"/>
              </w:rPr>
            </w:pPr>
            <w:r w:rsidRPr="00C94167">
              <w:rPr>
                <w:rFonts w:eastAsia="Times New Roman"/>
                <w:color w:val="1F497D"/>
              </w:rPr>
              <w:t>-0</w:t>
            </w:r>
            <w:r w:rsidR="00C642C0">
              <w:rPr>
                <w:rFonts w:eastAsia="Times New Roman"/>
                <w:color w:val="1F497D"/>
              </w:rPr>
              <w:t>.</w:t>
            </w:r>
            <w:r w:rsidR="00430A11">
              <w:rPr>
                <w:rFonts w:eastAsia="Times New Roman"/>
                <w:color w:val="1F497D"/>
              </w:rPr>
              <w:t>5</w:t>
            </w:r>
          </w:p>
        </w:tc>
        <w:tc>
          <w:tcPr>
            <w:tcW w:w="544" w:type="pct"/>
            <w:tcBorders>
              <w:top w:val="nil"/>
              <w:left w:val="nil"/>
              <w:bottom w:val="nil"/>
              <w:right w:val="nil"/>
            </w:tcBorders>
            <w:shd w:val="clear" w:color="auto" w:fill="auto"/>
            <w:noWrap/>
            <w:vAlign w:val="bottom"/>
            <w:hideMark/>
          </w:tcPr>
          <w:p w:rsidR="00A37310" w:rsidRPr="00C94167" w:rsidRDefault="00A37310" w:rsidP="00430A11">
            <w:pPr>
              <w:spacing w:after="0" w:line="240" w:lineRule="auto"/>
              <w:rPr>
                <w:rFonts w:eastAsia="Times New Roman"/>
                <w:b/>
                <w:bCs/>
                <w:color w:val="000000"/>
              </w:rPr>
            </w:pPr>
            <w:r>
              <w:rPr>
                <w:rFonts w:eastAsia="Times New Roman"/>
                <w:b/>
                <w:bCs/>
                <w:color w:val="000000"/>
              </w:rPr>
              <w:t>2</w:t>
            </w:r>
            <w:r w:rsidR="00C642C0">
              <w:rPr>
                <w:rFonts w:eastAsia="Times New Roman"/>
                <w:b/>
                <w:bCs/>
                <w:color w:val="000000"/>
              </w:rPr>
              <w:t>.</w:t>
            </w:r>
            <w:r w:rsidR="00430A11">
              <w:rPr>
                <w:rFonts w:eastAsia="Times New Roman"/>
                <w:b/>
                <w:bCs/>
                <w:color w:val="000000"/>
              </w:rPr>
              <w:t>9</w:t>
            </w:r>
          </w:p>
        </w:tc>
        <w:tc>
          <w:tcPr>
            <w:tcW w:w="543" w:type="pct"/>
            <w:tcBorders>
              <w:top w:val="nil"/>
              <w:left w:val="nil"/>
              <w:bottom w:val="nil"/>
              <w:right w:val="nil"/>
            </w:tcBorders>
            <w:shd w:val="clear" w:color="auto" w:fill="auto"/>
            <w:noWrap/>
            <w:vAlign w:val="bottom"/>
            <w:hideMark/>
          </w:tcPr>
          <w:p w:rsidR="00A37310" w:rsidRPr="00C94167" w:rsidRDefault="00A37310" w:rsidP="003E5D79">
            <w:pPr>
              <w:spacing w:after="0" w:line="240" w:lineRule="auto"/>
              <w:rPr>
                <w:rFonts w:eastAsia="Times New Roman"/>
                <w:color w:val="1F497D"/>
              </w:rPr>
            </w:pPr>
            <w:r>
              <w:rPr>
                <w:rFonts w:eastAsia="Times New Roman"/>
                <w:color w:val="1F497D"/>
              </w:rPr>
              <w:t>-</w:t>
            </w:r>
            <w:r w:rsidR="00202296">
              <w:rPr>
                <w:rFonts w:eastAsia="Times New Roman"/>
                <w:color w:val="1F497D"/>
              </w:rPr>
              <w:t>0.</w:t>
            </w:r>
            <w:r w:rsidR="003E5D79">
              <w:rPr>
                <w:rFonts w:eastAsia="Times New Roman"/>
                <w:color w:val="1F497D"/>
              </w:rPr>
              <w:t>3</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rPr>
            </w:pPr>
            <w:r w:rsidRPr="00C94167">
              <w:rPr>
                <w:rFonts w:eastAsia="Times New Roman" w:hint="cs"/>
                <w:rtl/>
              </w:rPr>
              <w:t>יחס החוב לתוצר</w:t>
            </w:r>
            <w:r w:rsidR="00E40883">
              <w:rPr>
                <w:rFonts w:eastAsia="Times New Roman" w:hint="cs"/>
                <w:rtl/>
              </w:rPr>
              <w:t xml:space="preserve"> </w:t>
            </w:r>
            <w:r w:rsidR="00E40883" w:rsidRPr="00C94167">
              <w:rPr>
                <w:rFonts w:eastAsia="Times New Roman" w:hint="cs"/>
                <w:rtl/>
              </w:rPr>
              <w:t>(אחוזי תוצר)</w:t>
            </w:r>
          </w:p>
        </w:tc>
        <w:tc>
          <w:tcPr>
            <w:tcW w:w="544" w:type="pct"/>
            <w:tcBorders>
              <w:top w:val="nil"/>
              <w:left w:val="nil"/>
              <w:bottom w:val="single" w:sz="4" w:space="0" w:color="1F497D"/>
              <w:right w:val="nil"/>
            </w:tcBorders>
            <w:shd w:val="clear" w:color="000000" w:fill="D9D9D9"/>
            <w:noWrap/>
            <w:vAlign w:val="bottom"/>
            <w:hideMark/>
          </w:tcPr>
          <w:p w:rsidR="00A37310" w:rsidRPr="002C7CC8" w:rsidRDefault="00A37310" w:rsidP="00810C7A">
            <w:pPr>
              <w:spacing w:after="0" w:line="240" w:lineRule="auto"/>
              <w:rPr>
                <w:rFonts w:eastAsia="Times New Roman" w:cstheme="minorBidi"/>
                <w:color w:val="000000"/>
              </w:rPr>
            </w:pPr>
            <w:r w:rsidRPr="00C94167">
              <w:rPr>
                <w:rFonts w:eastAsia="Times New Roman"/>
                <w:color w:val="000000"/>
              </w:rPr>
              <w:t> </w:t>
            </w:r>
            <w:r>
              <w:rPr>
                <w:rFonts w:eastAsia="Times New Roman"/>
                <w:color w:val="000000"/>
              </w:rPr>
              <w:t>67.8</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810C7A">
            <w:pPr>
              <w:spacing w:after="0" w:line="240" w:lineRule="auto"/>
              <w:rPr>
                <w:rFonts w:eastAsia="Times New Roman"/>
                <w:b/>
                <w:bCs/>
                <w:color w:val="000000"/>
              </w:rPr>
            </w:pPr>
            <w:r>
              <w:rPr>
                <w:rFonts w:eastAsia="Times New Roman"/>
                <w:b/>
                <w:bCs/>
                <w:color w:val="000000"/>
              </w:rPr>
              <w:t>69</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0.0</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202296" w:rsidP="00430A11">
            <w:pPr>
              <w:spacing w:after="0" w:line="240" w:lineRule="auto"/>
              <w:rPr>
                <w:rFonts w:eastAsia="Times New Roman"/>
                <w:b/>
                <w:bCs/>
                <w:color w:val="000000"/>
              </w:rPr>
            </w:pPr>
            <w:r>
              <w:rPr>
                <w:rFonts w:eastAsia="Times New Roman"/>
                <w:b/>
                <w:bCs/>
                <w:color w:val="000000"/>
              </w:rPr>
              <w:t>6</w:t>
            </w:r>
            <w:r w:rsidR="00430A11">
              <w:rPr>
                <w:rFonts w:eastAsia="Times New Roman"/>
                <w:b/>
                <w:bCs/>
                <w:color w:val="000000"/>
              </w:rPr>
              <w:t>8</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430A11" w:rsidP="00810C7A">
            <w:pPr>
              <w:spacing w:after="0" w:line="240" w:lineRule="auto"/>
              <w:rPr>
                <w:rFonts w:eastAsia="Times New Roman"/>
                <w:color w:val="1F497D"/>
              </w:rPr>
            </w:pPr>
            <w:r>
              <w:rPr>
                <w:rFonts w:eastAsia="Times New Roman"/>
                <w:color w:val="1F497D"/>
              </w:rPr>
              <w:t>1</w:t>
            </w:r>
            <w:r w:rsidR="00A37310">
              <w:rPr>
                <w:rFonts w:eastAsia="Times New Roman"/>
                <w:color w:val="1F497D"/>
              </w:rPr>
              <w:t>.0</w:t>
            </w:r>
          </w:p>
        </w:tc>
      </w:tr>
      <w:tr w:rsidR="00A37310" w:rsidRPr="00C94167"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C94167" w:rsidRDefault="00A37310" w:rsidP="00810C7A">
            <w:pPr>
              <w:spacing w:after="0" w:line="240" w:lineRule="auto"/>
              <w:rPr>
                <w:rFonts w:eastAsia="Times New Roman"/>
                <w:color w:val="000000"/>
              </w:rPr>
            </w:pPr>
            <w:r w:rsidRPr="00C94167">
              <w:rPr>
                <w:rFonts w:eastAsia="Times New Roman"/>
                <w:color w:val="000000"/>
                <w:rtl/>
              </w:rPr>
              <w:t>אינפלציה</w:t>
            </w:r>
            <w:r w:rsidRPr="00C94167">
              <w:rPr>
                <w:rFonts w:eastAsia="Times New Roman"/>
                <w:color w:val="000000"/>
                <w:vertAlign w:val="superscript"/>
                <w:rtl/>
              </w:rPr>
              <w:t>3</w:t>
            </w:r>
          </w:p>
        </w:tc>
        <w:tc>
          <w:tcPr>
            <w:tcW w:w="544" w:type="pct"/>
            <w:tcBorders>
              <w:top w:val="nil"/>
              <w:left w:val="nil"/>
              <w:bottom w:val="single" w:sz="4" w:space="0" w:color="1F497D"/>
              <w:right w:val="nil"/>
            </w:tcBorders>
            <w:shd w:val="clear" w:color="000000" w:fill="D9D9D9"/>
            <w:noWrap/>
            <w:vAlign w:val="bottom"/>
            <w:hideMark/>
          </w:tcPr>
          <w:p w:rsidR="00A37310" w:rsidRPr="00C94167" w:rsidRDefault="00A37310" w:rsidP="00810C7A">
            <w:pPr>
              <w:spacing w:after="0" w:line="240" w:lineRule="auto"/>
              <w:rPr>
                <w:rFonts w:eastAsia="Times New Roman"/>
                <w:color w:val="000000"/>
                <w:rtl/>
              </w:rPr>
            </w:pPr>
            <w:r w:rsidRPr="00C94167">
              <w:rPr>
                <w:rFonts w:eastAsia="Times New Roman"/>
                <w:color w:val="000000"/>
              </w:rPr>
              <w:t>3.4</w:t>
            </w:r>
          </w:p>
        </w:tc>
        <w:tc>
          <w:tcPr>
            <w:tcW w:w="544" w:type="pct"/>
            <w:tcBorders>
              <w:top w:val="nil"/>
              <w:left w:val="nil"/>
              <w:bottom w:val="single" w:sz="4" w:space="0" w:color="1F497D"/>
              <w:right w:val="nil"/>
            </w:tcBorders>
            <w:shd w:val="clear" w:color="auto" w:fill="auto"/>
            <w:noWrap/>
            <w:vAlign w:val="bottom"/>
            <w:hideMark/>
          </w:tcPr>
          <w:p w:rsidR="00A37310" w:rsidRPr="002C7CC8" w:rsidRDefault="00A37310" w:rsidP="006666B3">
            <w:pPr>
              <w:spacing w:after="0" w:line="240" w:lineRule="auto"/>
              <w:rPr>
                <w:rFonts w:eastAsia="Times New Roman" w:cstheme="minorBidi"/>
                <w:b/>
                <w:bCs/>
                <w:color w:val="000000"/>
              </w:rPr>
            </w:pPr>
            <w:r>
              <w:rPr>
                <w:rFonts w:eastAsia="Times New Roman"/>
                <w:b/>
                <w:bCs/>
                <w:color w:val="000000"/>
              </w:rPr>
              <w:t>2.</w:t>
            </w:r>
            <w:r w:rsidR="006666B3">
              <w:rPr>
                <w:rFonts w:eastAsia="Times New Roman"/>
                <w:b/>
                <w:bCs/>
                <w:color w:val="000000"/>
              </w:rPr>
              <w:t>6</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3E5D79">
            <w:pPr>
              <w:spacing w:after="0" w:line="240" w:lineRule="auto"/>
              <w:rPr>
                <w:rFonts w:eastAsia="Times New Roman"/>
                <w:color w:val="1F497D"/>
              </w:rPr>
            </w:pPr>
            <w:r w:rsidRPr="00C94167">
              <w:rPr>
                <w:rFonts w:eastAsia="Times New Roman"/>
                <w:color w:val="1F497D"/>
              </w:rPr>
              <w:t>0.</w:t>
            </w:r>
            <w:r w:rsidR="003E5D79">
              <w:rPr>
                <w:rFonts w:eastAsia="Times New Roman"/>
                <w:color w:val="1F497D"/>
              </w:rPr>
              <w:t>0</w:t>
            </w:r>
          </w:p>
        </w:tc>
        <w:tc>
          <w:tcPr>
            <w:tcW w:w="544" w:type="pct"/>
            <w:tcBorders>
              <w:top w:val="nil"/>
              <w:left w:val="nil"/>
              <w:bottom w:val="single" w:sz="4" w:space="0" w:color="1F497D"/>
              <w:right w:val="nil"/>
            </w:tcBorders>
            <w:shd w:val="clear" w:color="auto" w:fill="auto"/>
            <w:noWrap/>
            <w:vAlign w:val="bottom"/>
            <w:hideMark/>
          </w:tcPr>
          <w:p w:rsidR="00A37310" w:rsidRPr="00C94167" w:rsidRDefault="00A37310" w:rsidP="00202296">
            <w:pPr>
              <w:spacing w:after="0" w:line="240" w:lineRule="auto"/>
              <w:rPr>
                <w:rFonts w:eastAsia="Times New Roman"/>
                <w:b/>
                <w:bCs/>
                <w:color w:val="000000"/>
              </w:rPr>
            </w:pPr>
            <w:r w:rsidRPr="00C94167">
              <w:rPr>
                <w:rFonts w:eastAsia="Times New Roman"/>
                <w:b/>
                <w:bCs/>
                <w:color w:val="000000"/>
              </w:rPr>
              <w:t>2.</w:t>
            </w:r>
            <w:r w:rsidR="00202296">
              <w:rPr>
                <w:rFonts w:eastAsia="Times New Roman"/>
                <w:b/>
                <w:bCs/>
                <w:color w:val="000000"/>
              </w:rPr>
              <w:t>2</w:t>
            </w:r>
          </w:p>
        </w:tc>
        <w:tc>
          <w:tcPr>
            <w:tcW w:w="543" w:type="pct"/>
            <w:tcBorders>
              <w:top w:val="nil"/>
              <w:left w:val="nil"/>
              <w:bottom w:val="single" w:sz="4" w:space="0" w:color="1F497D"/>
              <w:right w:val="nil"/>
            </w:tcBorders>
            <w:shd w:val="clear" w:color="auto" w:fill="auto"/>
            <w:noWrap/>
            <w:vAlign w:val="bottom"/>
            <w:hideMark/>
          </w:tcPr>
          <w:p w:rsidR="00A37310" w:rsidRPr="00C94167" w:rsidRDefault="00202296" w:rsidP="00810C7A">
            <w:pPr>
              <w:spacing w:after="0" w:line="240" w:lineRule="auto"/>
              <w:rPr>
                <w:rFonts w:eastAsia="Times New Roman"/>
                <w:color w:val="1F497D"/>
              </w:rPr>
            </w:pPr>
            <w:r>
              <w:rPr>
                <w:rFonts w:eastAsia="Times New Roman"/>
                <w:color w:val="1F497D"/>
              </w:rPr>
              <w:t>-0.1</w:t>
            </w:r>
          </w:p>
        </w:tc>
      </w:tr>
      <w:tr w:rsidR="00A37310" w:rsidRPr="00C94167" w:rsidTr="00810C7A">
        <w:trPr>
          <w:trHeight w:val="300"/>
        </w:trPr>
        <w:tc>
          <w:tcPr>
            <w:tcW w:w="5000" w:type="pct"/>
            <w:gridSpan w:val="6"/>
            <w:tcBorders>
              <w:top w:val="single" w:sz="4" w:space="0" w:color="1F497D"/>
              <w:left w:val="nil"/>
              <w:bottom w:val="nil"/>
              <w:right w:val="nil"/>
            </w:tcBorders>
            <w:shd w:val="clear" w:color="auto" w:fill="auto"/>
            <w:noWrap/>
            <w:vAlign w:val="center"/>
            <w:hideMark/>
          </w:tcPr>
          <w:p w:rsidR="00A37310" w:rsidRPr="00C94167" w:rsidRDefault="00A37310" w:rsidP="00810C7A">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1</w:t>
            </w:r>
            <w:r w:rsidRPr="00C94167">
              <w:rPr>
                <w:rFonts w:eastAsia="Times New Roman"/>
                <w:color w:val="000000"/>
                <w:sz w:val="20"/>
                <w:szCs w:val="20"/>
                <w:rtl/>
              </w:rPr>
              <w:t xml:space="preserve"> </w:t>
            </w:r>
            <w:r w:rsidRPr="002C7CC8">
              <w:rPr>
                <w:rFonts w:eastAsia="Times New Roman"/>
                <w:color w:val="000000"/>
                <w:sz w:val="20"/>
                <w:szCs w:val="20"/>
                <w:rtl/>
              </w:rPr>
              <w:t>התחזית לרכיבי החשבונאות הלאומית מעוגלת לחצי נקודת אחוז והתחזית לחוב הציבורי מעוגלת לנקודת אחוז.</w:t>
            </w:r>
          </w:p>
        </w:tc>
      </w:tr>
      <w:tr w:rsidR="00A37310" w:rsidRPr="00C94167" w:rsidTr="00810C7A">
        <w:trPr>
          <w:trHeight w:val="765"/>
        </w:trPr>
        <w:tc>
          <w:tcPr>
            <w:tcW w:w="5000" w:type="pct"/>
            <w:gridSpan w:val="6"/>
            <w:tcBorders>
              <w:top w:val="nil"/>
              <w:left w:val="nil"/>
              <w:bottom w:val="nil"/>
              <w:right w:val="nil"/>
            </w:tcBorders>
            <w:shd w:val="clear" w:color="auto" w:fill="auto"/>
            <w:vAlign w:val="bottom"/>
            <w:hideMark/>
          </w:tcPr>
          <w:p w:rsidR="00A37310" w:rsidRPr="00C94167" w:rsidRDefault="00A37310" w:rsidP="00810C7A">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2</w:t>
            </w:r>
            <w:r w:rsidRPr="00C94167">
              <w:rPr>
                <w:rFonts w:eastAsia="Times New Roman"/>
                <w:color w:val="000000"/>
                <w:sz w:val="20"/>
                <w:szCs w:val="20"/>
                <w:rtl/>
              </w:rPr>
              <w:t xml:space="preserve"> ממוצע שנתי. בהתאם להגדרה של הלמ"ס, שיעור האבטלה הרחב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p>
        </w:tc>
      </w:tr>
      <w:tr w:rsidR="00A37310" w:rsidRPr="00C94167" w:rsidTr="00810C7A">
        <w:trPr>
          <w:trHeight w:val="300"/>
        </w:trPr>
        <w:tc>
          <w:tcPr>
            <w:tcW w:w="5000" w:type="pct"/>
            <w:gridSpan w:val="6"/>
            <w:tcBorders>
              <w:top w:val="nil"/>
              <w:left w:val="nil"/>
              <w:bottom w:val="nil"/>
              <w:right w:val="nil"/>
            </w:tcBorders>
            <w:shd w:val="clear" w:color="auto" w:fill="auto"/>
            <w:noWrap/>
            <w:vAlign w:val="bottom"/>
            <w:hideMark/>
          </w:tcPr>
          <w:p w:rsidR="00A37310" w:rsidRPr="00C94167" w:rsidRDefault="00A37310" w:rsidP="00810C7A">
            <w:pPr>
              <w:spacing w:after="0" w:line="240" w:lineRule="auto"/>
              <w:rPr>
                <w:rFonts w:eastAsia="Times New Roman"/>
                <w:color w:val="000000"/>
                <w:sz w:val="20"/>
                <w:szCs w:val="20"/>
                <w:rtl/>
              </w:rPr>
            </w:pPr>
            <w:r w:rsidRPr="00C94167">
              <w:rPr>
                <w:rFonts w:eastAsia="Times New Roman"/>
                <w:color w:val="000000"/>
                <w:sz w:val="20"/>
                <w:szCs w:val="20"/>
                <w:vertAlign w:val="superscript"/>
                <w:rtl/>
              </w:rPr>
              <w:t>3</w:t>
            </w:r>
            <w:r w:rsidRPr="00C94167">
              <w:rPr>
                <w:rFonts w:eastAsia="Times New Roman"/>
                <w:color w:val="000000"/>
                <w:sz w:val="20"/>
                <w:szCs w:val="20"/>
                <w:rtl/>
              </w:rPr>
              <w:t xml:space="preserve"> הממוצע של מדד המחירים לצרכן ברבעון האחרון בשנה לעומת הממוצע ברבעון האחרון בשנה הקודמת.</w:t>
            </w:r>
          </w:p>
        </w:tc>
      </w:tr>
    </w:tbl>
    <w:p w:rsidR="00A37310" w:rsidRPr="00202530" w:rsidRDefault="00A37310" w:rsidP="009D403E">
      <w:pPr>
        <w:spacing w:after="120"/>
        <w:jc w:val="both"/>
        <w:rPr>
          <w:rFonts w:eastAsia="Calibri"/>
        </w:rPr>
      </w:pPr>
    </w:p>
    <w:p w:rsidR="00202530" w:rsidRPr="00202530" w:rsidRDefault="00202530" w:rsidP="00202530">
      <w:pPr>
        <w:pStyle w:val="a"/>
        <w:rPr>
          <w:rFonts w:ascii="Calibri" w:hAnsi="Calibri" w:cs="Calibri"/>
          <w:sz w:val="24"/>
          <w:rtl/>
        </w:rPr>
      </w:pPr>
      <w:r w:rsidRPr="00202530">
        <w:rPr>
          <w:rFonts w:ascii="Calibri" w:hAnsi="Calibri" w:cs="Calibri"/>
          <w:sz w:val="24"/>
          <w:rtl/>
        </w:rPr>
        <w:t>הפעילות הריאלית בישראל</w:t>
      </w:r>
    </w:p>
    <w:p w:rsidR="000E2CFD" w:rsidRDefault="00202530" w:rsidP="00540C1D">
      <w:pPr>
        <w:ind w:left="8"/>
        <w:jc w:val="both"/>
        <w:rPr>
          <w:rtl/>
        </w:rPr>
      </w:pPr>
      <w:r w:rsidRPr="00202530">
        <w:rPr>
          <w:b/>
          <w:bCs/>
          <w:rtl/>
        </w:rPr>
        <w:t>התוצר צפוי לצמוח ב-</w:t>
      </w:r>
      <w:r w:rsidR="006666B3">
        <w:rPr>
          <w:rFonts w:hint="cs"/>
          <w:b/>
          <w:bCs/>
          <w:rtl/>
        </w:rPr>
        <w:t>3.5</w:t>
      </w:r>
      <w:r w:rsidRPr="00202530">
        <w:rPr>
          <w:b/>
          <w:bCs/>
          <w:rtl/>
        </w:rPr>
        <w:t>% בשנת 2025</w:t>
      </w:r>
      <w:r w:rsidRPr="00202530">
        <w:rPr>
          <w:rtl/>
        </w:rPr>
        <w:t xml:space="preserve"> </w:t>
      </w:r>
      <w:r w:rsidR="00D651B5" w:rsidRPr="00EE06D1">
        <w:rPr>
          <w:rFonts w:hint="cs"/>
          <w:b/>
          <w:bCs/>
          <w:rtl/>
        </w:rPr>
        <w:t>ו</w:t>
      </w:r>
      <w:r w:rsidR="00D651B5">
        <w:rPr>
          <w:b/>
          <w:bCs/>
          <w:rtl/>
        </w:rPr>
        <w:t>ב-4.</w:t>
      </w:r>
      <w:r w:rsidR="006666B3">
        <w:rPr>
          <w:rFonts w:hint="cs"/>
          <w:b/>
          <w:bCs/>
          <w:rtl/>
        </w:rPr>
        <w:t>0</w:t>
      </w:r>
      <w:r w:rsidR="00D651B5">
        <w:rPr>
          <w:b/>
          <w:bCs/>
          <w:rtl/>
        </w:rPr>
        <w:t>%</w:t>
      </w:r>
      <w:r w:rsidR="00EE06D1">
        <w:rPr>
          <w:rFonts w:hint="cs"/>
          <w:b/>
          <w:bCs/>
          <w:rtl/>
        </w:rPr>
        <w:t xml:space="preserve"> בשנת 2026</w:t>
      </w:r>
      <w:r w:rsidR="00D651B5" w:rsidRPr="00202530">
        <w:rPr>
          <w:rtl/>
        </w:rPr>
        <w:t xml:space="preserve"> (לוח 1)</w:t>
      </w:r>
      <w:r w:rsidR="00D651B5" w:rsidRPr="002C7CC8">
        <w:rPr>
          <w:rFonts w:hint="cs"/>
          <w:rtl/>
        </w:rPr>
        <w:t>.</w:t>
      </w:r>
      <w:r w:rsidRPr="00202530">
        <w:rPr>
          <w:b/>
          <w:bCs/>
          <w:rtl/>
        </w:rPr>
        <w:t xml:space="preserve"> </w:t>
      </w:r>
      <w:r w:rsidR="00202296" w:rsidRPr="00202296">
        <w:rPr>
          <w:rtl/>
        </w:rPr>
        <w:t>התחזית מבוססת על ההנחה שבמרבית טווח התחזית לא תהיה השפעה מקרו-כלכלית משמעותית של המלחמה, ובפרט שהלחימה שהתחדשה לאחרונה בגזרת עזה לא תתארך מעבר לרבעון השני</w:t>
      </w:r>
      <w:r w:rsidR="0059570E">
        <w:rPr>
          <w:rFonts w:hint="cs"/>
          <w:rtl/>
        </w:rPr>
        <w:t xml:space="preserve"> ולא תתרחב לחזיתות נוספות</w:t>
      </w:r>
      <w:r w:rsidR="00202296" w:rsidRPr="00202296">
        <w:rPr>
          <w:rtl/>
        </w:rPr>
        <w:t xml:space="preserve">. </w:t>
      </w:r>
      <w:r w:rsidR="00C2155B">
        <w:rPr>
          <w:rFonts w:hint="cs"/>
          <w:rtl/>
        </w:rPr>
        <w:t>התחזית כוללת את הערכתנו לגבי השפעתם הצפויה של המכסים עליהם הכריז הממשל האמריקאי עד ה-2 באפריל 2025</w:t>
      </w:r>
      <w:r w:rsidR="00B73E44">
        <w:rPr>
          <w:rFonts w:hint="cs"/>
          <w:rtl/>
        </w:rPr>
        <w:t xml:space="preserve"> ושל העלאות מכסים במדינות נוספות שצפויות בתגובה לכך</w:t>
      </w:r>
      <w:r w:rsidR="00C2155B">
        <w:rPr>
          <w:rFonts w:hint="cs"/>
          <w:rtl/>
        </w:rPr>
        <w:t>. אנו מעריכים כי ההשפ</w:t>
      </w:r>
      <w:r w:rsidR="00C629E2">
        <w:rPr>
          <w:rFonts w:hint="cs"/>
          <w:rtl/>
        </w:rPr>
        <w:t xml:space="preserve">עה של צעדים אלו על המשק הישראלי </w:t>
      </w:r>
      <w:r w:rsidR="00777437">
        <w:rPr>
          <w:rFonts w:hint="cs"/>
          <w:rtl/>
        </w:rPr>
        <w:t xml:space="preserve">תמתן את </w:t>
      </w:r>
      <w:r w:rsidR="00C2155B">
        <w:rPr>
          <w:rFonts w:hint="cs"/>
          <w:rtl/>
        </w:rPr>
        <w:t xml:space="preserve">צמיחת התוצר </w:t>
      </w:r>
      <w:r w:rsidR="00777437">
        <w:rPr>
          <w:rFonts w:hint="cs"/>
          <w:rtl/>
        </w:rPr>
        <w:t xml:space="preserve">בכ-0.5 </w:t>
      </w:r>
      <w:r w:rsidR="00540C1D">
        <w:rPr>
          <w:rFonts w:hint="cs"/>
          <w:rtl/>
        </w:rPr>
        <w:t xml:space="preserve">נקודת אחוז </w:t>
      </w:r>
      <w:r w:rsidR="00C2155B">
        <w:rPr>
          <w:rFonts w:hint="cs"/>
          <w:rtl/>
        </w:rPr>
        <w:t xml:space="preserve">בכל אחת מהשנים 2025 ו-2026. </w:t>
      </w:r>
    </w:p>
    <w:p w:rsidR="00D7789E" w:rsidRDefault="00D7789E" w:rsidP="00B40999">
      <w:pPr>
        <w:spacing w:after="240"/>
        <w:ind w:left="6"/>
        <w:jc w:val="both"/>
        <w:rPr>
          <w:rtl/>
        </w:rPr>
      </w:pPr>
      <w:r>
        <w:rPr>
          <w:rtl/>
        </w:rPr>
        <w:t xml:space="preserve">אחד הגורמים שמגבילים את צמיחת התוצר מאז פרצה המלחמה הוא המחסור בעובדים הנובע הן מהירידה במספר העובדים הלא ישראלים בהשוואה לערב המלחמה, והן מגיוס המילואים. לאורך שנת 2024 גדל במתינות מספר המועסקים הלא-ישראלים במשק ואנו מעריכים שמגמה זו תמשך גם בטווח התחזית. בנוסף, הנחתנו ביחס לעצימות הלחימה בטווח התחזית עקבית עם גיוס מילואים נמוך יותר בהשוואה לשנת 2024 שיאפשר גידול של היצע העבודה במגזר האזרחי. </w:t>
      </w:r>
      <w:r w:rsidR="00C629E2">
        <w:rPr>
          <w:rtl/>
        </w:rPr>
        <w:t xml:space="preserve">אנו מעריכים כי </w:t>
      </w:r>
      <w:r w:rsidR="00496BE1">
        <w:rPr>
          <w:rFonts w:hint="cs"/>
          <w:rtl/>
        </w:rPr>
        <w:t xml:space="preserve">הגידול בהיצע העבודה יתרום להתרחבות </w:t>
      </w:r>
      <w:r w:rsidR="00C629E2">
        <w:rPr>
          <w:rtl/>
        </w:rPr>
        <w:t>פוטנציאל הצמיחה של המשק בהשוואה לשנת 2024</w:t>
      </w:r>
      <w:r w:rsidR="00C629E2">
        <w:rPr>
          <w:rFonts w:hint="cs"/>
          <w:rtl/>
        </w:rPr>
        <w:t xml:space="preserve">. מצד הביקוש, אנו מעריכים כי </w:t>
      </w:r>
      <w:r w:rsidR="00C2155B">
        <w:rPr>
          <w:rFonts w:hint="cs"/>
          <w:rtl/>
        </w:rPr>
        <w:t xml:space="preserve">מכסי </w:t>
      </w:r>
      <w:r w:rsidR="0074121D">
        <w:rPr>
          <w:rFonts w:hint="cs"/>
          <w:rtl/>
        </w:rPr>
        <w:t xml:space="preserve">הייבוא הגלובליים </w:t>
      </w:r>
      <w:r w:rsidR="00C629E2">
        <w:rPr>
          <w:rFonts w:hint="cs"/>
          <w:rtl/>
        </w:rPr>
        <w:t>ימתנו את הביקוש</w:t>
      </w:r>
      <w:r w:rsidR="00496BE1">
        <w:rPr>
          <w:rFonts w:hint="cs"/>
          <w:rtl/>
        </w:rPr>
        <w:t xml:space="preserve"> העולמי</w:t>
      </w:r>
      <w:r w:rsidR="00C629E2">
        <w:rPr>
          <w:rFonts w:hint="cs"/>
          <w:rtl/>
        </w:rPr>
        <w:t xml:space="preserve"> </w:t>
      </w:r>
      <w:r w:rsidR="00777437">
        <w:rPr>
          <w:rFonts w:hint="cs"/>
          <w:rtl/>
        </w:rPr>
        <w:t xml:space="preserve">ליצוא </w:t>
      </w:r>
      <w:r w:rsidR="00C629E2">
        <w:rPr>
          <w:rFonts w:hint="cs"/>
          <w:rtl/>
        </w:rPr>
        <w:t>הישראלי, כך שהתוצר יצמח בקצב נמוך מהפוטנציאל ורמתו</w:t>
      </w:r>
      <w:r>
        <w:rPr>
          <w:rtl/>
        </w:rPr>
        <w:t xml:space="preserve"> </w:t>
      </w:r>
      <w:r w:rsidR="00C629E2">
        <w:rPr>
          <w:rFonts w:hint="cs"/>
          <w:rtl/>
        </w:rPr>
        <w:t>ת</w:t>
      </w:r>
      <w:r>
        <w:rPr>
          <w:rtl/>
        </w:rPr>
        <w:t>ישאר מתחת למגמה שאפיינה את צמיחתו בעבר.</w:t>
      </w:r>
    </w:p>
    <w:p w:rsidR="00202530" w:rsidRPr="00BC25F6" w:rsidRDefault="00D7789E" w:rsidP="00317500">
      <w:pPr>
        <w:spacing w:after="240"/>
        <w:ind w:left="6"/>
        <w:jc w:val="both"/>
        <w:rPr>
          <w:rFonts w:cstheme="minorBidi"/>
          <w:rtl/>
        </w:rPr>
      </w:pPr>
      <w:r>
        <w:rPr>
          <w:rtl/>
        </w:rPr>
        <w:lastRenderedPageBreak/>
        <w:t xml:space="preserve">בתחילת המלחמה המחסור בעובדים לא ישראלים הורגש בעיקר בענף הבנייה והביא להאטה בהשקעות בענף. אולם לאורך 2024 עלה מעט מספר העובדים הלא-ישראלים, ובנוסף עובדים ישראלים השתלבו בענף ופיצו במידה רבה על המחסור בעובדים לא-ישראלים בהשוואה למספרם ערב המלחמה. אנו מעריכים כי ההקלה בצד ההיצע בענף הבניה תאפשר שיפור במענה לביקוש הגבוה בטווח התחזית, בפרט לאחר תקופה של מחסור בעובדים והצורך בשיקום מבנים ותשתיות באזורי העימות. לאור זאת, אנו מעריכים כי בשנת 2025 ההשקעה, ובפרט ההשקעה בבניה, תצמח בקצב גבוה יחסית. הצריכה הפרטית צמחה בקצב מהיר במהלך 2024 (צמיחה ממוצעת של 4.3% במונחים שנתיים בין הרבעון השלישי של 2023 לרבעון הרביעי של 2024) ואנו מעריכים כי היא </w:t>
      </w:r>
      <w:r w:rsidR="007E0FFE">
        <w:rPr>
          <w:rFonts w:hint="cs"/>
          <w:rtl/>
        </w:rPr>
        <w:t>תצמח בקצב מתון יותר</w:t>
      </w:r>
      <w:r>
        <w:rPr>
          <w:rtl/>
        </w:rPr>
        <w:t xml:space="preserve"> בטווח התחזית (צמיחה של כ-</w:t>
      </w:r>
      <w:r w:rsidR="007E0FFE">
        <w:rPr>
          <w:rFonts w:hint="cs"/>
          <w:rtl/>
        </w:rPr>
        <w:t>3</w:t>
      </w:r>
      <w:r>
        <w:rPr>
          <w:rtl/>
        </w:rPr>
        <w:t>.5% בין הרבעון הרביעי של 2024 לרבעון הרביעי של 2025, וצמיחה של כ-4% בין הרבעון הרביעי של 2025 לרבעון הרביעי של 2026). הביקוש לצריכה פרטית צפוי להתמתן בשל הע</w:t>
      </w:r>
      <w:r w:rsidR="007E0FFE">
        <w:rPr>
          <w:rtl/>
        </w:rPr>
        <w:t>לאות המסים שהממשלה והכנסת אישרו</w:t>
      </w:r>
      <w:r w:rsidR="00517517">
        <w:rPr>
          <w:rFonts w:hint="cs"/>
          <w:rtl/>
        </w:rPr>
        <w:t xml:space="preserve">. בנוסף, הוא </w:t>
      </w:r>
      <w:r w:rsidR="007E0FFE">
        <w:rPr>
          <w:rFonts w:hint="cs"/>
          <w:rtl/>
        </w:rPr>
        <w:t>צפוי להתמתן לנוכח</w:t>
      </w:r>
      <w:r>
        <w:rPr>
          <w:rtl/>
        </w:rPr>
        <w:t xml:space="preserve"> </w:t>
      </w:r>
      <w:r w:rsidR="007E0FFE">
        <w:rPr>
          <w:rFonts w:hint="cs"/>
          <w:rtl/>
        </w:rPr>
        <w:t>הירידה בערך תיק הנכסים של הציבור בעקבות החרפת מלחמת הסחר, אף שירידה זו הגיעה לאחר עלייה משמעותית בערך התיק, כולל מחירי הדירות</w:t>
      </w:r>
      <w:r>
        <w:rPr>
          <w:rtl/>
        </w:rPr>
        <w:t xml:space="preserve">. אשר לייצוא, אנו מעריכים כי </w:t>
      </w:r>
      <w:r w:rsidR="007E0FFE">
        <w:rPr>
          <w:rFonts w:hint="cs"/>
          <w:rtl/>
        </w:rPr>
        <w:t>ייצוא הסחורות לארה"ב</w:t>
      </w:r>
      <w:r w:rsidR="00B73E44">
        <w:rPr>
          <w:rFonts w:hint="cs"/>
          <w:rtl/>
        </w:rPr>
        <w:t>, המהווה כ-13% מסך ייצוא ה</w:t>
      </w:r>
      <w:r w:rsidR="00235A43">
        <w:rPr>
          <w:rFonts w:hint="cs"/>
          <w:rtl/>
        </w:rPr>
        <w:t>ס</w:t>
      </w:r>
      <w:r w:rsidR="00B73E44">
        <w:rPr>
          <w:rFonts w:hint="cs"/>
          <w:rtl/>
        </w:rPr>
        <w:t>חורות והשירותים,</w:t>
      </w:r>
      <w:r w:rsidR="007E0FFE">
        <w:rPr>
          <w:rFonts w:hint="cs"/>
          <w:rtl/>
        </w:rPr>
        <w:t xml:space="preserve"> ייפגע משמעותית </w:t>
      </w:r>
      <w:r w:rsidR="007625DA">
        <w:rPr>
          <w:rFonts w:hint="cs"/>
          <w:rtl/>
        </w:rPr>
        <w:t>כתוצאה מ</w:t>
      </w:r>
      <w:r w:rsidR="007E0FFE">
        <w:rPr>
          <w:rFonts w:hint="cs"/>
          <w:rtl/>
        </w:rPr>
        <w:t xml:space="preserve">המכסים שהטיל הממשל האמריקאי, ובנוסף, </w:t>
      </w:r>
      <w:r w:rsidR="00517517">
        <w:rPr>
          <w:rFonts w:hint="cs"/>
          <w:rtl/>
        </w:rPr>
        <w:t>שאר רכיבי</w:t>
      </w:r>
      <w:r w:rsidR="007E0FFE">
        <w:rPr>
          <w:rFonts w:hint="cs"/>
          <w:rtl/>
        </w:rPr>
        <w:t xml:space="preserve"> הייצוא יושפע</w:t>
      </w:r>
      <w:r w:rsidR="00517517">
        <w:rPr>
          <w:rFonts w:hint="cs"/>
          <w:rtl/>
        </w:rPr>
        <w:t>ו</w:t>
      </w:r>
      <w:r w:rsidR="007E0FFE">
        <w:rPr>
          <w:rFonts w:hint="cs"/>
          <w:rtl/>
        </w:rPr>
        <w:t xml:space="preserve"> לרעה מהפגיעה בסחר העולמי. </w:t>
      </w:r>
      <w:r w:rsidR="00517517">
        <w:rPr>
          <w:rFonts w:hint="cs"/>
          <w:rtl/>
        </w:rPr>
        <w:t>השפעות שליליות אלו</w:t>
      </w:r>
      <w:r w:rsidR="007E0FFE">
        <w:rPr>
          <w:rFonts w:hint="cs"/>
          <w:rtl/>
        </w:rPr>
        <w:t xml:space="preserve"> צפוי</w:t>
      </w:r>
      <w:r w:rsidR="00517517">
        <w:rPr>
          <w:rFonts w:hint="cs"/>
          <w:rtl/>
        </w:rPr>
        <w:t>ות</w:t>
      </w:r>
      <w:r w:rsidR="007E0FFE">
        <w:rPr>
          <w:rFonts w:hint="cs"/>
          <w:rtl/>
        </w:rPr>
        <w:t xml:space="preserve"> להיות מקוזז</w:t>
      </w:r>
      <w:r w:rsidR="00517517">
        <w:rPr>
          <w:rFonts w:hint="cs"/>
          <w:rtl/>
        </w:rPr>
        <w:t>ו</w:t>
      </w:r>
      <w:r w:rsidR="007E0FFE">
        <w:rPr>
          <w:rFonts w:hint="cs"/>
          <w:rtl/>
        </w:rPr>
        <w:t xml:space="preserve">ת </w:t>
      </w:r>
      <w:r w:rsidR="00517517">
        <w:rPr>
          <w:rFonts w:hint="cs"/>
          <w:rtl/>
        </w:rPr>
        <w:t xml:space="preserve">במידה מסוימת על-ידי </w:t>
      </w:r>
      <w:r>
        <w:rPr>
          <w:rtl/>
        </w:rPr>
        <w:t xml:space="preserve">שיפור הדרגתי </w:t>
      </w:r>
      <w:r w:rsidR="00517517">
        <w:rPr>
          <w:rFonts w:hint="cs"/>
          <w:rtl/>
        </w:rPr>
        <w:t xml:space="preserve">שאנו צופים בענף </w:t>
      </w:r>
      <w:r>
        <w:rPr>
          <w:rtl/>
        </w:rPr>
        <w:t>התיירות ומגידול בביקוש לייצוא הביטחוני. הצריכה הציבורית צפויה להתכנס מלמעלה למגמה ארוכת הטווח שלה, לאור צפי לירידה בהוצאות המלחמה.</w:t>
      </w:r>
      <w:r w:rsidR="0074121D">
        <w:rPr>
          <w:rFonts w:hint="cs"/>
          <w:rtl/>
        </w:rPr>
        <w:t xml:space="preserve"> </w:t>
      </w:r>
      <w:r w:rsidR="00517517">
        <w:rPr>
          <w:rFonts w:hint="cs"/>
          <w:rtl/>
        </w:rPr>
        <w:t xml:space="preserve">שיעור האבטלה צפוי לעלות מעט מרמתו הנוכחית לאור </w:t>
      </w:r>
      <w:r>
        <w:rPr>
          <w:rtl/>
        </w:rPr>
        <w:t>ההתאוששות הצפויה בהיצע העובדים</w:t>
      </w:r>
      <w:r w:rsidR="00517517">
        <w:rPr>
          <w:rFonts w:hint="cs"/>
          <w:rtl/>
        </w:rPr>
        <w:t xml:space="preserve"> </w:t>
      </w:r>
      <w:r w:rsidR="007077AC">
        <w:rPr>
          <w:rFonts w:hint="cs"/>
          <w:rtl/>
        </w:rPr>
        <w:t xml:space="preserve">ועל רקע </w:t>
      </w:r>
      <w:r w:rsidR="00517517">
        <w:rPr>
          <w:rFonts w:hint="cs"/>
          <w:rtl/>
        </w:rPr>
        <w:t>ההתמתנות בביקוש לצריכה הפרטית ולייצוא</w:t>
      </w:r>
      <w:r>
        <w:rPr>
          <w:rtl/>
        </w:rPr>
        <w:t>.</w:t>
      </w:r>
    </w:p>
    <w:p w:rsidR="00202530" w:rsidRPr="00202530" w:rsidRDefault="00D7789E" w:rsidP="00AB05C5">
      <w:pPr>
        <w:spacing w:after="360"/>
        <w:ind w:left="6"/>
        <w:jc w:val="both"/>
        <w:rPr>
          <w:rFonts w:eastAsia="Calibri"/>
        </w:rPr>
      </w:pPr>
      <w:r w:rsidRPr="00D7789E">
        <w:rPr>
          <w:b/>
          <w:bCs/>
          <w:rtl/>
        </w:rPr>
        <w:t xml:space="preserve">הגרעון </w:t>
      </w:r>
      <w:r w:rsidR="00960675">
        <w:rPr>
          <w:rFonts w:hint="cs"/>
          <w:b/>
          <w:bCs/>
          <w:rtl/>
        </w:rPr>
        <w:t xml:space="preserve">בתקציב המדינה </w:t>
      </w:r>
      <w:r w:rsidRPr="00D7789E">
        <w:rPr>
          <w:b/>
          <w:bCs/>
          <w:rtl/>
        </w:rPr>
        <w:t>בשנת 2025 צפוי לעמוד על 4.</w:t>
      </w:r>
      <w:r w:rsidR="0074121D">
        <w:rPr>
          <w:rFonts w:hint="cs"/>
          <w:b/>
          <w:bCs/>
          <w:rtl/>
        </w:rPr>
        <w:t>2</w:t>
      </w:r>
      <w:r w:rsidRPr="00D7789E">
        <w:rPr>
          <w:b/>
          <w:bCs/>
          <w:rtl/>
        </w:rPr>
        <w:t>% תוצר ובשנת 2026 הוא צפוי להסתכם ב-2.</w:t>
      </w:r>
      <w:r w:rsidR="0074121D">
        <w:rPr>
          <w:rFonts w:hint="cs"/>
          <w:b/>
          <w:bCs/>
          <w:rtl/>
        </w:rPr>
        <w:t>9</w:t>
      </w:r>
      <w:r w:rsidRPr="00D7789E">
        <w:rPr>
          <w:b/>
          <w:bCs/>
          <w:rtl/>
        </w:rPr>
        <w:t>% תוצר. החוב הציבורי צפוי לעמוד על 69% תוצר בשנת 2025 ועל 6</w:t>
      </w:r>
      <w:r w:rsidR="0074121D">
        <w:rPr>
          <w:rFonts w:hint="cs"/>
          <w:b/>
          <w:bCs/>
          <w:rtl/>
        </w:rPr>
        <w:t>8</w:t>
      </w:r>
      <w:r w:rsidRPr="00D7789E">
        <w:rPr>
          <w:b/>
          <w:bCs/>
          <w:rtl/>
        </w:rPr>
        <w:t>% תוצר בשנת 2026</w:t>
      </w:r>
      <w:r w:rsidR="000910D7">
        <w:rPr>
          <w:rFonts w:hint="cs"/>
          <w:b/>
          <w:bCs/>
          <w:rtl/>
        </w:rPr>
        <w:t>.</w:t>
      </w:r>
      <w:r w:rsidR="001A2C74">
        <w:rPr>
          <w:rFonts w:hint="cs"/>
          <w:b/>
          <w:bCs/>
          <w:rtl/>
        </w:rPr>
        <w:t xml:space="preserve"> </w:t>
      </w:r>
      <w:r w:rsidRPr="00D7789E">
        <w:rPr>
          <w:rtl/>
        </w:rPr>
        <w:t xml:space="preserve">תחזית זו כוללת את צעדי ההתכנסות שאישרה הכנסת במסגרת התקציב לשנת 2025 ובמסגרת חוק ההסדרים, והיא משקללת גם את התוספות לתקציב הביטחון שהומלצו על ידי ועדת </w:t>
      </w:r>
      <w:proofErr w:type="spellStart"/>
      <w:r w:rsidRPr="00D7789E">
        <w:rPr>
          <w:rtl/>
        </w:rPr>
        <w:t>נגל</w:t>
      </w:r>
      <w:proofErr w:type="spellEnd"/>
      <w:r w:rsidRPr="00D7789E">
        <w:rPr>
          <w:rtl/>
        </w:rPr>
        <w:t xml:space="preserve"> לבחינת תקציב הביטחון ובניין הכוח. בדומה לתחזית מינואר, התחזית הנוכחית משקפת ירידה בהוצאה הביטחונית עם סיום הוצאות המלחמה הזמניות שנדרשות ב-2025 על מנת לשקם מלאים ולהחזיר את הצבא לכשירות, לצד גידול בבסיס תקציב הביטחון לצורך תכנית בניין הכח החדשה. במקביל, אנו מעריכים כי נטל תשלומי הריבית יוסיף לעלות וכי ההוצאה האזרחית במונחי תוצר תישאר יציבה בטווח התחזית. </w:t>
      </w:r>
      <w:r w:rsidR="00BB18E8">
        <w:rPr>
          <w:rFonts w:hint="cs"/>
          <w:rtl/>
        </w:rPr>
        <w:t>ה</w:t>
      </w:r>
      <w:r w:rsidRPr="00D7789E">
        <w:rPr>
          <w:rtl/>
        </w:rPr>
        <w:t xml:space="preserve">תחזית משקפת את ההכנסות הגבוהות בעקבות החלת מיסוי הרווחים הצבורים בתחילת 2025, עוד מעבר למה שגולם בתחזית הקודמת. </w:t>
      </w:r>
      <w:r w:rsidR="0074121D">
        <w:rPr>
          <w:rFonts w:hint="cs"/>
          <w:rtl/>
        </w:rPr>
        <w:t xml:space="preserve">בנוסף, </w:t>
      </w:r>
      <w:r w:rsidRPr="00D7789E">
        <w:rPr>
          <w:rtl/>
        </w:rPr>
        <w:t xml:space="preserve">התחזית לשנת 2026 </w:t>
      </w:r>
      <w:r w:rsidR="0074121D">
        <w:rPr>
          <w:rFonts w:hint="cs"/>
          <w:rtl/>
        </w:rPr>
        <w:t xml:space="preserve">כוללת </w:t>
      </w:r>
      <w:r w:rsidRPr="00D7789E">
        <w:rPr>
          <w:rtl/>
        </w:rPr>
        <w:t xml:space="preserve">הכנסות חד-פעמיות שצפויות כתוצאה מעסקת המכירה של חברת </w:t>
      </w:r>
      <w:proofErr w:type="spellStart"/>
      <w:r w:rsidR="00A01FA0">
        <w:rPr>
          <w:rFonts w:hint="cs"/>
          <w:rtl/>
        </w:rPr>
        <w:t>ו</w:t>
      </w:r>
      <w:r w:rsidRPr="00D7789E">
        <w:rPr>
          <w:rtl/>
        </w:rPr>
        <w:t>ויז</w:t>
      </w:r>
      <w:proofErr w:type="spellEnd"/>
      <w:r w:rsidRPr="00D7789E">
        <w:rPr>
          <w:rtl/>
        </w:rPr>
        <w:t xml:space="preserve"> (</w:t>
      </w:r>
      <w:r w:rsidRPr="00D7789E">
        <w:t>Wiz</w:t>
      </w:r>
      <w:r w:rsidRPr="00D7789E">
        <w:rPr>
          <w:rtl/>
        </w:rPr>
        <w:t xml:space="preserve">). </w:t>
      </w:r>
    </w:p>
    <w:p w:rsidR="00202530" w:rsidRPr="00202530" w:rsidRDefault="00202530" w:rsidP="007C40DE">
      <w:pPr>
        <w:pStyle w:val="a"/>
        <w:rPr>
          <w:rtl/>
        </w:rPr>
      </w:pPr>
      <w:r w:rsidRPr="00202530">
        <w:rPr>
          <w:rtl/>
        </w:rPr>
        <w:t>האינפלציה והריבית</w:t>
      </w:r>
    </w:p>
    <w:p w:rsidR="009B37AE" w:rsidRDefault="00D7789E" w:rsidP="00BB18E8">
      <w:pPr>
        <w:jc w:val="both"/>
        <w:rPr>
          <w:b/>
          <w:rtl/>
        </w:rPr>
      </w:pPr>
      <w:r w:rsidRPr="00D7789E">
        <w:rPr>
          <w:bCs/>
          <w:rtl/>
        </w:rPr>
        <w:t>שיעור האינפלציה במהלך ארבעת הרבעונים המסתיימים ברבעון הראשון של שנת 2026 צפוי לעמוד על 2.</w:t>
      </w:r>
      <w:r w:rsidR="00517517">
        <w:rPr>
          <w:rFonts w:hint="cs"/>
          <w:bCs/>
          <w:rtl/>
        </w:rPr>
        <w:t>5</w:t>
      </w:r>
      <w:r w:rsidRPr="00D7789E">
        <w:rPr>
          <w:bCs/>
          <w:rtl/>
        </w:rPr>
        <w:t xml:space="preserve">% </w:t>
      </w:r>
      <w:r w:rsidRPr="00D7789E">
        <w:rPr>
          <w:b/>
          <w:rtl/>
        </w:rPr>
        <w:t>(לוח 2).</w:t>
      </w:r>
      <w:r w:rsidRPr="00D7789E">
        <w:rPr>
          <w:bCs/>
          <w:rtl/>
        </w:rPr>
        <w:t xml:space="preserve"> בשנת 2025 הוא צפוי לעמוד על 2.</w:t>
      </w:r>
      <w:r w:rsidR="00517517">
        <w:rPr>
          <w:rFonts w:hint="cs"/>
          <w:bCs/>
          <w:rtl/>
        </w:rPr>
        <w:t>6</w:t>
      </w:r>
      <w:r w:rsidRPr="00D7789E">
        <w:rPr>
          <w:bCs/>
          <w:rtl/>
        </w:rPr>
        <w:t xml:space="preserve">% ובשנת 2026 על 2.2% </w:t>
      </w:r>
      <w:r w:rsidR="00202530" w:rsidRPr="00202530">
        <w:rPr>
          <w:b/>
          <w:rtl/>
        </w:rPr>
        <w:t xml:space="preserve">(לוח 1). </w:t>
      </w:r>
      <w:r w:rsidRPr="00D7789E">
        <w:rPr>
          <w:b/>
          <w:rtl/>
        </w:rPr>
        <w:t xml:space="preserve">בתקופת התחזית אנו צופים הקלה במגבלות על צד ההיצע במשק המקומי </w:t>
      </w:r>
      <w:r w:rsidR="00496BE1">
        <w:rPr>
          <w:rFonts w:hint="cs"/>
          <w:b/>
          <w:rtl/>
        </w:rPr>
        <w:t>לצד</w:t>
      </w:r>
      <w:r w:rsidR="00517517">
        <w:rPr>
          <w:rFonts w:hint="cs"/>
          <w:b/>
          <w:rtl/>
        </w:rPr>
        <w:t xml:space="preserve"> התמתנות בביקוש לצריכה הפרטית</w:t>
      </w:r>
      <w:r w:rsidR="00974D42">
        <w:rPr>
          <w:rFonts w:hint="cs"/>
          <w:b/>
          <w:rtl/>
        </w:rPr>
        <w:t xml:space="preserve"> והציבורית</w:t>
      </w:r>
      <w:r w:rsidR="00517517">
        <w:rPr>
          <w:rFonts w:hint="cs"/>
          <w:b/>
          <w:rtl/>
        </w:rPr>
        <w:t xml:space="preserve"> שיובילו</w:t>
      </w:r>
      <w:r w:rsidRPr="00D7789E">
        <w:rPr>
          <w:b/>
          <w:rtl/>
        </w:rPr>
        <w:t xml:space="preserve"> </w:t>
      </w:r>
      <w:r w:rsidR="00517517">
        <w:rPr>
          <w:rFonts w:hint="cs"/>
          <w:b/>
          <w:rtl/>
        </w:rPr>
        <w:t>ל</w:t>
      </w:r>
      <w:r w:rsidRPr="00D7789E">
        <w:rPr>
          <w:b/>
          <w:rtl/>
        </w:rPr>
        <w:t xml:space="preserve">המשך התמתנות של האינפלציה. </w:t>
      </w:r>
      <w:r w:rsidRPr="00C52F8A">
        <w:rPr>
          <w:b/>
          <w:rtl/>
        </w:rPr>
        <w:t xml:space="preserve">התחזית </w:t>
      </w:r>
      <w:r w:rsidR="00C52F8A" w:rsidRPr="00C52F8A">
        <w:rPr>
          <w:rFonts w:hint="cs"/>
          <w:b/>
          <w:rtl/>
        </w:rPr>
        <w:t>הושפעה</w:t>
      </w:r>
      <w:r w:rsidRPr="00C52F8A">
        <w:rPr>
          <w:b/>
          <w:rtl/>
        </w:rPr>
        <w:t xml:space="preserve"> </w:t>
      </w:r>
      <w:r w:rsidR="00C52F8A" w:rsidRPr="00C52F8A">
        <w:rPr>
          <w:rFonts w:hint="cs"/>
          <w:b/>
          <w:rtl/>
        </w:rPr>
        <w:t>מ</w:t>
      </w:r>
      <w:r w:rsidRPr="00C52F8A">
        <w:rPr>
          <w:b/>
          <w:rtl/>
        </w:rPr>
        <w:t xml:space="preserve">מדדי המחירים שהתקבלו מאז </w:t>
      </w:r>
      <w:r w:rsidR="00C52F8A">
        <w:rPr>
          <w:rFonts w:hint="cs"/>
          <w:b/>
          <w:rtl/>
        </w:rPr>
        <w:t xml:space="preserve">פורסמה </w:t>
      </w:r>
      <w:r w:rsidRPr="00C52F8A">
        <w:rPr>
          <w:b/>
          <w:rtl/>
        </w:rPr>
        <w:t>התחזית הקודמת</w:t>
      </w:r>
      <w:r w:rsidR="00C52F8A">
        <w:rPr>
          <w:rFonts w:hint="cs"/>
          <w:b/>
          <w:rtl/>
        </w:rPr>
        <w:t xml:space="preserve"> בינואר</w:t>
      </w:r>
      <w:r w:rsidRPr="00C52F8A">
        <w:rPr>
          <w:b/>
          <w:rtl/>
        </w:rPr>
        <w:t xml:space="preserve"> והיו במצטבר נמוכים מהערכותינו. גם הירידה במחירי הנפט </w:t>
      </w:r>
      <w:r w:rsidR="00C52F8A">
        <w:rPr>
          <w:rFonts w:hint="cs"/>
          <w:b/>
          <w:rtl/>
        </w:rPr>
        <w:t xml:space="preserve">פעלה </w:t>
      </w:r>
      <w:r w:rsidRPr="00C52F8A">
        <w:rPr>
          <w:b/>
          <w:rtl/>
        </w:rPr>
        <w:t xml:space="preserve">לעדכון כלפי מטה </w:t>
      </w:r>
      <w:r w:rsidR="00C52F8A">
        <w:rPr>
          <w:rFonts w:hint="cs"/>
          <w:b/>
          <w:rtl/>
        </w:rPr>
        <w:t>של התחזית אך</w:t>
      </w:r>
      <w:r w:rsidRPr="00C52F8A">
        <w:rPr>
          <w:b/>
          <w:rtl/>
        </w:rPr>
        <w:t xml:space="preserve"> השפעתה קוזזה בשל עליית תחזיות האינפלציה במדינות המפותחות. מאז פורסמה התחזית הקודמת, שער החליפין היה תנודתי, כאשר בתחילת התקופה השקל יוסף ובהמשך הוא פוחת כך שבמצטבר </w:t>
      </w:r>
      <w:r w:rsidR="00C52F8A">
        <w:rPr>
          <w:rFonts w:hint="cs"/>
          <w:b/>
          <w:rtl/>
        </w:rPr>
        <w:t>הוא פעל לעדכון קל כלפי מעלה של התחזית</w:t>
      </w:r>
      <w:r w:rsidRPr="00C52F8A">
        <w:rPr>
          <w:b/>
          <w:rtl/>
        </w:rPr>
        <w:t>.</w:t>
      </w:r>
      <w:r w:rsidR="00D37E42">
        <w:rPr>
          <w:rFonts w:hint="cs"/>
          <w:b/>
          <w:rtl/>
        </w:rPr>
        <w:t xml:space="preserve"> </w:t>
      </w:r>
    </w:p>
    <w:p w:rsidR="00D7789E" w:rsidRPr="00D7789E" w:rsidRDefault="00202530" w:rsidP="00496BE1">
      <w:pPr>
        <w:jc w:val="both"/>
        <w:rPr>
          <w:b/>
          <w:rtl/>
        </w:rPr>
      </w:pPr>
      <w:r w:rsidRPr="00202530">
        <w:rPr>
          <w:bCs/>
          <w:rtl/>
        </w:rPr>
        <w:t xml:space="preserve">הריבית צפויה לעמוד על 4.0% בממוצע ברבעון </w:t>
      </w:r>
      <w:r w:rsidR="00A37310">
        <w:rPr>
          <w:rFonts w:hint="cs"/>
          <w:bCs/>
          <w:rtl/>
        </w:rPr>
        <w:t>הראשון</w:t>
      </w:r>
      <w:r w:rsidRPr="00202530">
        <w:rPr>
          <w:bCs/>
          <w:rtl/>
        </w:rPr>
        <w:t xml:space="preserve"> של 20</w:t>
      </w:r>
      <w:r w:rsidR="00A37310">
        <w:rPr>
          <w:rFonts w:hint="cs"/>
          <w:bCs/>
          <w:rtl/>
        </w:rPr>
        <w:t>26</w:t>
      </w:r>
      <w:r w:rsidRPr="00202530">
        <w:rPr>
          <w:b/>
          <w:rtl/>
        </w:rPr>
        <w:t xml:space="preserve"> (לוח 2). </w:t>
      </w:r>
      <w:r w:rsidR="00D7789E" w:rsidRPr="00D7789E">
        <w:rPr>
          <w:b/>
          <w:rtl/>
        </w:rPr>
        <w:t xml:space="preserve">תחזית זו מגלמת </w:t>
      </w:r>
      <w:r w:rsidR="00496BE1">
        <w:rPr>
          <w:rFonts w:hint="cs"/>
          <w:b/>
          <w:rtl/>
        </w:rPr>
        <w:t>ירידה</w:t>
      </w:r>
      <w:r w:rsidR="00D7789E" w:rsidRPr="00D7789E">
        <w:rPr>
          <w:b/>
          <w:rtl/>
        </w:rPr>
        <w:t xml:space="preserve"> הדרגתית של הריבית מרמתה הנוכחית במטרה </w:t>
      </w:r>
      <w:r w:rsidR="00496BE1">
        <w:rPr>
          <w:rFonts w:hint="cs"/>
          <w:b/>
          <w:rtl/>
        </w:rPr>
        <w:t>לתמוך</w:t>
      </w:r>
      <w:r w:rsidR="00D7789E" w:rsidRPr="00D7789E">
        <w:rPr>
          <w:b/>
          <w:rtl/>
        </w:rPr>
        <w:t xml:space="preserve"> </w:t>
      </w:r>
      <w:r w:rsidR="00496BE1">
        <w:rPr>
          <w:rFonts w:hint="cs"/>
          <w:b/>
          <w:rtl/>
        </w:rPr>
        <w:t>ב</w:t>
      </w:r>
      <w:r w:rsidR="00D7789E" w:rsidRPr="00D7789E">
        <w:rPr>
          <w:b/>
          <w:rtl/>
        </w:rPr>
        <w:t>התכנסות האינפלציה ליעד, תוך התאמה של הביקוש המצרפי להיצע שצפוי להתאושש בהדרגה.</w:t>
      </w:r>
    </w:p>
    <w:p w:rsidR="00DA511E" w:rsidRDefault="00D7789E" w:rsidP="005E3D84">
      <w:pPr>
        <w:jc w:val="both"/>
        <w:rPr>
          <w:b/>
          <w:sz w:val="20"/>
          <w:szCs w:val="20"/>
          <w:rtl/>
        </w:rPr>
      </w:pPr>
      <w:r w:rsidRPr="00D7789E">
        <w:rPr>
          <w:b/>
          <w:rtl/>
        </w:rPr>
        <w:t>מלוח 2 עולה כי תחזית החטיבה לאינפלציה במהלך ארבעת הרביעים הקרובים דומה לממוצע תחזיות החזאים הפרטיים וגבוהה מהתחזית הנגזרת משוק ההון. תחזית החטיבה לריבית בעוד ארבעה רביעים דומה לציפיות הנגזרות משוק ההון וגבוהה מעט בהשוואה לממוצע תחזיות החזאים.</w:t>
      </w:r>
      <w:r w:rsidR="00DA511E">
        <w:rPr>
          <w:b/>
          <w:sz w:val="20"/>
          <w:szCs w:val="20"/>
          <w:rtl/>
        </w:rPr>
        <w:br w:type="page"/>
      </w:r>
    </w:p>
    <w:tbl>
      <w:tblPr>
        <w:bidiVisual/>
        <w:tblW w:w="5000" w:type="pct"/>
        <w:jc w:val="center"/>
        <w:tblLook w:val="04A0" w:firstRow="1" w:lastRow="0" w:firstColumn="1" w:lastColumn="0" w:noHBand="0" w:noVBand="1"/>
      </w:tblPr>
      <w:tblGrid>
        <w:gridCol w:w="2903"/>
        <w:gridCol w:w="2366"/>
        <w:gridCol w:w="2366"/>
        <w:gridCol w:w="2111"/>
      </w:tblGrid>
      <w:tr w:rsidR="00C94167" w:rsidRPr="00582BD2" w:rsidTr="00261FA6">
        <w:trPr>
          <w:trHeight w:val="280"/>
          <w:jc w:val="center"/>
        </w:trPr>
        <w:tc>
          <w:tcPr>
            <w:tcW w:w="5000" w:type="pct"/>
            <w:gridSpan w:val="4"/>
            <w:tcBorders>
              <w:top w:val="nil"/>
              <w:left w:val="nil"/>
              <w:bottom w:val="nil"/>
              <w:right w:val="nil"/>
            </w:tcBorders>
            <w:shd w:val="clear" w:color="auto" w:fill="auto"/>
            <w:noWrap/>
            <w:vAlign w:val="bottom"/>
            <w:hideMark/>
          </w:tcPr>
          <w:p w:rsidR="00C94167" w:rsidRPr="00582BD2" w:rsidRDefault="00C94167" w:rsidP="00C94167">
            <w:pPr>
              <w:spacing w:after="0"/>
              <w:rPr>
                <w:rFonts w:eastAsia="Times New Roman"/>
                <w:b/>
                <w:bCs/>
                <w:color w:val="000000"/>
                <w:sz w:val="28"/>
                <w:szCs w:val="28"/>
              </w:rPr>
            </w:pPr>
            <w:r w:rsidRPr="00C94167">
              <w:rPr>
                <w:rFonts w:eastAsia="Times New Roman"/>
                <w:b/>
                <w:bCs/>
                <w:color w:val="000000"/>
                <w:sz w:val="24"/>
                <w:szCs w:val="24"/>
                <w:rtl/>
              </w:rPr>
              <w:lastRenderedPageBreak/>
              <w:t xml:space="preserve">לוח  2 | התחזיות לגבי האינפלציה במהלך השנה הקרובה ולגבי הריבית בעוד שנה </w:t>
            </w:r>
          </w:p>
        </w:tc>
      </w:tr>
      <w:tr w:rsidR="00C94167" w:rsidRPr="00582BD2" w:rsidTr="00261FA6">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C94167" w:rsidRPr="00582BD2" w:rsidRDefault="00C94167" w:rsidP="007B1E2D">
            <w:pPr>
              <w:spacing w:after="0" w:line="240" w:lineRule="auto"/>
              <w:rPr>
                <w:rFonts w:eastAsia="Times New Roman"/>
                <w:color w:val="000000"/>
                <w:sz w:val="24"/>
                <w:szCs w:val="24"/>
                <w:rtl/>
              </w:rPr>
            </w:pPr>
            <w:r w:rsidRPr="00C94167">
              <w:rPr>
                <w:rFonts w:eastAsia="Times New Roman"/>
                <w:color w:val="000000"/>
                <w:rtl/>
              </w:rPr>
              <w:t>(אחוזים)</w:t>
            </w:r>
          </w:p>
        </w:tc>
      </w:tr>
      <w:tr w:rsidR="00C94167" w:rsidRPr="00582BD2" w:rsidTr="00DA511E">
        <w:trPr>
          <w:trHeight w:val="660"/>
          <w:jc w:val="center"/>
        </w:trPr>
        <w:tc>
          <w:tcPr>
            <w:tcW w:w="1489" w:type="pct"/>
            <w:tcBorders>
              <w:top w:val="nil"/>
              <w:left w:val="nil"/>
              <w:bottom w:val="single" w:sz="4" w:space="0" w:color="1F497D"/>
              <w:right w:val="nil"/>
            </w:tcBorders>
            <w:shd w:val="clear" w:color="auto" w:fill="auto"/>
            <w:noWrap/>
            <w:vAlign w:val="bottom"/>
            <w:hideMark/>
          </w:tcPr>
          <w:p w:rsidR="00C94167" w:rsidRPr="00582BD2" w:rsidRDefault="00C94167" w:rsidP="007B1E2D">
            <w:pPr>
              <w:bidi w:val="0"/>
              <w:spacing w:after="0" w:line="240" w:lineRule="auto"/>
              <w:rPr>
                <w:rFonts w:eastAsia="Times New Roman"/>
                <w:color w:val="000000"/>
              </w:rPr>
            </w:pPr>
            <w:r w:rsidRPr="00582BD2">
              <w:rPr>
                <w:rFonts w:eastAsia="Times New Roman"/>
                <w:color w:val="000000"/>
              </w:rPr>
              <w:t> </w:t>
            </w:r>
          </w:p>
        </w:tc>
        <w:tc>
          <w:tcPr>
            <w:tcW w:w="1214" w:type="pct"/>
            <w:tcBorders>
              <w:top w:val="nil"/>
              <w:left w:val="nil"/>
              <w:bottom w:val="nil"/>
              <w:right w:val="nil"/>
            </w:tcBorders>
            <w:shd w:val="clear" w:color="auto" w:fill="auto"/>
            <w:vAlign w:val="center"/>
            <w:hideMark/>
          </w:tcPr>
          <w:p w:rsidR="00C94167" w:rsidRPr="00582BD2" w:rsidRDefault="00C94167" w:rsidP="00261FA6">
            <w:pPr>
              <w:spacing w:after="0" w:line="240" w:lineRule="auto"/>
              <w:rPr>
                <w:rFonts w:eastAsia="Times New Roman"/>
                <w:color w:val="1F497D"/>
              </w:rPr>
            </w:pPr>
            <w:r w:rsidRPr="00582BD2">
              <w:rPr>
                <w:rFonts w:eastAsia="Times New Roman"/>
                <w:color w:val="1F497D"/>
                <w:rtl/>
              </w:rPr>
              <w:t>חטיבת המחקר של בנק ישראל</w:t>
            </w:r>
            <w:r w:rsidR="00AE30C2" w:rsidRPr="00582BD2">
              <w:rPr>
                <w:rFonts w:eastAsia="Times New Roman"/>
                <w:color w:val="1F497D"/>
                <w:vertAlign w:val="superscript"/>
                <w:rtl/>
              </w:rPr>
              <w:t>1</w:t>
            </w:r>
          </w:p>
        </w:tc>
        <w:tc>
          <w:tcPr>
            <w:tcW w:w="1214"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שוק ההון</w:t>
            </w:r>
            <w:r w:rsidR="00AE30C2">
              <w:rPr>
                <w:rFonts w:eastAsia="Times New Roman" w:hint="cs"/>
                <w:color w:val="1F497D"/>
                <w:vertAlign w:val="superscript"/>
                <w:rtl/>
              </w:rPr>
              <w:t>2</w:t>
            </w:r>
          </w:p>
        </w:tc>
        <w:tc>
          <w:tcPr>
            <w:tcW w:w="1083" w:type="pct"/>
            <w:tcBorders>
              <w:top w:val="nil"/>
              <w:left w:val="nil"/>
              <w:bottom w:val="single" w:sz="4" w:space="0" w:color="1F497D"/>
              <w:right w:val="nil"/>
            </w:tcBorders>
            <w:shd w:val="clear" w:color="auto" w:fill="auto"/>
            <w:vAlign w:val="center"/>
            <w:hideMark/>
          </w:tcPr>
          <w:p w:rsidR="00C94167" w:rsidRPr="00582BD2" w:rsidRDefault="00C94167" w:rsidP="00AE30C2">
            <w:pPr>
              <w:spacing w:after="0" w:line="240" w:lineRule="auto"/>
              <w:rPr>
                <w:rFonts w:eastAsia="Times New Roman"/>
                <w:color w:val="1F497D"/>
                <w:rtl/>
              </w:rPr>
            </w:pPr>
            <w:r w:rsidRPr="00582BD2">
              <w:rPr>
                <w:rFonts w:eastAsia="Times New Roman"/>
                <w:color w:val="1F497D"/>
                <w:rtl/>
              </w:rPr>
              <w:t>החזאים הפרטיים</w:t>
            </w:r>
            <w:r w:rsidR="00AE30C2">
              <w:rPr>
                <w:rFonts w:eastAsia="Times New Roman" w:hint="cs"/>
                <w:color w:val="1F497D"/>
                <w:vertAlign w:val="superscript"/>
                <w:rtl/>
              </w:rPr>
              <w:t>3</w:t>
            </w:r>
            <w:r w:rsidRPr="00582BD2">
              <w:rPr>
                <w:rFonts w:eastAsia="Times New Roman"/>
                <w:color w:val="1F497D"/>
                <w:rtl/>
              </w:rPr>
              <w:br/>
              <w:t>(טווח התחזיות)</w:t>
            </w:r>
          </w:p>
        </w:tc>
      </w:tr>
      <w:tr w:rsidR="00C94167" w:rsidRPr="00582BD2" w:rsidTr="00DA511E">
        <w:trPr>
          <w:trHeight w:val="300"/>
          <w:jc w:val="center"/>
        </w:trPr>
        <w:tc>
          <w:tcPr>
            <w:tcW w:w="1489" w:type="pct"/>
            <w:tcBorders>
              <w:top w:val="nil"/>
              <w:left w:val="nil"/>
              <w:bottom w:val="nil"/>
              <w:right w:val="nil"/>
            </w:tcBorders>
            <w:shd w:val="clear" w:color="auto" w:fill="auto"/>
            <w:vAlign w:val="center"/>
            <w:hideMark/>
          </w:tcPr>
          <w:p w:rsidR="00C94167" w:rsidRPr="00582BD2" w:rsidRDefault="00C94167" w:rsidP="009D3490">
            <w:pPr>
              <w:spacing w:after="0" w:line="240" w:lineRule="auto"/>
              <w:rPr>
                <w:rFonts w:eastAsia="Times New Roman"/>
                <w:rtl/>
              </w:rPr>
            </w:pPr>
            <w:r w:rsidRPr="00582BD2">
              <w:rPr>
                <w:rFonts w:eastAsia="Times New Roman"/>
                <w:rtl/>
              </w:rPr>
              <w:t>האינפלציה</w:t>
            </w:r>
          </w:p>
        </w:tc>
        <w:tc>
          <w:tcPr>
            <w:tcW w:w="1214" w:type="pct"/>
            <w:tcBorders>
              <w:top w:val="single" w:sz="4" w:space="0" w:color="1F497D"/>
              <w:left w:val="nil"/>
              <w:bottom w:val="nil"/>
              <w:right w:val="nil"/>
            </w:tcBorders>
            <w:shd w:val="clear" w:color="auto" w:fill="auto"/>
            <w:noWrap/>
            <w:vAlign w:val="bottom"/>
            <w:hideMark/>
          </w:tcPr>
          <w:p w:rsidR="00C94167" w:rsidRPr="00582BD2" w:rsidRDefault="00C94167" w:rsidP="009F7582">
            <w:pPr>
              <w:spacing w:after="0" w:line="240" w:lineRule="auto"/>
              <w:rPr>
                <w:rFonts w:eastAsia="Times New Roman"/>
                <w:color w:val="000000"/>
                <w:rtl/>
              </w:rPr>
            </w:pPr>
            <w:r w:rsidRPr="00582BD2">
              <w:rPr>
                <w:rFonts w:eastAsia="Times New Roman" w:hint="cs"/>
                <w:color w:val="000000"/>
                <w:rtl/>
              </w:rPr>
              <w:t>2.</w:t>
            </w:r>
            <w:r w:rsidR="009F7582">
              <w:rPr>
                <w:rFonts w:eastAsia="Times New Roman" w:hint="cs"/>
                <w:color w:val="000000"/>
                <w:rtl/>
              </w:rPr>
              <w:t>5</w:t>
            </w:r>
          </w:p>
        </w:tc>
        <w:tc>
          <w:tcPr>
            <w:tcW w:w="1214" w:type="pct"/>
            <w:tcBorders>
              <w:top w:val="nil"/>
              <w:left w:val="nil"/>
              <w:bottom w:val="nil"/>
              <w:right w:val="nil"/>
            </w:tcBorders>
            <w:shd w:val="clear" w:color="auto" w:fill="auto"/>
            <w:noWrap/>
            <w:vAlign w:val="bottom"/>
            <w:hideMark/>
          </w:tcPr>
          <w:p w:rsidR="00C94167" w:rsidRPr="00582BD2" w:rsidRDefault="00D7789E" w:rsidP="007625DA">
            <w:pPr>
              <w:spacing w:after="0" w:line="240" w:lineRule="auto"/>
              <w:rPr>
                <w:rFonts w:eastAsia="Times New Roman"/>
                <w:color w:val="000000"/>
                <w:rtl/>
              </w:rPr>
            </w:pPr>
            <w:r>
              <w:rPr>
                <w:rFonts w:eastAsia="Times New Roman" w:hint="cs"/>
                <w:color w:val="000000"/>
                <w:rtl/>
              </w:rPr>
              <w:t>1.</w:t>
            </w:r>
            <w:r w:rsidR="007625DA">
              <w:rPr>
                <w:rFonts w:eastAsia="Times New Roman" w:hint="cs"/>
                <w:color w:val="000000"/>
                <w:rtl/>
              </w:rPr>
              <w:t>7</w:t>
            </w:r>
          </w:p>
        </w:tc>
        <w:tc>
          <w:tcPr>
            <w:tcW w:w="1083" w:type="pct"/>
            <w:tcBorders>
              <w:top w:val="nil"/>
              <w:left w:val="nil"/>
              <w:bottom w:val="nil"/>
              <w:right w:val="nil"/>
            </w:tcBorders>
            <w:shd w:val="clear" w:color="auto" w:fill="auto"/>
            <w:noWrap/>
            <w:vAlign w:val="bottom"/>
            <w:hideMark/>
          </w:tcPr>
          <w:p w:rsidR="00C94167" w:rsidRPr="00582BD2" w:rsidRDefault="00C94167" w:rsidP="007625DA">
            <w:pPr>
              <w:spacing w:after="0" w:line="240" w:lineRule="auto"/>
              <w:rPr>
                <w:rFonts w:eastAsia="Times New Roman"/>
                <w:color w:val="000000"/>
                <w:rtl/>
              </w:rPr>
            </w:pPr>
            <w:r w:rsidRPr="00582BD2">
              <w:rPr>
                <w:rFonts w:eastAsia="Times New Roman" w:hint="cs"/>
                <w:color w:val="000000"/>
                <w:rtl/>
              </w:rPr>
              <w:t>2</w:t>
            </w:r>
            <w:r w:rsidR="00E40883">
              <w:rPr>
                <w:rFonts w:eastAsia="Times New Roman" w:hint="cs"/>
                <w:color w:val="000000"/>
                <w:rtl/>
              </w:rPr>
              <w:t>.</w:t>
            </w:r>
            <w:r w:rsidR="00347DBE">
              <w:rPr>
                <w:rFonts w:eastAsia="Times New Roman" w:hint="cs"/>
                <w:color w:val="000000"/>
                <w:rtl/>
              </w:rPr>
              <w:t>4</w:t>
            </w:r>
            <w:r w:rsidR="00347DBE" w:rsidRPr="00582BD2">
              <w:rPr>
                <w:rFonts w:eastAsia="Times New Roman" w:hint="cs"/>
                <w:color w:val="000000"/>
                <w:rtl/>
              </w:rPr>
              <w:t xml:space="preserve"> </w:t>
            </w:r>
            <w:r w:rsidRPr="00582BD2">
              <w:rPr>
                <w:rFonts w:eastAsia="Times New Roman" w:hint="cs"/>
                <w:color w:val="000000"/>
                <w:rtl/>
              </w:rPr>
              <w:t>(</w:t>
            </w:r>
            <w:r w:rsidR="00347DBE">
              <w:rPr>
                <w:rFonts w:eastAsia="Times New Roman" w:hint="cs"/>
                <w:color w:val="000000"/>
                <w:rtl/>
              </w:rPr>
              <w:t>2.0</w:t>
            </w:r>
            <w:r w:rsidRPr="00582BD2">
              <w:rPr>
                <w:rFonts w:eastAsia="Times New Roman" w:hint="cs"/>
                <w:color w:val="000000"/>
                <w:rtl/>
              </w:rPr>
              <w:t>—</w:t>
            </w:r>
            <w:r w:rsidR="00D7789E">
              <w:rPr>
                <w:rFonts w:eastAsia="Times New Roman" w:hint="cs"/>
                <w:color w:val="000000"/>
                <w:rtl/>
              </w:rPr>
              <w:t>3.</w:t>
            </w:r>
            <w:r w:rsidR="00347DBE">
              <w:rPr>
                <w:rFonts w:eastAsia="Times New Roman" w:hint="cs"/>
                <w:color w:val="000000"/>
                <w:rtl/>
              </w:rPr>
              <w:t>2</w:t>
            </w:r>
            <w:r w:rsidRPr="00582BD2">
              <w:rPr>
                <w:rFonts w:eastAsia="Times New Roman" w:hint="cs"/>
                <w:color w:val="000000"/>
                <w:rtl/>
              </w:rPr>
              <w:t>)</w:t>
            </w:r>
          </w:p>
        </w:tc>
      </w:tr>
      <w:tr w:rsidR="00C94167" w:rsidRPr="00582BD2" w:rsidTr="00DA511E">
        <w:trPr>
          <w:trHeight w:val="300"/>
          <w:jc w:val="center"/>
        </w:trPr>
        <w:tc>
          <w:tcPr>
            <w:tcW w:w="1489" w:type="pct"/>
            <w:tcBorders>
              <w:top w:val="nil"/>
              <w:left w:val="nil"/>
              <w:bottom w:val="single" w:sz="4" w:space="0" w:color="1F497D"/>
              <w:right w:val="nil"/>
            </w:tcBorders>
            <w:shd w:val="clear" w:color="auto" w:fill="auto"/>
            <w:vAlign w:val="center"/>
            <w:hideMark/>
          </w:tcPr>
          <w:p w:rsidR="00C94167" w:rsidRPr="00582BD2" w:rsidRDefault="00C94167" w:rsidP="009D3490">
            <w:pPr>
              <w:spacing w:after="0" w:line="240" w:lineRule="auto"/>
              <w:rPr>
                <w:rFonts w:eastAsia="Times New Roman"/>
                <w:color w:val="000000"/>
                <w:rtl/>
              </w:rPr>
            </w:pPr>
            <w:r w:rsidRPr="00582BD2">
              <w:rPr>
                <w:rFonts w:eastAsia="Times New Roman"/>
                <w:color w:val="000000"/>
                <w:rtl/>
              </w:rPr>
              <w:t>ריבית בנק ישראל</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C94167" w:rsidP="00E40883">
            <w:pPr>
              <w:spacing w:after="0" w:line="240" w:lineRule="auto"/>
              <w:rPr>
                <w:rFonts w:eastAsia="Times New Roman"/>
                <w:color w:val="000000"/>
                <w:rtl/>
              </w:rPr>
            </w:pPr>
            <w:r w:rsidRPr="00582BD2">
              <w:rPr>
                <w:rFonts w:eastAsia="Times New Roman" w:hint="cs"/>
                <w:color w:val="000000"/>
                <w:rtl/>
              </w:rPr>
              <w:t>4.0</w:t>
            </w:r>
          </w:p>
        </w:tc>
        <w:tc>
          <w:tcPr>
            <w:tcW w:w="1214" w:type="pct"/>
            <w:tcBorders>
              <w:top w:val="nil"/>
              <w:left w:val="nil"/>
              <w:bottom w:val="single" w:sz="4" w:space="0" w:color="1F497D"/>
              <w:right w:val="nil"/>
            </w:tcBorders>
            <w:shd w:val="clear" w:color="auto" w:fill="auto"/>
            <w:noWrap/>
            <w:vAlign w:val="bottom"/>
            <w:hideMark/>
          </w:tcPr>
          <w:p w:rsidR="00C94167" w:rsidRPr="00582BD2" w:rsidRDefault="006C71DC" w:rsidP="00261FA6">
            <w:pPr>
              <w:spacing w:after="0" w:line="240" w:lineRule="auto"/>
              <w:rPr>
                <w:rFonts w:eastAsia="Times New Roman"/>
                <w:color w:val="000000"/>
                <w:rtl/>
              </w:rPr>
            </w:pPr>
            <w:r>
              <w:rPr>
                <w:rFonts w:eastAsia="Times New Roman" w:hint="cs"/>
                <w:color w:val="000000"/>
                <w:rtl/>
              </w:rPr>
              <w:t>3.9</w:t>
            </w:r>
          </w:p>
        </w:tc>
        <w:tc>
          <w:tcPr>
            <w:tcW w:w="1083" w:type="pct"/>
            <w:tcBorders>
              <w:top w:val="nil"/>
              <w:left w:val="nil"/>
              <w:bottom w:val="single" w:sz="4" w:space="0" w:color="1F497D"/>
              <w:right w:val="nil"/>
            </w:tcBorders>
            <w:shd w:val="clear" w:color="auto" w:fill="auto"/>
            <w:noWrap/>
            <w:vAlign w:val="bottom"/>
            <w:hideMark/>
          </w:tcPr>
          <w:p w:rsidR="00C94167" w:rsidRPr="00582BD2" w:rsidRDefault="00E40883" w:rsidP="00E40883">
            <w:pPr>
              <w:spacing w:after="0" w:line="240" w:lineRule="auto"/>
              <w:rPr>
                <w:rFonts w:eastAsia="Times New Roman"/>
                <w:color w:val="000000"/>
                <w:rtl/>
              </w:rPr>
            </w:pPr>
            <w:r>
              <w:rPr>
                <w:rFonts w:eastAsia="Times New Roman"/>
                <w:color w:val="000000"/>
              </w:rPr>
              <w:t>3.8</w:t>
            </w:r>
            <w:r w:rsidR="00C94167">
              <w:rPr>
                <w:rFonts w:eastAsia="Times New Roman" w:hint="cs"/>
                <w:color w:val="000000"/>
                <w:rtl/>
              </w:rPr>
              <w:t xml:space="preserve"> </w:t>
            </w:r>
            <w:r w:rsidR="00C94167" w:rsidRPr="00582BD2">
              <w:rPr>
                <w:rFonts w:eastAsia="Times New Roman"/>
                <w:color w:val="000000"/>
              </w:rPr>
              <w:t>(</w:t>
            </w:r>
            <w:r>
              <w:rPr>
                <w:rFonts w:eastAsia="Times New Roman"/>
                <w:color w:val="000000"/>
              </w:rPr>
              <w:t>4.1</w:t>
            </w:r>
            <w:r w:rsidR="00C94167" w:rsidRPr="00582BD2">
              <w:rPr>
                <w:rFonts w:eastAsia="Times New Roman"/>
                <w:color w:val="000000"/>
              </w:rPr>
              <w:t>—</w:t>
            </w:r>
            <w:r>
              <w:rPr>
                <w:rFonts w:eastAsia="Times New Roman"/>
                <w:color w:val="000000"/>
              </w:rPr>
              <w:t>3.3</w:t>
            </w:r>
            <w:r w:rsidR="00C94167" w:rsidRPr="00582BD2">
              <w:rPr>
                <w:rFonts w:eastAsia="Times New Roman"/>
                <w:color w:val="000000"/>
              </w:rPr>
              <w:t>)</w:t>
            </w:r>
          </w:p>
        </w:tc>
      </w:tr>
      <w:tr w:rsidR="00AE30C2" w:rsidRPr="00582BD2" w:rsidTr="00BD5F22">
        <w:trPr>
          <w:trHeight w:val="285"/>
          <w:jc w:val="center"/>
        </w:trPr>
        <w:tc>
          <w:tcPr>
            <w:tcW w:w="5000" w:type="pct"/>
            <w:gridSpan w:val="4"/>
            <w:tcBorders>
              <w:top w:val="nil"/>
              <w:left w:val="nil"/>
              <w:bottom w:val="nil"/>
              <w:right w:val="nil"/>
            </w:tcBorders>
            <w:shd w:val="clear" w:color="auto" w:fill="auto"/>
            <w:noWrap/>
            <w:vAlign w:val="bottom"/>
          </w:tcPr>
          <w:p w:rsidR="00AE30C2" w:rsidRPr="00C94167" w:rsidRDefault="00AE30C2" w:rsidP="00CD74E7">
            <w:pPr>
              <w:spacing w:after="0" w:line="240" w:lineRule="auto"/>
              <w:rPr>
                <w:rFonts w:eastAsia="Times New Roman"/>
                <w:color w:val="000000"/>
                <w:sz w:val="20"/>
                <w:szCs w:val="20"/>
                <w:rtl/>
              </w:rPr>
            </w:pPr>
            <w:r>
              <w:rPr>
                <w:rFonts w:eastAsia="Times New Roman" w:hint="cs"/>
                <w:color w:val="000000"/>
                <w:sz w:val="20"/>
                <w:szCs w:val="20"/>
                <w:vertAlign w:val="superscript"/>
                <w:rtl/>
              </w:rPr>
              <w:t>1</w:t>
            </w:r>
            <w:r w:rsidRPr="00C94167">
              <w:rPr>
                <w:rFonts w:eastAsia="Times New Roman"/>
                <w:color w:val="000000"/>
                <w:sz w:val="20"/>
                <w:szCs w:val="20"/>
                <w:rtl/>
              </w:rPr>
              <w:t xml:space="preserve"> </w:t>
            </w:r>
            <w:r>
              <w:rPr>
                <w:rFonts w:eastAsia="Times New Roman" w:hint="cs"/>
                <w:color w:val="000000"/>
                <w:sz w:val="20"/>
                <w:szCs w:val="20"/>
                <w:rtl/>
              </w:rPr>
              <w:t xml:space="preserve">תחזית </w:t>
            </w:r>
            <w:r w:rsidR="009D3490">
              <w:rPr>
                <w:rFonts w:eastAsia="Times New Roman" w:hint="cs"/>
                <w:color w:val="000000"/>
                <w:sz w:val="20"/>
                <w:szCs w:val="20"/>
                <w:rtl/>
              </w:rPr>
              <w:t>לאינפלציה ב</w:t>
            </w:r>
            <w:r w:rsidRPr="00C94167">
              <w:rPr>
                <w:rFonts w:eastAsia="Times New Roman"/>
                <w:color w:val="000000"/>
                <w:sz w:val="20"/>
                <w:szCs w:val="20"/>
                <w:rtl/>
              </w:rPr>
              <w:t>ארבעת הרבעונים המסתיימים ברבעון ה</w:t>
            </w:r>
            <w:r w:rsidR="00CD74E7">
              <w:rPr>
                <w:rFonts w:eastAsia="Times New Roman" w:hint="cs"/>
                <w:color w:val="000000"/>
                <w:sz w:val="20"/>
                <w:szCs w:val="20"/>
                <w:rtl/>
              </w:rPr>
              <w:t>ראשון</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009D3490">
              <w:rPr>
                <w:rFonts w:eastAsia="Times New Roman" w:hint="cs"/>
                <w:color w:val="000000"/>
                <w:sz w:val="20"/>
                <w:szCs w:val="20"/>
                <w:rtl/>
              </w:rPr>
              <w:t xml:space="preserve"> ול</w:t>
            </w:r>
            <w:r w:rsidRPr="00C94167">
              <w:rPr>
                <w:rFonts w:eastAsia="Times New Roman"/>
                <w:color w:val="000000"/>
                <w:sz w:val="20"/>
                <w:szCs w:val="20"/>
                <w:rtl/>
              </w:rPr>
              <w:t xml:space="preserve">ריבית הממוצעת ברבעון </w:t>
            </w:r>
            <w:r w:rsidR="00CD74E7">
              <w:rPr>
                <w:rFonts w:eastAsia="Times New Roman" w:hint="cs"/>
                <w:color w:val="000000"/>
                <w:sz w:val="20"/>
                <w:szCs w:val="20"/>
                <w:rtl/>
              </w:rPr>
              <w:t>הראשון</w:t>
            </w:r>
            <w:r w:rsidRPr="00C94167">
              <w:rPr>
                <w:rFonts w:eastAsia="Times New Roman"/>
                <w:color w:val="000000"/>
                <w:sz w:val="20"/>
                <w:szCs w:val="20"/>
                <w:rtl/>
              </w:rPr>
              <w:t xml:space="preserve"> של 202</w:t>
            </w:r>
            <w:r w:rsidR="00CD74E7">
              <w:rPr>
                <w:rFonts w:eastAsia="Times New Roman" w:hint="cs"/>
                <w:color w:val="000000"/>
                <w:sz w:val="20"/>
                <w:szCs w:val="20"/>
                <w:rtl/>
              </w:rPr>
              <w:t>6</w:t>
            </w:r>
            <w:r w:rsidRPr="00C94167">
              <w:rPr>
                <w:rFonts w:eastAsia="Times New Roman"/>
                <w:color w:val="000000"/>
                <w:sz w:val="20"/>
                <w:szCs w:val="20"/>
                <w:rtl/>
              </w:rPr>
              <w:t>.</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7625DA">
            <w:pPr>
              <w:spacing w:after="0" w:line="240" w:lineRule="auto"/>
              <w:rPr>
                <w:rFonts w:eastAsia="Times New Roman"/>
                <w:color w:val="000000"/>
                <w:sz w:val="20"/>
                <w:szCs w:val="20"/>
                <w:rtl/>
              </w:rPr>
            </w:pPr>
            <w:r>
              <w:rPr>
                <w:rFonts w:eastAsia="Times New Roman" w:hint="cs"/>
                <w:color w:val="000000"/>
                <w:sz w:val="20"/>
                <w:szCs w:val="20"/>
                <w:vertAlign w:val="superscript"/>
                <w:rtl/>
              </w:rPr>
              <w:t>2</w:t>
            </w:r>
            <w:r w:rsidRPr="00C94167">
              <w:rPr>
                <w:rFonts w:eastAsia="Times New Roman"/>
                <w:color w:val="000000"/>
                <w:sz w:val="20"/>
                <w:szCs w:val="20"/>
                <w:rtl/>
              </w:rPr>
              <w:t xml:space="preserve"> </w:t>
            </w:r>
            <w:r>
              <w:rPr>
                <w:rFonts w:eastAsia="Times New Roman"/>
                <w:color w:val="000000"/>
                <w:sz w:val="20"/>
                <w:szCs w:val="20"/>
                <w:rtl/>
              </w:rPr>
              <w:t>נכון לנתוני ה-</w:t>
            </w:r>
            <w:r w:rsidR="00BB18E8">
              <w:rPr>
                <w:rFonts w:eastAsia="Times New Roman" w:hint="cs"/>
                <w:color w:val="000000"/>
                <w:sz w:val="20"/>
                <w:szCs w:val="20"/>
                <w:rtl/>
              </w:rPr>
              <w:t xml:space="preserve"> </w:t>
            </w:r>
            <w:r w:rsidR="007625DA">
              <w:rPr>
                <w:rFonts w:eastAsia="Times New Roman" w:hint="cs"/>
                <w:color w:val="000000"/>
                <w:sz w:val="20"/>
                <w:szCs w:val="20"/>
                <w:rtl/>
              </w:rPr>
              <w:t>6</w:t>
            </w:r>
            <w:r w:rsidR="00D7789E">
              <w:rPr>
                <w:rFonts w:eastAsia="Times New Roman" w:hint="cs"/>
                <w:color w:val="000000"/>
                <w:sz w:val="20"/>
                <w:szCs w:val="20"/>
                <w:rtl/>
              </w:rPr>
              <w:t>/4</w:t>
            </w:r>
            <w:r>
              <w:rPr>
                <w:rFonts w:eastAsia="Times New Roman"/>
                <w:color w:val="000000"/>
                <w:sz w:val="20"/>
                <w:szCs w:val="20"/>
                <w:rtl/>
              </w:rPr>
              <w:t>/2025</w:t>
            </w:r>
            <w:r>
              <w:rPr>
                <w:rFonts w:eastAsia="Times New Roman" w:hint="cs"/>
                <w:color w:val="000000"/>
                <w:sz w:val="20"/>
                <w:szCs w:val="20"/>
                <w:rtl/>
              </w:rPr>
              <w:t xml:space="preserve">. </w:t>
            </w:r>
            <w:r w:rsidRPr="00C94167">
              <w:rPr>
                <w:rFonts w:eastAsia="Times New Roman"/>
                <w:color w:val="000000"/>
                <w:sz w:val="20"/>
                <w:szCs w:val="20"/>
                <w:rtl/>
              </w:rPr>
              <w:t xml:space="preserve">ציפיות האינפלציה מנוכות עונתיות </w:t>
            </w:r>
            <w:r>
              <w:rPr>
                <w:rFonts w:eastAsia="Times New Roman" w:hint="cs"/>
                <w:color w:val="000000"/>
                <w:sz w:val="20"/>
                <w:szCs w:val="20"/>
                <w:rtl/>
              </w:rPr>
              <w:t>והציפיות לריבית</w:t>
            </w:r>
            <w:r w:rsidRPr="00C94167">
              <w:rPr>
                <w:rFonts w:eastAsia="Times New Roman"/>
                <w:color w:val="000000"/>
                <w:sz w:val="20"/>
                <w:szCs w:val="20"/>
                <w:rtl/>
              </w:rPr>
              <w:t xml:space="preserve"> מבוססות על שוק </w:t>
            </w:r>
            <w:r>
              <w:rPr>
                <w:rFonts w:eastAsia="Times New Roman"/>
                <w:color w:val="000000"/>
                <w:sz w:val="20"/>
                <w:szCs w:val="20"/>
                <w:rtl/>
              </w:rPr>
              <w:t>התלבור</w:t>
            </w:r>
            <w:r>
              <w:rPr>
                <w:rFonts w:eastAsia="Times New Roman" w:hint="cs"/>
                <w:color w:val="000000"/>
                <w:sz w:val="20"/>
                <w:szCs w:val="20"/>
                <w:rtl/>
              </w:rPr>
              <w:t>.</w:t>
            </w:r>
            <w:r w:rsidR="00496BE1">
              <w:rPr>
                <w:rFonts w:eastAsia="Times New Roman" w:hint="cs"/>
                <w:color w:val="000000"/>
                <w:sz w:val="20"/>
                <w:szCs w:val="20"/>
                <w:rtl/>
              </w:rPr>
              <w:t xml:space="preserve"> </w:t>
            </w:r>
          </w:p>
        </w:tc>
      </w:tr>
      <w:tr w:rsidR="00AE30C2" w:rsidRPr="00582BD2" w:rsidTr="00261FA6">
        <w:trPr>
          <w:trHeight w:val="285"/>
          <w:jc w:val="center"/>
        </w:trPr>
        <w:tc>
          <w:tcPr>
            <w:tcW w:w="5000" w:type="pct"/>
            <w:gridSpan w:val="4"/>
            <w:tcBorders>
              <w:top w:val="nil"/>
              <w:left w:val="nil"/>
              <w:bottom w:val="nil"/>
              <w:right w:val="nil"/>
            </w:tcBorders>
            <w:shd w:val="clear" w:color="auto" w:fill="auto"/>
            <w:noWrap/>
            <w:vAlign w:val="bottom"/>
            <w:hideMark/>
          </w:tcPr>
          <w:p w:rsidR="00AE30C2" w:rsidRPr="00C94167" w:rsidRDefault="00AE30C2" w:rsidP="006F21BC">
            <w:pPr>
              <w:spacing w:after="0" w:line="240" w:lineRule="auto"/>
              <w:rPr>
                <w:rFonts w:eastAsia="Times New Roman"/>
                <w:color w:val="000000"/>
                <w:sz w:val="20"/>
                <w:szCs w:val="20"/>
                <w:rtl/>
              </w:rPr>
            </w:pPr>
            <w:r>
              <w:rPr>
                <w:rFonts w:eastAsia="Times New Roman" w:hint="cs"/>
                <w:color w:val="000000"/>
                <w:sz w:val="20"/>
                <w:szCs w:val="20"/>
                <w:vertAlign w:val="superscript"/>
                <w:rtl/>
              </w:rPr>
              <w:t>3</w:t>
            </w:r>
            <w:r w:rsidRPr="00C94167">
              <w:rPr>
                <w:rFonts w:eastAsia="Times New Roman"/>
                <w:color w:val="000000"/>
                <w:sz w:val="20"/>
                <w:szCs w:val="20"/>
                <w:rtl/>
              </w:rPr>
              <w:t xml:space="preserve"> נכון לנתוני ה-</w:t>
            </w:r>
            <w:r w:rsidR="00347DBE">
              <w:rPr>
                <w:rFonts w:eastAsia="Times New Roman" w:hint="cs"/>
                <w:color w:val="000000"/>
                <w:sz w:val="20"/>
                <w:szCs w:val="20"/>
                <w:rtl/>
              </w:rPr>
              <w:t>6</w:t>
            </w:r>
            <w:r w:rsidR="00D7789E">
              <w:rPr>
                <w:rFonts w:eastAsia="Times New Roman" w:hint="cs"/>
                <w:color w:val="000000"/>
                <w:sz w:val="20"/>
                <w:szCs w:val="20"/>
                <w:rtl/>
              </w:rPr>
              <w:t>/4</w:t>
            </w:r>
            <w:r w:rsidRPr="00C94167">
              <w:rPr>
                <w:rFonts w:eastAsia="Times New Roman"/>
                <w:color w:val="000000"/>
                <w:sz w:val="20"/>
                <w:szCs w:val="20"/>
                <w:rtl/>
              </w:rPr>
              <w:t>/2025.</w:t>
            </w:r>
            <w:r w:rsidR="00496BE1">
              <w:rPr>
                <w:rFonts w:eastAsia="Times New Roman" w:hint="cs"/>
                <w:color w:val="000000"/>
                <w:sz w:val="20"/>
                <w:szCs w:val="20"/>
                <w:rtl/>
              </w:rPr>
              <w:t xml:space="preserve"> </w:t>
            </w:r>
          </w:p>
        </w:tc>
      </w:tr>
      <w:tr w:rsidR="00AE30C2" w:rsidRPr="00582BD2" w:rsidTr="00261FA6">
        <w:trPr>
          <w:trHeight w:val="255"/>
          <w:jc w:val="center"/>
        </w:trPr>
        <w:tc>
          <w:tcPr>
            <w:tcW w:w="5000" w:type="pct"/>
            <w:gridSpan w:val="4"/>
            <w:tcBorders>
              <w:top w:val="nil"/>
              <w:left w:val="nil"/>
              <w:bottom w:val="nil"/>
              <w:right w:val="nil"/>
            </w:tcBorders>
            <w:shd w:val="clear" w:color="auto" w:fill="auto"/>
            <w:noWrap/>
            <w:vAlign w:val="center"/>
            <w:hideMark/>
          </w:tcPr>
          <w:p w:rsidR="00AE30C2" w:rsidRPr="00C94167" w:rsidRDefault="00AE30C2" w:rsidP="00AE30C2">
            <w:pPr>
              <w:spacing w:after="0" w:line="240" w:lineRule="auto"/>
              <w:rPr>
                <w:rFonts w:eastAsia="Times New Roman"/>
                <w:color w:val="000000"/>
                <w:sz w:val="20"/>
                <w:szCs w:val="20"/>
                <w:rtl/>
              </w:rPr>
            </w:pPr>
            <w:r w:rsidRPr="00C94167">
              <w:rPr>
                <w:rFonts w:eastAsia="Times New Roman"/>
                <w:b/>
                <w:bCs/>
                <w:color w:val="000000"/>
                <w:sz w:val="20"/>
                <w:szCs w:val="20"/>
                <w:rtl/>
              </w:rPr>
              <w:t>המקור:</w:t>
            </w:r>
            <w:r w:rsidRPr="00C94167">
              <w:rPr>
                <w:rFonts w:eastAsia="Times New Roman"/>
                <w:color w:val="000000"/>
                <w:sz w:val="20"/>
                <w:szCs w:val="20"/>
                <w:rtl/>
              </w:rPr>
              <w:t xml:space="preserve"> בנק ישראל.</w:t>
            </w:r>
          </w:p>
        </w:tc>
      </w:tr>
    </w:tbl>
    <w:p w:rsidR="00C94167" w:rsidRDefault="00C94167" w:rsidP="00202530">
      <w:pPr>
        <w:jc w:val="both"/>
        <w:rPr>
          <w:b/>
          <w:rtl/>
        </w:rPr>
      </w:pPr>
    </w:p>
    <w:p w:rsidR="00202530" w:rsidRPr="00202530" w:rsidRDefault="00202530" w:rsidP="00202530">
      <w:pPr>
        <w:pStyle w:val="a"/>
        <w:rPr>
          <w:rFonts w:ascii="Calibri" w:hAnsi="Calibri" w:cs="Calibri"/>
          <w:sz w:val="24"/>
        </w:rPr>
      </w:pPr>
      <w:r w:rsidRPr="00202530">
        <w:rPr>
          <w:rFonts w:ascii="Calibri" w:hAnsi="Calibri" w:cs="Calibri"/>
          <w:sz w:val="24"/>
          <w:rtl/>
        </w:rPr>
        <w:t>הסיכונים העיקריים לתחזית</w:t>
      </w:r>
    </w:p>
    <w:p w:rsidR="00D7789E" w:rsidRDefault="00D7789E" w:rsidP="00BB18E8">
      <w:pPr>
        <w:ind w:left="8"/>
        <w:jc w:val="both"/>
        <w:rPr>
          <w:rtl/>
        </w:rPr>
      </w:pPr>
      <w:r>
        <w:rPr>
          <w:rtl/>
        </w:rPr>
        <w:t xml:space="preserve">אי-הוודאות בתקופה הנוכחית גבוהה ביחס לרגיל. להערכתנו, מכלול הסיכונים משקף אפשרות להעמקת הפגיעה </w:t>
      </w:r>
      <w:r w:rsidR="00BB18E8">
        <w:rPr>
          <w:rFonts w:hint="cs"/>
          <w:rtl/>
        </w:rPr>
        <w:t>בפעילות</w:t>
      </w:r>
      <w:r>
        <w:rPr>
          <w:rtl/>
        </w:rPr>
        <w:t xml:space="preserve"> ולפיחות של השקל, ולכן מאזן הסיכונים לאינפלציה נוטה כלפי מעלה, ועבור </w:t>
      </w:r>
      <w:r w:rsidR="00BB18E8">
        <w:rPr>
          <w:rFonts w:hint="cs"/>
          <w:rtl/>
        </w:rPr>
        <w:t>הצמיחה</w:t>
      </w:r>
      <w:r>
        <w:rPr>
          <w:rtl/>
        </w:rPr>
        <w:t xml:space="preserve"> הוא נוטה כלפי מטה. </w:t>
      </w:r>
    </w:p>
    <w:p w:rsidR="00B04224" w:rsidRPr="00597B7E" w:rsidRDefault="002A5D02" w:rsidP="00974D42">
      <w:pPr>
        <w:ind w:left="8"/>
        <w:jc w:val="both"/>
        <w:rPr>
          <w:color w:val="FF0000"/>
          <w:rtl/>
        </w:rPr>
      </w:pPr>
      <w:r w:rsidRPr="00824A5B">
        <w:rPr>
          <w:rFonts w:hint="eastAsia"/>
          <w:rtl/>
        </w:rPr>
        <w:t>ראשית</w:t>
      </w:r>
      <w:r w:rsidRPr="00824A5B">
        <w:rPr>
          <w:rtl/>
        </w:rPr>
        <w:t xml:space="preserve">, קיים סיכון להתרחבות הלחימה מעבר למגולם בתרחיש הבסיס. </w:t>
      </w:r>
      <w:r w:rsidR="004C1097" w:rsidRPr="00824A5B">
        <w:rPr>
          <w:rFonts w:hint="eastAsia"/>
          <w:rtl/>
        </w:rPr>
        <w:t>מגוון</w:t>
      </w:r>
      <w:r w:rsidR="004C1097" w:rsidRPr="00824A5B">
        <w:rPr>
          <w:rtl/>
        </w:rPr>
        <w:t xml:space="preserve"> </w:t>
      </w:r>
      <w:r w:rsidR="004C1097" w:rsidRPr="00824A5B">
        <w:rPr>
          <w:rFonts w:hint="eastAsia"/>
          <w:rtl/>
        </w:rPr>
        <w:t>האפשרויות</w:t>
      </w:r>
      <w:r w:rsidR="004C1097" w:rsidRPr="00824A5B">
        <w:rPr>
          <w:rtl/>
        </w:rPr>
        <w:t xml:space="preserve"> </w:t>
      </w:r>
      <w:r w:rsidR="004C1097" w:rsidRPr="00824A5B">
        <w:rPr>
          <w:rFonts w:hint="eastAsia"/>
          <w:rtl/>
        </w:rPr>
        <w:t>להתפתחויות</w:t>
      </w:r>
      <w:r w:rsidR="004C1097" w:rsidRPr="00824A5B">
        <w:rPr>
          <w:rtl/>
        </w:rPr>
        <w:t xml:space="preserve"> </w:t>
      </w:r>
      <w:r w:rsidR="004C1097" w:rsidRPr="00824A5B">
        <w:rPr>
          <w:rFonts w:hint="eastAsia"/>
          <w:rtl/>
        </w:rPr>
        <w:t>הביטחוניות</w:t>
      </w:r>
      <w:r w:rsidR="004C1097" w:rsidRPr="00824A5B">
        <w:rPr>
          <w:rtl/>
        </w:rPr>
        <w:t xml:space="preserve"> </w:t>
      </w:r>
      <w:r w:rsidR="004C1097" w:rsidRPr="00824A5B">
        <w:rPr>
          <w:rFonts w:hint="eastAsia"/>
          <w:rtl/>
        </w:rPr>
        <w:t>הוא</w:t>
      </w:r>
      <w:r w:rsidR="004C1097" w:rsidRPr="00824A5B">
        <w:rPr>
          <w:rtl/>
        </w:rPr>
        <w:t xml:space="preserve"> </w:t>
      </w:r>
      <w:r w:rsidR="004C1097" w:rsidRPr="00824A5B">
        <w:rPr>
          <w:rFonts w:hint="eastAsia"/>
          <w:rtl/>
        </w:rPr>
        <w:t>רחב</w:t>
      </w:r>
      <w:r w:rsidR="004C1097" w:rsidRPr="00824A5B">
        <w:rPr>
          <w:rtl/>
        </w:rPr>
        <w:t xml:space="preserve">, </w:t>
      </w:r>
      <w:r w:rsidR="004C1097" w:rsidRPr="00824A5B">
        <w:rPr>
          <w:rFonts w:hint="eastAsia"/>
          <w:rtl/>
        </w:rPr>
        <w:t>אך</w:t>
      </w:r>
      <w:r w:rsidR="004C1097" w:rsidRPr="00824A5B">
        <w:rPr>
          <w:rtl/>
        </w:rPr>
        <w:t xml:space="preserve"> </w:t>
      </w:r>
      <w:r w:rsidR="004C1097" w:rsidRPr="00824A5B">
        <w:rPr>
          <w:rFonts w:hint="eastAsia"/>
          <w:rtl/>
        </w:rPr>
        <w:t>כדי</w:t>
      </w:r>
      <w:r w:rsidR="004C1097" w:rsidRPr="00824A5B">
        <w:rPr>
          <w:rtl/>
        </w:rPr>
        <w:t xml:space="preserve"> </w:t>
      </w:r>
      <w:r w:rsidR="004C1097" w:rsidRPr="00824A5B">
        <w:rPr>
          <w:rFonts w:hint="eastAsia"/>
          <w:rtl/>
        </w:rPr>
        <w:t>להעריך</w:t>
      </w:r>
      <w:r w:rsidR="004C1097" w:rsidRPr="00824A5B">
        <w:rPr>
          <w:rtl/>
        </w:rPr>
        <w:t xml:space="preserve"> </w:t>
      </w:r>
      <w:r w:rsidR="004C1097" w:rsidRPr="00824A5B">
        <w:rPr>
          <w:rFonts w:hint="eastAsia"/>
          <w:rtl/>
        </w:rPr>
        <w:t>את</w:t>
      </w:r>
      <w:r w:rsidR="004C1097" w:rsidRPr="00824A5B">
        <w:rPr>
          <w:rtl/>
        </w:rPr>
        <w:t xml:space="preserve"> </w:t>
      </w:r>
      <w:r w:rsidR="004C1097" w:rsidRPr="00824A5B">
        <w:rPr>
          <w:rFonts w:hint="eastAsia"/>
          <w:rtl/>
        </w:rPr>
        <w:t>רגישות</w:t>
      </w:r>
      <w:r w:rsidR="004C1097" w:rsidRPr="00824A5B">
        <w:rPr>
          <w:rtl/>
        </w:rPr>
        <w:t xml:space="preserve"> </w:t>
      </w:r>
      <w:r w:rsidR="004C1097" w:rsidRPr="00824A5B">
        <w:rPr>
          <w:rFonts w:hint="eastAsia"/>
          <w:rtl/>
        </w:rPr>
        <w:t>תרחיש</w:t>
      </w:r>
      <w:r w:rsidR="004C1097" w:rsidRPr="00824A5B">
        <w:rPr>
          <w:rtl/>
        </w:rPr>
        <w:t xml:space="preserve"> </w:t>
      </w:r>
      <w:r w:rsidR="004C1097" w:rsidRPr="00824A5B">
        <w:rPr>
          <w:rFonts w:hint="eastAsia"/>
          <w:rtl/>
        </w:rPr>
        <w:t>הבסיס</w:t>
      </w:r>
      <w:r w:rsidR="004C1097" w:rsidRPr="00824A5B">
        <w:rPr>
          <w:rtl/>
        </w:rPr>
        <w:t xml:space="preserve"> </w:t>
      </w:r>
      <w:r w:rsidR="004C1097" w:rsidRPr="00824A5B">
        <w:rPr>
          <w:rFonts w:hint="eastAsia"/>
          <w:rtl/>
        </w:rPr>
        <w:t>להתפתחויות</w:t>
      </w:r>
      <w:r w:rsidR="004C1097" w:rsidRPr="00824A5B">
        <w:rPr>
          <w:rtl/>
        </w:rPr>
        <w:t xml:space="preserve"> </w:t>
      </w:r>
      <w:r w:rsidR="004C1097" w:rsidRPr="00824A5B">
        <w:rPr>
          <w:rFonts w:hint="eastAsia"/>
          <w:rtl/>
        </w:rPr>
        <w:t>אלה</w:t>
      </w:r>
      <w:r w:rsidR="004C1097" w:rsidRPr="00824A5B">
        <w:rPr>
          <w:rtl/>
        </w:rPr>
        <w:t xml:space="preserve">, </w:t>
      </w:r>
      <w:r w:rsidR="004C1097" w:rsidRPr="00824A5B">
        <w:rPr>
          <w:rFonts w:hint="eastAsia"/>
          <w:rtl/>
        </w:rPr>
        <w:t>בחנו</w:t>
      </w:r>
      <w:r w:rsidR="004C1097" w:rsidRPr="00824A5B">
        <w:rPr>
          <w:rtl/>
        </w:rPr>
        <w:t xml:space="preserve"> </w:t>
      </w:r>
      <w:r w:rsidR="004C1097" w:rsidRPr="00824A5B">
        <w:rPr>
          <w:rFonts w:hint="eastAsia"/>
          <w:rtl/>
        </w:rPr>
        <w:t>תרחיש</w:t>
      </w:r>
      <w:r w:rsidR="004C1097" w:rsidRPr="00824A5B">
        <w:rPr>
          <w:rtl/>
        </w:rPr>
        <w:t xml:space="preserve"> </w:t>
      </w:r>
      <w:r w:rsidR="004C1097" w:rsidRPr="00824A5B">
        <w:rPr>
          <w:rFonts w:hint="eastAsia"/>
          <w:rtl/>
        </w:rPr>
        <w:t>חלופי</w:t>
      </w:r>
      <w:r w:rsidR="004C1097" w:rsidRPr="00824A5B">
        <w:rPr>
          <w:rtl/>
        </w:rPr>
        <w:t xml:space="preserve"> </w:t>
      </w:r>
      <w:r w:rsidR="004C1097" w:rsidRPr="00824A5B">
        <w:rPr>
          <w:rFonts w:hint="eastAsia"/>
          <w:rtl/>
        </w:rPr>
        <w:t>הכולל</w:t>
      </w:r>
      <w:r w:rsidR="004C1097" w:rsidRPr="00824A5B">
        <w:rPr>
          <w:rtl/>
        </w:rPr>
        <w:t xml:space="preserve"> </w:t>
      </w:r>
      <w:r w:rsidR="004C1097" w:rsidRPr="00824A5B">
        <w:rPr>
          <w:rFonts w:hint="eastAsia"/>
          <w:rtl/>
        </w:rPr>
        <w:t>את</w:t>
      </w:r>
      <w:r w:rsidR="004C1097" w:rsidRPr="00824A5B">
        <w:rPr>
          <w:rtl/>
        </w:rPr>
        <w:t xml:space="preserve"> </w:t>
      </w:r>
      <w:r w:rsidR="004C1097" w:rsidRPr="00824A5B">
        <w:rPr>
          <w:rFonts w:hint="eastAsia"/>
          <w:rtl/>
        </w:rPr>
        <w:t>התרחבות</w:t>
      </w:r>
      <w:r w:rsidR="004C1097" w:rsidRPr="00824A5B">
        <w:rPr>
          <w:rtl/>
        </w:rPr>
        <w:t xml:space="preserve"> </w:t>
      </w:r>
      <w:r w:rsidR="004C1097" w:rsidRPr="00824A5B">
        <w:rPr>
          <w:rFonts w:hint="eastAsia"/>
          <w:rtl/>
        </w:rPr>
        <w:t>הלחימה</w:t>
      </w:r>
      <w:r w:rsidRPr="00824A5B">
        <w:rPr>
          <w:rtl/>
        </w:rPr>
        <w:t xml:space="preserve"> בגזרת עזה וגיוס מילואים נרחב למשך </w:t>
      </w:r>
      <w:r w:rsidR="00974D42" w:rsidRPr="00824A5B">
        <w:rPr>
          <w:rFonts w:hint="eastAsia"/>
          <w:rtl/>
        </w:rPr>
        <w:t>כשני</w:t>
      </w:r>
      <w:r w:rsidR="00974D42" w:rsidRPr="00824A5B">
        <w:rPr>
          <w:rtl/>
        </w:rPr>
        <w:t xml:space="preserve"> </w:t>
      </w:r>
      <w:r w:rsidR="00974D42" w:rsidRPr="00824A5B">
        <w:rPr>
          <w:rFonts w:hint="eastAsia"/>
          <w:rtl/>
        </w:rPr>
        <w:t>רבעונים</w:t>
      </w:r>
      <w:r w:rsidRPr="00824A5B">
        <w:rPr>
          <w:rtl/>
        </w:rPr>
        <w:t xml:space="preserve">. </w:t>
      </w:r>
      <w:r w:rsidR="00B04224" w:rsidRPr="00824A5B">
        <w:rPr>
          <w:rFonts w:hint="eastAsia"/>
          <w:rtl/>
        </w:rPr>
        <w:t>להערכתנו</w:t>
      </w:r>
      <w:r w:rsidR="00B04224" w:rsidRPr="00824A5B">
        <w:rPr>
          <w:rtl/>
        </w:rPr>
        <w:t xml:space="preserve">, </w:t>
      </w:r>
      <w:r w:rsidR="00B04224" w:rsidRPr="00824A5B">
        <w:rPr>
          <w:rFonts w:hint="eastAsia"/>
          <w:rtl/>
        </w:rPr>
        <w:t>תרחיש</w:t>
      </w:r>
      <w:r w:rsidR="00B04224" w:rsidRPr="00824A5B">
        <w:rPr>
          <w:rtl/>
        </w:rPr>
        <w:t xml:space="preserve"> </w:t>
      </w:r>
      <w:r w:rsidR="00B04224" w:rsidRPr="00824A5B">
        <w:rPr>
          <w:rFonts w:hint="eastAsia"/>
          <w:rtl/>
        </w:rPr>
        <w:t>כזה</w:t>
      </w:r>
      <w:r w:rsidR="00B04224" w:rsidRPr="00824A5B">
        <w:rPr>
          <w:rtl/>
        </w:rPr>
        <w:t xml:space="preserve"> </w:t>
      </w:r>
      <w:r w:rsidR="00B04224" w:rsidRPr="00824A5B">
        <w:rPr>
          <w:rFonts w:hint="eastAsia"/>
          <w:rtl/>
        </w:rPr>
        <w:t>יוביל</w:t>
      </w:r>
      <w:r w:rsidR="00B04224" w:rsidRPr="00824A5B">
        <w:rPr>
          <w:rtl/>
        </w:rPr>
        <w:t xml:space="preserve"> </w:t>
      </w:r>
      <w:r w:rsidR="00B04224" w:rsidRPr="00824A5B">
        <w:rPr>
          <w:rFonts w:hint="eastAsia"/>
          <w:rtl/>
        </w:rPr>
        <w:t>לפגיעה</w:t>
      </w:r>
      <w:r w:rsidR="00B04224" w:rsidRPr="00824A5B">
        <w:rPr>
          <w:rtl/>
        </w:rPr>
        <w:t xml:space="preserve"> </w:t>
      </w:r>
      <w:r w:rsidR="00B04224" w:rsidRPr="00824A5B">
        <w:rPr>
          <w:rFonts w:hint="eastAsia"/>
          <w:rtl/>
        </w:rPr>
        <w:t>של</w:t>
      </w:r>
      <w:r w:rsidR="00B04224" w:rsidRPr="00824A5B">
        <w:rPr>
          <w:rtl/>
        </w:rPr>
        <w:t xml:space="preserve"> </w:t>
      </w:r>
      <w:r w:rsidR="00B04224" w:rsidRPr="00824A5B">
        <w:rPr>
          <w:rFonts w:hint="eastAsia"/>
          <w:rtl/>
        </w:rPr>
        <w:t>כ</w:t>
      </w:r>
      <w:r w:rsidR="0009652F" w:rsidRPr="00824A5B">
        <w:rPr>
          <w:rtl/>
        </w:rPr>
        <w:t>-0.5%</w:t>
      </w:r>
      <w:r w:rsidR="00B04224" w:rsidRPr="00824A5B">
        <w:rPr>
          <w:rtl/>
        </w:rPr>
        <w:t xml:space="preserve"> בתוצר בשנת 2025</w:t>
      </w:r>
      <w:r w:rsidR="0037158E" w:rsidRPr="00824A5B">
        <w:rPr>
          <w:rtl/>
        </w:rPr>
        <w:t xml:space="preserve">, </w:t>
      </w:r>
      <w:r w:rsidR="0037158E" w:rsidRPr="00824A5B">
        <w:rPr>
          <w:rFonts w:hint="eastAsia"/>
          <w:rtl/>
        </w:rPr>
        <w:t>בעיקר</w:t>
      </w:r>
      <w:r w:rsidR="0037158E" w:rsidRPr="00824A5B">
        <w:rPr>
          <w:rtl/>
        </w:rPr>
        <w:t xml:space="preserve"> </w:t>
      </w:r>
      <w:r w:rsidR="0037158E" w:rsidRPr="00824A5B">
        <w:rPr>
          <w:rFonts w:hint="eastAsia"/>
          <w:rtl/>
        </w:rPr>
        <w:t>כתוצאה</w:t>
      </w:r>
      <w:r w:rsidR="0037158E" w:rsidRPr="00824A5B">
        <w:rPr>
          <w:rtl/>
        </w:rPr>
        <w:t xml:space="preserve"> </w:t>
      </w:r>
      <w:r w:rsidR="0037158E" w:rsidRPr="00824A5B">
        <w:rPr>
          <w:rFonts w:hint="eastAsia"/>
          <w:rtl/>
        </w:rPr>
        <w:t>מפגיעה</w:t>
      </w:r>
      <w:r w:rsidR="0037158E" w:rsidRPr="00824A5B">
        <w:rPr>
          <w:rtl/>
        </w:rPr>
        <w:t xml:space="preserve"> </w:t>
      </w:r>
      <w:r w:rsidR="0037158E" w:rsidRPr="00824A5B">
        <w:rPr>
          <w:rFonts w:hint="eastAsia"/>
          <w:rtl/>
        </w:rPr>
        <w:t>בהיצע</w:t>
      </w:r>
      <w:r w:rsidR="0037158E" w:rsidRPr="00824A5B">
        <w:rPr>
          <w:rtl/>
        </w:rPr>
        <w:t xml:space="preserve"> </w:t>
      </w:r>
      <w:r w:rsidR="0037158E" w:rsidRPr="00824A5B">
        <w:rPr>
          <w:rFonts w:hint="eastAsia"/>
          <w:rtl/>
        </w:rPr>
        <w:t>העבודה</w:t>
      </w:r>
      <w:r w:rsidR="00B04224" w:rsidRPr="00824A5B">
        <w:rPr>
          <w:rtl/>
        </w:rPr>
        <w:t xml:space="preserve">, </w:t>
      </w:r>
      <w:r w:rsidR="00B04224" w:rsidRPr="00824A5B">
        <w:rPr>
          <w:rFonts w:hint="eastAsia"/>
          <w:rtl/>
        </w:rPr>
        <w:t>ולעלייה</w:t>
      </w:r>
      <w:r w:rsidR="00B04224" w:rsidRPr="00824A5B">
        <w:rPr>
          <w:rtl/>
        </w:rPr>
        <w:t xml:space="preserve"> </w:t>
      </w:r>
      <w:r w:rsidR="00B04224" w:rsidRPr="00824A5B">
        <w:rPr>
          <w:rFonts w:hint="eastAsia"/>
          <w:rtl/>
        </w:rPr>
        <w:t>של</w:t>
      </w:r>
      <w:r w:rsidR="00B04224" w:rsidRPr="00824A5B">
        <w:rPr>
          <w:rtl/>
        </w:rPr>
        <w:t xml:space="preserve"> </w:t>
      </w:r>
      <w:r w:rsidR="00B04224" w:rsidRPr="00824A5B">
        <w:rPr>
          <w:rFonts w:hint="eastAsia"/>
          <w:rtl/>
        </w:rPr>
        <w:t>כ</w:t>
      </w:r>
      <w:r w:rsidR="00B04224" w:rsidRPr="00824A5B">
        <w:rPr>
          <w:rtl/>
        </w:rPr>
        <w:t>-</w:t>
      </w:r>
      <w:r w:rsidR="0009652F" w:rsidRPr="00824A5B">
        <w:rPr>
          <w:rtl/>
        </w:rPr>
        <w:t xml:space="preserve">2% </w:t>
      </w:r>
      <w:r w:rsidR="00B04224" w:rsidRPr="00824A5B">
        <w:rPr>
          <w:rFonts w:hint="eastAsia"/>
          <w:rtl/>
        </w:rPr>
        <w:t>תוצר</w:t>
      </w:r>
      <w:r w:rsidR="00B04224" w:rsidRPr="00824A5B">
        <w:rPr>
          <w:rtl/>
        </w:rPr>
        <w:t xml:space="preserve"> </w:t>
      </w:r>
      <w:r w:rsidR="00B04224" w:rsidRPr="00824A5B">
        <w:rPr>
          <w:rFonts w:hint="eastAsia"/>
          <w:rtl/>
        </w:rPr>
        <w:t>בגרעון</w:t>
      </w:r>
      <w:r w:rsidR="00597B7E" w:rsidRPr="00824A5B">
        <w:rPr>
          <w:rtl/>
        </w:rPr>
        <w:t xml:space="preserve">, </w:t>
      </w:r>
      <w:r w:rsidR="00597B7E" w:rsidRPr="00824A5B">
        <w:rPr>
          <w:rFonts w:hint="eastAsia"/>
          <w:rtl/>
        </w:rPr>
        <w:t>כך</w:t>
      </w:r>
      <w:r w:rsidR="00597B7E" w:rsidRPr="00824A5B">
        <w:rPr>
          <w:rtl/>
        </w:rPr>
        <w:t xml:space="preserve"> </w:t>
      </w:r>
      <w:r w:rsidR="00597B7E" w:rsidRPr="00824A5B">
        <w:rPr>
          <w:rFonts w:hint="eastAsia"/>
          <w:rtl/>
        </w:rPr>
        <w:t>שהחוב</w:t>
      </w:r>
      <w:r w:rsidR="00B04224" w:rsidRPr="00824A5B">
        <w:rPr>
          <w:rtl/>
        </w:rPr>
        <w:t xml:space="preserve"> הציבורי </w:t>
      </w:r>
      <w:r w:rsidR="00597B7E" w:rsidRPr="00824A5B">
        <w:rPr>
          <w:rFonts w:hint="eastAsia"/>
          <w:rtl/>
        </w:rPr>
        <w:t>יסתכם</w:t>
      </w:r>
      <w:r w:rsidR="00597B7E" w:rsidRPr="00824A5B">
        <w:rPr>
          <w:rtl/>
        </w:rPr>
        <w:t xml:space="preserve"> ב-71% תוצר </w:t>
      </w:r>
      <w:r w:rsidR="00B04224" w:rsidRPr="00824A5B">
        <w:rPr>
          <w:rFonts w:hint="eastAsia"/>
          <w:rtl/>
        </w:rPr>
        <w:t>ב</w:t>
      </w:r>
      <w:r w:rsidR="004C1097" w:rsidRPr="00824A5B">
        <w:rPr>
          <w:rFonts w:hint="eastAsia"/>
          <w:rtl/>
        </w:rPr>
        <w:t>סוף</w:t>
      </w:r>
      <w:r w:rsidR="004C1097" w:rsidRPr="00824A5B">
        <w:rPr>
          <w:rtl/>
        </w:rPr>
        <w:t xml:space="preserve"> </w:t>
      </w:r>
      <w:r w:rsidR="00B04224" w:rsidRPr="00824A5B">
        <w:rPr>
          <w:rFonts w:hint="eastAsia"/>
          <w:rtl/>
        </w:rPr>
        <w:t>אותה</w:t>
      </w:r>
      <w:r w:rsidR="00B04224" w:rsidRPr="00824A5B">
        <w:rPr>
          <w:rtl/>
        </w:rPr>
        <w:t xml:space="preserve"> שנה. התפתחויות אלו צפויות </w:t>
      </w:r>
      <w:r w:rsidR="0037158E" w:rsidRPr="00824A5B">
        <w:rPr>
          <w:rFonts w:hint="eastAsia"/>
          <w:rtl/>
        </w:rPr>
        <w:t>להיות</w:t>
      </w:r>
      <w:r w:rsidR="0037158E" w:rsidRPr="00824A5B">
        <w:rPr>
          <w:rtl/>
        </w:rPr>
        <w:t xml:space="preserve"> מלוות </w:t>
      </w:r>
      <w:r w:rsidR="00597B7E" w:rsidRPr="00824A5B">
        <w:rPr>
          <w:rFonts w:hint="eastAsia"/>
          <w:rtl/>
        </w:rPr>
        <w:t>גם</w:t>
      </w:r>
      <w:r w:rsidR="00597B7E" w:rsidRPr="00824A5B">
        <w:rPr>
          <w:rtl/>
        </w:rPr>
        <w:t xml:space="preserve"> </w:t>
      </w:r>
      <w:r w:rsidR="0037158E" w:rsidRPr="00824A5B">
        <w:rPr>
          <w:rFonts w:hint="eastAsia"/>
          <w:rtl/>
        </w:rPr>
        <w:t>ב</w:t>
      </w:r>
      <w:r w:rsidR="00B04224" w:rsidRPr="00824A5B">
        <w:rPr>
          <w:rFonts w:hint="eastAsia"/>
          <w:rtl/>
        </w:rPr>
        <w:t>עלייה</w:t>
      </w:r>
      <w:r w:rsidR="00B04224" w:rsidRPr="00824A5B">
        <w:rPr>
          <w:rtl/>
        </w:rPr>
        <w:t xml:space="preserve"> </w:t>
      </w:r>
      <w:r w:rsidR="00B04224" w:rsidRPr="00824A5B">
        <w:rPr>
          <w:rFonts w:hint="eastAsia"/>
          <w:rtl/>
        </w:rPr>
        <w:t>בפרמיית</w:t>
      </w:r>
      <w:r w:rsidR="00B04224" w:rsidRPr="00824A5B">
        <w:rPr>
          <w:rtl/>
        </w:rPr>
        <w:t xml:space="preserve"> </w:t>
      </w:r>
      <w:r w:rsidR="00B04224" w:rsidRPr="00824A5B">
        <w:rPr>
          <w:rFonts w:hint="eastAsia"/>
          <w:rtl/>
        </w:rPr>
        <w:t>הסיכון</w:t>
      </w:r>
      <w:r w:rsidR="00B04224" w:rsidRPr="00824A5B">
        <w:rPr>
          <w:rtl/>
        </w:rPr>
        <w:t xml:space="preserve"> </w:t>
      </w:r>
      <w:r w:rsidR="00B04224" w:rsidRPr="00824A5B">
        <w:rPr>
          <w:rFonts w:hint="eastAsia"/>
          <w:rtl/>
        </w:rPr>
        <w:t>ו</w:t>
      </w:r>
      <w:r w:rsidR="0037158E" w:rsidRPr="00824A5B">
        <w:rPr>
          <w:rFonts w:hint="eastAsia"/>
          <w:rtl/>
        </w:rPr>
        <w:t>ב</w:t>
      </w:r>
      <w:r w:rsidR="00B04224" w:rsidRPr="00824A5B">
        <w:rPr>
          <w:rFonts w:hint="eastAsia"/>
          <w:rtl/>
        </w:rPr>
        <w:t>פיחות</w:t>
      </w:r>
      <w:r w:rsidR="00B04224" w:rsidRPr="00824A5B">
        <w:rPr>
          <w:rtl/>
        </w:rPr>
        <w:t xml:space="preserve"> של השקל. </w:t>
      </w:r>
      <w:r w:rsidR="00BB18E8" w:rsidRPr="00824A5B">
        <w:rPr>
          <w:rFonts w:hint="eastAsia"/>
          <w:rtl/>
        </w:rPr>
        <w:t>לצד</w:t>
      </w:r>
      <w:r w:rsidR="00BB18E8" w:rsidRPr="00824A5B">
        <w:rPr>
          <w:rtl/>
        </w:rPr>
        <w:t xml:space="preserve"> </w:t>
      </w:r>
      <w:r w:rsidR="00B04224" w:rsidRPr="00824A5B">
        <w:rPr>
          <w:rFonts w:hint="eastAsia"/>
          <w:rtl/>
        </w:rPr>
        <w:t>הפגיעה</w:t>
      </w:r>
      <w:r w:rsidR="00B04224" w:rsidRPr="00824A5B">
        <w:rPr>
          <w:rtl/>
        </w:rPr>
        <w:t xml:space="preserve"> בצד ההיצע, </w:t>
      </w:r>
      <w:r w:rsidR="00BB18E8" w:rsidRPr="00824A5B">
        <w:rPr>
          <w:rFonts w:hint="eastAsia"/>
          <w:rtl/>
        </w:rPr>
        <w:t>התפתחויות</w:t>
      </w:r>
      <w:r w:rsidR="00BB18E8" w:rsidRPr="00824A5B">
        <w:rPr>
          <w:rtl/>
        </w:rPr>
        <w:t xml:space="preserve"> אלו יפעלו לעליית </w:t>
      </w:r>
      <w:r w:rsidR="00B04224" w:rsidRPr="00824A5B">
        <w:rPr>
          <w:rFonts w:hint="eastAsia"/>
          <w:rtl/>
        </w:rPr>
        <w:t>האינפלציה</w:t>
      </w:r>
      <w:r w:rsidR="00B04224" w:rsidRPr="00824A5B">
        <w:rPr>
          <w:rtl/>
        </w:rPr>
        <w:t xml:space="preserve"> </w:t>
      </w:r>
      <w:r w:rsidR="00BB18E8" w:rsidRPr="00824A5B">
        <w:rPr>
          <w:rFonts w:hint="eastAsia"/>
          <w:rtl/>
        </w:rPr>
        <w:t>ביחס</w:t>
      </w:r>
      <w:r w:rsidR="00BB18E8" w:rsidRPr="00824A5B">
        <w:rPr>
          <w:rtl/>
        </w:rPr>
        <w:t xml:space="preserve"> </w:t>
      </w:r>
      <w:r w:rsidR="00BB18E8" w:rsidRPr="00824A5B">
        <w:rPr>
          <w:rFonts w:hint="eastAsia"/>
          <w:rtl/>
        </w:rPr>
        <w:t>ל</w:t>
      </w:r>
      <w:r w:rsidR="00E0065C" w:rsidRPr="00824A5B">
        <w:rPr>
          <w:rFonts w:hint="eastAsia"/>
          <w:rtl/>
        </w:rPr>
        <w:t>תרחיש</w:t>
      </w:r>
      <w:r w:rsidR="00E0065C" w:rsidRPr="00824A5B">
        <w:rPr>
          <w:rtl/>
        </w:rPr>
        <w:t xml:space="preserve"> הבסיס </w:t>
      </w:r>
      <w:r w:rsidR="00BB18E8" w:rsidRPr="00824A5B">
        <w:rPr>
          <w:rFonts w:hint="eastAsia"/>
          <w:rtl/>
        </w:rPr>
        <w:t>כך</w:t>
      </w:r>
      <w:r w:rsidR="00BB18E8" w:rsidRPr="00824A5B">
        <w:rPr>
          <w:rtl/>
        </w:rPr>
        <w:t xml:space="preserve"> </w:t>
      </w:r>
      <w:r w:rsidR="00BB18E8" w:rsidRPr="00824A5B">
        <w:rPr>
          <w:rFonts w:hint="eastAsia"/>
          <w:rtl/>
        </w:rPr>
        <w:t>ש</w:t>
      </w:r>
      <w:r w:rsidR="00C62223" w:rsidRPr="00824A5B">
        <w:rPr>
          <w:rFonts w:hint="eastAsia"/>
          <w:rtl/>
        </w:rPr>
        <w:t>תוואי</w:t>
      </w:r>
      <w:r w:rsidR="00C62223" w:rsidRPr="00824A5B">
        <w:rPr>
          <w:rtl/>
        </w:rPr>
        <w:t xml:space="preserve"> </w:t>
      </w:r>
      <w:r w:rsidR="00C62223" w:rsidRPr="00824A5B">
        <w:rPr>
          <w:rFonts w:hint="eastAsia"/>
          <w:rtl/>
        </w:rPr>
        <w:t>הריבית</w:t>
      </w:r>
      <w:r w:rsidR="00C62223" w:rsidRPr="00824A5B">
        <w:rPr>
          <w:rtl/>
        </w:rPr>
        <w:t xml:space="preserve"> </w:t>
      </w:r>
      <w:r w:rsidR="00C62223" w:rsidRPr="00824A5B">
        <w:rPr>
          <w:rFonts w:hint="eastAsia"/>
          <w:rtl/>
        </w:rPr>
        <w:t>יהיה</w:t>
      </w:r>
      <w:r w:rsidR="00C62223" w:rsidRPr="00824A5B">
        <w:rPr>
          <w:rtl/>
        </w:rPr>
        <w:t xml:space="preserve"> </w:t>
      </w:r>
      <w:r w:rsidR="00C62223" w:rsidRPr="00824A5B">
        <w:rPr>
          <w:rFonts w:hint="eastAsia"/>
          <w:rtl/>
        </w:rPr>
        <w:t>גבוה</w:t>
      </w:r>
      <w:r w:rsidR="00C62223" w:rsidRPr="00824A5B">
        <w:rPr>
          <w:rtl/>
        </w:rPr>
        <w:t xml:space="preserve"> </w:t>
      </w:r>
      <w:r w:rsidR="00C62223" w:rsidRPr="00824A5B">
        <w:rPr>
          <w:rFonts w:hint="eastAsia"/>
          <w:rtl/>
        </w:rPr>
        <w:t>יותר</w:t>
      </w:r>
      <w:r w:rsidR="00B04224" w:rsidRPr="00824A5B">
        <w:rPr>
          <w:rtl/>
        </w:rPr>
        <w:t>.</w:t>
      </w:r>
    </w:p>
    <w:p w:rsidR="009F7582" w:rsidRDefault="009F7582" w:rsidP="00F12A22">
      <w:pPr>
        <w:ind w:left="8"/>
        <w:jc w:val="both"/>
        <w:rPr>
          <w:rtl/>
        </w:rPr>
      </w:pPr>
      <w:r>
        <w:rPr>
          <w:rFonts w:hint="cs"/>
          <w:rtl/>
        </w:rPr>
        <w:t>שנית</w:t>
      </w:r>
      <w:r>
        <w:rPr>
          <w:rtl/>
        </w:rPr>
        <w:t>, קיימת אי</w:t>
      </w:r>
      <w:r w:rsidR="00DA511E">
        <w:rPr>
          <w:rFonts w:hint="cs"/>
          <w:rtl/>
        </w:rPr>
        <w:t>-</w:t>
      </w:r>
      <w:r>
        <w:rPr>
          <w:rtl/>
        </w:rPr>
        <w:t xml:space="preserve">וודאות </w:t>
      </w:r>
      <w:r w:rsidR="00DA511E">
        <w:rPr>
          <w:rFonts w:hint="cs"/>
          <w:rtl/>
        </w:rPr>
        <w:t xml:space="preserve">רבה </w:t>
      </w:r>
      <w:r>
        <w:rPr>
          <w:rtl/>
        </w:rPr>
        <w:t xml:space="preserve">לגבי היקף והשפעות מלחמת הסחר המתפתחת בעולם. </w:t>
      </w:r>
      <w:r w:rsidRPr="009F7582">
        <w:rPr>
          <w:rtl/>
        </w:rPr>
        <w:t>היקף המכסים שיוטלו בפועל עשוי להיות שונה מ</w:t>
      </w:r>
      <w:r>
        <w:rPr>
          <w:rFonts w:hint="cs"/>
          <w:rtl/>
        </w:rPr>
        <w:t xml:space="preserve">מה </w:t>
      </w:r>
      <w:r w:rsidR="004C1097">
        <w:rPr>
          <w:rFonts w:hint="cs"/>
          <w:rtl/>
        </w:rPr>
        <w:t>ש</w:t>
      </w:r>
      <w:r>
        <w:rPr>
          <w:rFonts w:hint="cs"/>
          <w:rtl/>
        </w:rPr>
        <w:t xml:space="preserve">הנחנו בתחזית הבסיסית </w:t>
      </w:r>
      <w:r w:rsidR="004C1097">
        <w:rPr>
          <w:rFonts w:hint="cs"/>
          <w:rtl/>
        </w:rPr>
        <w:t>מפני ש</w:t>
      </w:r>
      <w:r w:rsidR="00B7761B">
        <w:rPr>
          <w:rFonts w:hint="cs"/>
          <w:rtl/>
        </w:rPr>
        <w:t xml:space="preserve">מדינות נוספות עשויות להטיל מכסים בתגובה לצעדי הממשל האמריקאי, ומנגד </w:t>
      </w:r>
      <w:r w:rsidRPr="009F7582">
        <w:rPr>
          <w:rtl/>
        </w:rPr>
        <w:t xml:space="preserve">יתכן </w:t>
      </w:r>
      <w:r w:rsidR="004C1097">
        <w:rPr>
          <w:rFonts w:hint="cs"/>
          <w:rtl/>
        </w:rPr>
        <w:t>משא ומתן</w:t>
      </w:r>
      <w:r w:rsidRPr="009F7582">
        <w:rPr>
          <w:rtl/>
        </w:rPr>
        <w:t xml:space="preserve"> בילטרלי או רב-לאומי שימתן חלק מהמכסים. </w:t>
      </w:r>
      <w:r w:rsidR="00B7761B">
        <w:rPr>
          <w:rFonts w:hint="cs"/>
          <w:rtl/>
        </w:rPr>
        <w:t>גם ההשפעות של המכסים על הכלכלה העולמית</w:t>
      </w:r>
      <w:r w:rsidR="00B73E44">
        <w:rPr>
          <w:rFonts w:hint="cs"/>
          <w:rtl/>
        </w:rPr>
        <w:t xml:space="preserve"> והישראלית</w:t>
      </w:r>
      <w:r w:rsidR="00B7761B">
        <w:rPr>
          <w:rFonts w:hint="cs"/>
          <w:rtl/>
        </w:rPr>
        <w:t xml:space="preserve"> אינן וודאיות</w:t>
      </w:r>
      <w:r w:rsidR="00B73E44">
        <w:rPr>
          <w:rFonts w:hint="cs"/>
          <w:rtl/>
        </w:rPr>
        <w:t>.</w:t>
      </w:r>
      <w:r w:rsidR="00B7761B">
        <w:rPr>
          <w:rFonts w:hint="cs"/>
          <w:rtl/>
        </w:rPr>
        <w:t xml:space="preserve"> </w:t>
      </w:r>
      <w:r w:rsidR="00AB05C5">
        <w:rPr>
          <w:rFonts w:hint="cs"/>
          <w:rtl/>
        </w:rPr>
        <w:t>מחד,</w:t>
      </w:r>
      <w:r w:rsidR="00B7761B">
        <w:rPr>
          <w:rFonts w:hint="cs"/>
          <w:rtl/>
        </w:rPr>
        <w:t xml:space="preserve"> </w:t>
      </w:r>
      <w:r w:rsidR="0013171B">
        <w:rPr>
          <w:rFonts w:hint="cs"/>
          <w:rtl/>
        </w:rPr>
        <w:t xml:space="preserve">תתכן הסטה של סחר שתמתן את </w:t>
      </w:r>
      <w:r w:rsidR="00B7761B">
        <w:rPr>
          <w:rFonts w:hint="cs"/>
          <w:rtl/>
        </w:rPr>
        <w:t>השפעתם</w:t>
      </w:r>
      <w:r w:rsidRPr="009F7582">
        <w:rPr>
          <w:rtl/>
        </w:rPr>
        <w:t xml:space="preserve"> </w:t>
      </w:r>
      <w:r w:rsidR="00B7761B">
        <w:rPr>
          <w:rFonts w:hint="cs"/>
          <w:rtl/>
        </w:rPr>
        <w:t>של המכסים בעולם</w:t>
      </w:r>
      <w:r w:rsidRPr="009F7582">
        <w:rPr>
          <w:rtl/>
        </w:rPr>
        <w:t xml:space="preserve"> ובישראל</w:t>
      </w:r>
      <w:r w:rsidR="00AB05C5">
        <w:rPr>
          <w:rFonts w:hint="cs"/>
          <w:rtl/>
        </w:rPr>
        <w:t>,</w:t>
      </w:r>
      <w:r w:rsidR="00B73E44">
        <w:rPr>
          <w:rFonts w:hint="cs"/>
          <w:rtl/>
        </w:rPr>
        <w:t xml:space="preserve"> </w:t>
      </w:r>
      <w:r w:rsidR="00AB05C5">
        <w:rPr>
          <w:rFonts w:hint="cs"/>
          <w:rtl/>
        </w:rPr>
        <w:t xml:space="preserve">אך </w:t>
      </w:r>
      <w:r w:rsidR="00B73E44">
        <w:rPr>
          <w:rFonts w:hint="cs"/>
          <w:rtl/>
        </w:rPr>
        <w:t xml:space="preserve">מנגד, תיתכן פגיעה בהשקעות העולמיות בשל אי-הוודאות שמלחמת הסחר </w:t>
      </w:r>
      <w:r w:rsidR="00F12A22">
        <w:rPr>
          <w:rFonts w:hint="cs"/>
          <w:rtl/>
        </w:rPr>
        <w:t>משיתה</w:t>
      </w:r>
      <w:r w:rsidR="00B73E44">
        <w:rPr>
          <w:rFonts w:hint="cs"/>
          <w:rtl/>
        </w:rPr>
        <w:t>.</w:t>
      </w:r>
      <w:r w:rsidRPr="009F7582">
        <w:rPr>
          <w:rtl/>
        </w:rPr>
        <w:t xml:space="preserve"> בטווח הבינוני-ארוך, </w:t>
      </w:r>
      <w:r w:rsidR="00F12A22">
        <w:rPr>
          <w:rFonts w:hint="cs"/>
          <w:rtl/>
        </w:rPr>
        <w:t>תיתכן פגיעה</w:t>
      </w:r>
      <w:r w:rsidRPr="009F7582">
        <w:rPr>
          <w:rtl/>
        </w:rPr>
        <w:t xml:space="preserve"> בפריון העולמי בשל ירידה בשיעור הסחר בתוצר העולמי</w:t>
      </w:r>
      <w:r w:rsidR="00B7761B">
        <w:rPr>
          <w:rFonts w:hint="cs"/>
          <w:rtl/>
        </w:rPr>
        <w:t>. גם בישראל תתכן</w:t>
      </w:r>
      <w:r w:rsidRPr="009F7582">
        <w:rPr>
          <w:rtl/>
        </w:rPr>
        <w:t xml:space="preserve"> פגיעה בפריון</w:t>
      </w:r>
      <w:r w:rsidR="00BB18E8">
        <w:rPr>
          <w:rFonts w:hint="cs"/>
          <w:rtl/>
        </w:rPr>
        <w:t xml:space="preserve"> במשק</w:t>
      </w:r>
      <w:r w:rsidRPr="009F7582">
        <w:rPr>
          <w:rtl/>
        </w:rPr>
        <w:t xml:space="preserve"> ובתוצר הפוטנציאלי בשל הסטת פעילות מענפי הייצוא בעלי הפריון הגבוה לענפים מקומיים, ו</w:t>
      </w:r>
      <w:r w:rsidR="001A6BC4">
        <w:rPr>
          <w:rFonts w:hint="cs"/>
          <w:rtl/>
        </w:rPr>
        <w:t xml:space="preserve">כן </w:t>
      </w:r>
      <w:r w:rsidR="001A6BC4">
        <w:rPr>
          <w:rtl/>
        </w:rPr>
        <w:t>פגיעה בהשקעות במשק</w:t>
      </w:r>
      <w:r w:rsidR="001A6BC4">
        <w:rPr>
          <w:rFonts w:hint="cs"/>
          <w:rtl/>
        </w:rPr>
        <w:t xml:space="preserve"> אם </w:t>
      </w:r>
      <w:r w:rsidRPr="009F7582">
        <w:rPr>
          <w:rtl/>
        </w:rPr>
        <w:t xml:space="preserve">חברות </w:t>
      </w:r>
      <w:r w:rsidR="00B7761B">
        <w:rPr>
          <w:rFonts w:hint="cs"/>
          <w:rtl/>
        </w:rPr>
        <w:t>יצואניות יעדיפו להעתיק את פעילות</w:t>
      </w:r>
      <w:r w:rsidR="00F12A22">
        <w:rPr>
          <w:rFonts w:hint="cs"/>
          <w:rtl/>
        </w:rPr>
        <w:t>ן</w:t>
      </w:r>
      <w:r w:rsidR="00B7761B">
        <w:rPr>
          <w:rFonts w:hint="cs"/>
          <w:rtl/>
        </w:rPr>
        <w:t xml:space="preserve"> למדינות אחרות</w:t>
      </w:r>
      <w:r w:rsidRPr="009F7582">
        <w:rPr>
          <w:rtl/>
        </w:rPr>
        <w:t>.</w:t>
      </w:r>
      <w:r w:rsidR="00B73E44" w:rsidRPr="00B73E44">
        <w:rPr>
          <w:rFonts w:hint="cs"/>
          <w:rtl/>
        </w:rPr>
        <w:t xml:space="preserve"> </w:t>
      </w:r>
      <w:r w:rsidR="00B73E44">
        <w:rPr>
          <w:rFonts w:hint="cs"/>
          <w:rtl/>
        </w:rPr>
        <w:t xml:space="preserve">יחד עם זאת, </w:t>
      </w:r>
      <w:r w:rsidR="00F12A22">
        <w:rPr>
          <w:rFonts w:hint="cs"/>
          <w:rtl/>
        </w:rPr>
        <w:t>ל</w:t>
      </w:r>
      <w:r w:rsidR="00B73E44">
        <w:rPr>
          <w:rFonts w:hint="cs"/>
          <w:rtl/>
        </w:rPr>
        <w:t xml:space="preserve">ישראל </w:t>
      </w:r>
      <w:r w:rsidR="00F12A22">
        <w:rPr>
          <w:rFonts w:hint="cs"/>
          <w:rtl/>
        </w:rPr>
        <w:t xml:space="preserve">יש </w:t>
      </w:r>
      <w:r w:rsidR="00B73E44">
        <w:rPr>
          <w:rFonts w:hint="cs"/>
          <w:rtl/>
        </w:rPr>
        <w:t>גם מספר נקודות חוזקה יחסיות במלחמת הסחר, ובראשן התבססות במידה רבה על יצוא שירותים מתקדמים שפחות חשופים למכסים.</w:t>
      </w:r>
    </w:p>
    <w:p w:rsidR="00202530" w:rsidRPr="00AB05C5" w:rsidRDefault="009F7582" w:rsidP="00EB1168">
      <w:pPr>
        <w:ind w:left="8"/>
        <w:jc w:val="both"/>
      </w:pPr>
      <w:r>
        <w:rPr>
          <w:rFonts w:hint="cs"/>
          <w:rtl/>
        </w:rPr>
        <w:t>לבסוף</w:t>
      </w:r>
      <w:r w:rsidR="00D7789E">
        <w:rPr>
          <w:rtl/>
        </w:rPr>
        <w:t xml:space="preserve">, קיים סיכון להשפעה כלכלית של המתחים הפוליטיים-חברתיים בישראל. בשנת 2023, מתחים דומים סביב מהלכי חקיקה שקידמה הממשלה תרמו לפיחות של השקל. בנוסף להשפעה אפשרית זו, </w:t>
      </w:r>
      <w:r w:rsidR="00F12A22">
        <w:rPr>
          <w:rFonts w:hint="cs"/>
          <w:rtl/>
        </w:rPr>
        <w:t>ככל ש</w:t>
      </w:r>
      <w:r w:rsidR="00D7789E">
        <w:rPr>
          <w:rtl/>
        </w:rPr>
        <w:t>המתחים הפנימיים</w:t>
      </w:r>
      <w:r w:rsidR="00F12A22">
        <w:rPr>
          <w:rFonts w:hint="cs"/>
          <w:rtl/>
        </w:rPr>
        <w:t xml:space="preserve"> יתפסו על ידי השווקים כמעלים את פרמיית הסיכון של ישראל, הם </w:t>
      </w:r>
      <w:r w:rsidR="00D7789E">
        <w:rPr>
          <w:rtl/>
        </w:rPr>
        <w:t>עשויים להתבטא בפגיעה בהשקעות וביצוא, וכן לירידה בצריכה הפרטית, כפי שנידון בתרחישי סיכון שהוצגו בתחזית חטיבת המחקר מאפריל 2023.</w:t>
      </w:r>
    </w:p>
    <w:sectPr w:rsidR="00202530" w:rsidRPr="00AB05C5"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6FBF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202530" w:rsidRPr="00202530" w:rsidRDefault="00202530" w:rsidP="00D0016C">
      <w:pPr>
        <w:pStyle w:val="af1"/>
        <w:spacing w:before="60"/>
        <w:ind w:left="19"/>
        <w:rPr>
          <w:sz w:val="18"/>
          <w:szCs w:val="18"/>
          <w:rtl/>
        </w:rPr>
      </w:pPr>
      <w:r w:rsidRPr="00202530">
        <w:rPr>
          <w:rStyle w:val="af3"/>
        </w:rPr>
        <w:footnoteRef/>
      </w:r>
      <w:r w:rsidRPr="00202530">
        <w:rPr>
          <w:rtl/>
        </w:rPr>
        <w:t xml:space="preserve"> התחזית הוצגה לוועדה המוניטרית ב-</w:t>
      </w:r>
      <w:r w:rsidR="00D0016C">
        <w:rPr>
          <w:rFonts w:hint="cs"/>
          <w:rtl/>
        </w:rPr>
        <w:t>6</w:t>
      </w:r>
      <w:r w:rsidRPr="00202530">
        <w:rPr>
          <w:rtl/>
        </w:rPr>
        <w:t>/</w:t>
      </w:r>
      <w:r w:rsidR="00D0016C">
        <w:rPr>
          <w:rFonts w:hint="cs"/>
          <w:rtl/>
        </w:rPr>
        <w:t>4</w:t>
      </w:r>
      <w:r w:rsidRPr="00202530">
        <w:rPr>
          <w:rtl/>
        </w:rPr>
        <w:t>/2025, לקראת החלטת הריבית שהתקבלה ב-</w:t>
      </w:r>
      <w:r w:rsidR="00D0016C">
        <w:rPr>
          <w:rFonts w:hint="cs"/>
          <w:rtl/>
        </w:rPr>
        <w:t>7</w:t>
      </w:r>
      <w:r w:rsidRPr="00202530">
        <w:rPr>
          <w:rtl/>
        </w:rPr>
        <w:t>/</w:t>
      </w:r>
      <w:r w:rsidR="00D0016C">
        <w:rPr>
          <w:rFonts w:hint="cs"/>
          <w:rtl/>
        </w:rPr>
        <w:t>4</w:t>
      </w:r>
      <w:r w:rsidRPr="00202530">
        <w:rPr>
          <w:rtl/>
        </w:rPr>
        <w:t>/2025.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trackedChange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27C28"/>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4628"/>
    <w:rsid w:val="000902E7"/>
    <w:rsid w:val="00091068"/>
    <w:rsid w:val="000910D7"/>
    <w:rsid w:val="000924A8"/>
    <w:rsid w:val="00093045"/>
    <w:rsid w:val="00093FA1"/>
    <w:rsid w:val="00094C4E"/>
    <w:rsid w:val="00094DF9"/>
    <w:rsid w:val="0009652F"/>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2CFD"/>
    <w:rsid w:val="000E3D04"/>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22"/>
    <w:rsid w:val="00125340"/>
    <w:rsid w:val="001253C6"/>
    <w:rsid w:val="001260EE"/>
    <w:rsid w:val="0013171B"/>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3AEE"/>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2C74"/>
    <w:rsid w:val="001A319B"/>
    <w:rsid w:val="001A3E89"/>
    <w:rsid w:val="001A41EE"/>
    <w:rsid w:val="001A5C6A"/>
    <w:rsid w:val="001A6BC4"/>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5CDA"/>
    <w:rsid w:val="001E6F06"/>
    <w:rsid w:val="001E78F9"/>
    <w:rsid w:val="001E7BF7"/>
    <w:rsid w:val="001E7EAF"/>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A43"/>
    <w:rsid w:val="00235DE2"/>
    <w:rsid w:val="00241C10"/>
    <w:rsid w:val="00242959"/>
    <w:rsid w:val="00242CED"/>
    <w:rsid w:val="00244686"/>
    <w:rsid w:val="002454AE"/>
    <w:rsid w:val="00245CA7"/>
    <w:rsid w:val="00245D31"/>
    <w:rsid w:val="00251589"/>
    <w:rsid w:val="0025347D"/>
    <w:rsid w:val="00253EEE"/>
    <w:rsid w:val="00254496"/>
    <w:rsid w:val="00256FF4"/>
    <w:rsid w:val="002618FB"/>
    <w:rsid w:val="00261FA6"/>
    <w:rsid w:val="002634E2"/>
    <w:rsid w:val="0027002F"/>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5AE6"/>
    <w:rsid w:val="002C6107"/>
    <w:rsid w:val="002C7CC8"/>
    <w:rsid w:val="002D0C24"/>
    <w:rsid w:val="002D2422"/>
    <w:rsid w:val="002D27C8"/>
    <w:rsid w:val="002D7104"/>
    <w:rsid w:val="002D7650"/>
    <w:rsid w:val="002D76F6"/>
    <w:rsid w:val="002E16E9"/>
    <w:rsid w:val="002E3BD1"/>
    <w:rsid w:val="002E65A1"/>
    <w:rsid w:val="002E7606"/>
    <w:rsid w:val="002F14D6"/>
    <w:rsid w:val="002F1587"/>
    <w:rsid w:val="002F2293"/>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30C1F"/>
    <w:rsid w:val="00331022"/>
    <w:rsid w:val="00336147"/>
    <w:rsid w:val="003412FE"/>
    <w:rsid w:val="00347DBE"/>
    <w:rsid w:val="0035096F"/>
    <w:rsid w:val="003520CA"/>
    <w:rsid w:val="0036092C"/>
    <w:rsid w:val="00360A85"/>
    <w:rsid w:val="003612BC"/>
    <w:rsid w:val="0036176A"/>
    <w:rsid w:val="00363AF8"/>
    <w:rsid w:val="003645BD"/>
    <w:rsid w:val="00364F24"/>
    <w:rsid w:val="003650AF"/>
    <w:rsid w:val="00365995"/>
    <w:rsid w:val="00366B4F"/>
    <w:rsid w:val="00367272"/>
    <w:rsid w:val="0036733B"/>
    <w:rsid w:val="0036771D"/>
    <w:rsid w:val="00371390"/>
    <w:rsid w:val="0037158E"/>
    <w:rsid w:val="003715E4"/>
    <w:rsid w:val="003720B1"/>
    <w:rsid w:val="00373659"/>
    <w:rsid w:val="00373A72"/>
    <w:rsid w:val="003765BF"/>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5D79"/>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A11"/>
    <w:rsid w:val="00430FE6"/>
    <w:rsid w:val="00434DF8"/>
    <w:rsid w:val="00435C64"/>
    <w:rsid w:val="00444416"/>
    <w:rsid w:val="00445971"/>
    <w:rsid w:val="00453E2A"/>
    <w:rsid w:val="004562EE"/>
    <w:rsid w:val="00456351"/>
    <w:rsid w:val="00456854"/>
    <w:rsid w:val="00462E7F"/>
    <w:rsid w:val="00463DF9"/>
    <w:rsid w:val="00465B0F"/>
    <w:rsid w:val="00466CAD"/>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6BE1"/>
    <w:rsid w:val="004976BA"/>
    <w:rsid w:val="004A0AF0"/>
    <w:rsid w:val="004A0C72"/>
    <w:rsid w:val="004A275C"/>
    <w:rsid w:val="004A295D"/>
    <w:rsid w:val="004A3AE6"/>
    <w:rsid w:val="004A5E03"/>
    <w:rsid w:val="004A74CC"/>
    <w:rsid w:val="004B4676"/>
    <w:rsid w:val="004B5166"/>
    <w:rsid w:val="004B6140"/>
    <w:rsid w:val="004B6D20"/>
    <w:rsid w:val="004B7DB7"/>
    <w:rsid w:val="004C1097"/>
    <w:rsid w:val="004C13EB"/>
    <w:rsid w:val="004C1AA9"/>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762D"/>
    <w:rsid w:val="00507C0C"/>
    <w:rsid w:val="00510617"/>
    <w:rsid w:val="00510F9E"/>
    <w:rsid w:val="00511046"/>
    <w:rsid w:val="00511763"/>
    <w:rsid w:val="00511F00"/>
    <w:rsid w:val="00515070"/>
    <w:rsid w:val="0051569C"/>
    <w:rsid w:val="005157D8"/>
    <w:rsid w:val="00516B12"/>
    <w:rsid w:val="005171E4"/>
    <w:rsid w:val="00517517"/>
    <w:rsid w:val="005222C7"/>
    <w:rsid w:val="005275E1"/>
    <w:rsid w:val="00531F13"/>
    <w:rsid w:val="0053227B"/>
    <w:rsid w:val="00532693"/>
    <w:rsid w:val="005326A1"/>
    <w:rsid w:val="00535ED0"/>
    <w:rsid w:val="005367FF"/>
    <w:rsid w:val="00536843"/>
    <w:rsid w:val="0053743C"/>
    <w:rsid w:val="00540C1D"/>
    <w:rsid w:val="00542A34"/>
    <w:rsid w:val="00542FE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D84"/>
    <w:rsid w:val="005E5C7E"/>
    <w:rsid w:val="005E670C"/>
    <w:rsid w:val="005F1C21"/>
    <w:rsid w:val="005F3BFA"/>
    <w:rsid w:val="005F5870"/>
    <w:rsid w:val="00600EFC"/>
    <w:rsid w:val="0060118D"/>
    <w:rsid w:val="00603182"/>
    <w:rsid w:val="00603F47"/>
    <w:rsid w:val="006056E2"/>
    <w:rsid w:val="00610E08"/>
    <w:rsid w:val="006119E5"/>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666B3"/>
    <w:rsid w:val="00670F2B"/>
    <w:rsid w:val="0067409C"/>
    <w:rsid w:val="006743B4"/>
    <w:rsid w:val="00674509"/>
    <w:rsid w:val="00674571"/>
    <w:rsid w:val="00676C0B"/>
    <w:rsid w:val="0067778F"/>
    <w:rsid w:val="00680703"/>
    <w:rsid w:val="00681F46"/>
    <w:rsid w:val="00684B42"/>
    <w:rsid w:val="00685685"/>
    <w:rsid w:val="00686B6D"/>
    <w:rsid w:val="00686E01"/>
    <w:rsid w:val="006877B6"/>
    <w:rsid w:val="00687CF4"/>
    <w:rsid w:val="006931DD"/>
    <w:rsid w:val="00695298"/>
    <w:rsid w:val="00696611"/>
    <w:rsid w:val="006A049C"/>
    <w:rsid w:val="006A623F"/>
    <w:rsid w:val="006A73F1"/>
    <w:rsid w:val="006A75C7"/>
    <w:rsid w:val="006B1718"/>
    <w:rsid w:val="006B6654"/>
    <w:rsid w:val="006B79E9"/>
    <w:rsid w:val="006C199D"/>
    <w:rsid w:val="006C28FA"/>
    <w:rsid w:val="006C2E29"/>
    <w:rsid w:val="006C50F7"/>
    <w:rsid w:val="006C71DC"/>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1BC"/>
    <w:rsid w:val="006F29F7"/>
    <w:rsid w:val="006F34EB"/>
    <w:rsid w:val="006F47C5"/>
    <w:rsid w:val="006F506E"/>
    <w:rsid w:val="006F5C83"/>
    <w:rsid w:val="00700B49"/>
    <w:rsid w:val="007010A1"/>
    <w:rsid w:val="00702511"/>
    <w:rsid w:val="00702ED2"/>
    <w:rsid w:val="007030F0"/>
    <w:rsid w:val="007045F6"/>
    <w:rsid w:val="007055D8"/>
    <w:rsid w:val="0070611E"/>
    <w:rsid w:val="00707696"/>
    <w:rsid w:val="007076FF"/>
    <w:rsid w:val="007077AC"/>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21D"/>
    <w:rsid w:val="007416A4"/>
    <w:rsid w:val="007434A8"/>
    <w:rsid w:val="007441FF"/>
    <w:rsid w:val="00744DD7"/>
    <w:rsid w:val="0074544F"/>
    <w:rsid w:val="00746828"/>
    <w:rsid w:val="007479AE"/>
    <w:rsid w:val="007507E6"/>
    <w:rsid w:val="00751DD0"/>
    <w:rsid w:val="00753AE4"/>
    <w:rsid w:val="00754237"/>
    <w:rsid w:val="00754A40"/>
    <w:rsid w:val="00755AF2"/>
    <w:rsid w:val="00756D9F"/>
    <w:rsid w:val="00760558"/>
    <w:rsid w:val="00760981"/>
    <w:rsid w:val="00761074"/>
    <w:rsid w:val="007618D8"/>
    <w:rsid w:val="007625DA"/>
    <w:rsid w:val="0076287C"/>
    <w:rsid w:val="00762A65"/>
    <w:rsid w:val="007639C4"/>
    <w:rsid w:val="0076511C"/>
    <w:rsid w:val="007724A1"/>
    <w:rsid w:val="007733A3"/>
    <w:rsid w:val="00775D5D"/>
    <w:rsid w:val="00777437"/>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D1C9B"/>
    <w:rsid w:val="007D415A"/>
    <w:rsid w:val="007D71C0"/>
    <w:rsid w:val="007E0F0A"/>
    <w:rsid w:val="007E0FFE"/>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4142"/>
    <w:rsid w:val="009458A7"/>
    <w:rsid w:val="009458CE"/>
    <w:rsid w:val="00946056"/>
    <w:rsid w:val="0094618E"/>
    <w:rsid w:val="00947BF5"/>
    <w:rsid w:val="0095051F"/>
    <w:rsid w:val="009506A8"/>
    <w:rsid w:val="00960675"/>
    <w:rsid w:val="00960D64"/>
    <w:rsid w:val="00961DAF"/>
    <w:rsid w:val="00961F2D"/>
    <w:rsid w:val="00963B4C"/>
    <w:rsid w:val="00967D73"/>
    <w:rsid w:val="00970E33"/>
    <w:rsid w:val="009716AB"/>
    <w:rsid w:val="00972230"/>
    <w:rsid w:val="009738C6"/>
    <w:rsid w:val="00974D42"/>
    <w:rsid w:val="009751DA"/>
    <w:rsid w:val="0097592B"/>
    <w:rsid w:val="00977073"/>
    <w:rsid w:val="009770FE"/>
    <w:rsid w:val="00982148"/>
    <w:rsid w:val="009824E4"/>
    <w:rsid w:val="00983A2C"/>
    <w:rsid w:val="009861F5"/>
    <w:rsid w:val="009914E8"/>
    <w:rsid w:val="00992744"/>
    <w:rsid w:val="00994495"/>
    <w:rsid w:val="00995C66"/>
    <w:rsid w:val="009A2641"/>
    <w:rsid w:val="009A26E4"/>
    <w:rsid w:val="009A5850"/>
    <w:rsid w:val="009A635D"/>
    <w:rsid w:val="009A6CE7"/>
    <w:rsid w:val="009A7E41"/>
    <w:rsid w:val="009B1264"/>
    <w:rsid w:val="009B16AE"/>
    <w:rsid w:val="009B35FC"/>
    <w:rsid w:val="009B37AE"/>
    <w:rsid w:val="009B470A"/>
    <w:rsid w:val="009B5890"/>
    <w:rsid w:val="009B622D"/>
    <w:rsid w:val="009B6E06"/>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5A18"/>
    <w:rsid w:val="009E6786"/>
    <w:rsid w:val="009F119F"/>
    <w:rsid w:val="009F1390"/>
    <w:rsid w:val="009F3067"/>
    <w:rsid w:val="009F4EAA"/>
    <w:rsid w:val="009F748A"/>
    <w:rsid w:val="009F7582"/>
    <w:rsid w:val="009F78A1"/>
    <w:rsid w:val="00A01454"/>
    <w:rsid w:val="00A01FA0"/>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37310"/>
    <w:rsid w:val="00A41052"/>
    <w:rsid w:val="00A416F9"/>
    <w:rsid w:val="00A420C3"/>
    <w:rsid w:val="00A4299E"/>
    <w:rsid w:val="00A42B2B"/>
    <w:rsid w:val="00A4686B"/>
    <w:rsid w:val="00A50841"/>
    <w:rsid w:val="00A515F2"/>
    <w:rsid w:val="00A51BED"/>
    <w:rsid w:val="00A52AB9"/>
    <w:rsid w:val="00A53CD1"/>
    <w:rsid w:val="00A53FD2"/>
    <w:rsid w:val="00A63469"/>
    <w:rsid w:val="00A63AD0"/>
    <w:rsid w:val="00A6434E"/>
    <w:rsid w:val="00A64576"/>
    <w:rsid w:val="00A65AD1"/>
    <w:rsid w:val="00A65CAA"/>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05C5"/>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30C2"/>
    <w:rsid w:val="00AE5576"/>
    <w:rsid w:val="00AF3967"/>
    <w:rsid w:val="00AF408C"/>
    <w:rsid w:val="00AF4878"/>
    <w:rsid w:val="00AF4C8D"/>
    <w:rsid w:val="00AF7FBC"/>
    <w:rsid w:val="00B00ACB"/>
    <w:rsid w:val="00B01532"/>
    <w:rsid w:val="00B016CD"/>
    <w:rsid w:val="00B03D80"/>
    <w:rsid w:val="00B04224"/>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63FE"/>
    <w:rsid w:val="00C06655"/>
    <w:rsid w:val="00C114BD"/>
    <w:rsid w:val="00C11BA9"/>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6113"/>
    <w:rsid w:val="00C46301"/>
    <w:rsid w:val="00C50A9E"/>
    <w:rsid w:val="00C50E25"/>
    <w:rsid w:val="00C52F23"/>
    <w:rsid w:val="00C52F8A"/>
    <w:rsid w:val="00C5324A"/>
    <w:rsid w:val="00C53812"/>
    <w:rsid w:val="00C55084"/>
    <w:rsid w:val="00C60FD4"/>
    <w:rsid w:val="00C62223"/>
    <w:rsid w:val="00C629E2"/>
    <w:rsid w:val="00C63603"/>
    <w:rsid w:val="00C63DDE"/>
    <w:rsid w:val="00C642C0"/>
    <w:rsid w:val="00C70895"/>
    <w:rsid w:val="00C720B7"/>
    <w:rsid w:val="00C72A60"/>
    <w:rsid w:val="00C7312D"/>
    <w:rsid w:val="00C734D5"/>
    <w:rsid w:val="00C762B8"/>
    <w:rsid w:val="00C766F3"/>
    <w:rsid w:val="00C80D42"/>
    <w:rsid w:val="00C8207A"/>
    <w:rsid w:val="00C8395A"/>
    <w:rsid w:val="00C842A9"/>
    <w:rsid w:val="00C8724D"/>
    <w:rsid w:val="00C9120D"/>
    <w:rsid w:val="00C912F9"/>
    <w:rsid w:val="00C9255C"/>
    <w:rsid w:val="00C93D23"/>
    <w:rsid w:val="00C94167"/>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7906"/>
    <w:rsid w:val="00D0016C"/>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5954"/>
    <w:rsid w:val="00D26498"/>
    <w:rsid w:val="00D264A9"/>
    <w:rsid w:val="00D26788"/>
    <w:rsid w:val="00D2736D"/>
    <w:rsid w:val="00D301B4"/>
    <w:rsid w:val="00D322B6"/>
    <w:rsid w:val="00D32549"/>
    <w:rsid w:val="00D33CFE"/>
    <w:rsid w:val="00D34911"/>
    <w:rsid w:val="00D35AD1"/>
    <w:rsid w:val="00D35B2F"/>
    <w:rsid w:val="00D37796"/>
    <w:rsid w:val="00D37E42"/>
    <w:rsid w:val="00D40ADE"/>
    <w:rsid w:val="00D40B65"/>
    <w:rsid w:val="00D40FCB"/>
    <w:rsid w:val="00D4178B"/>
    <w:rsid w:val="00D430B6"/>
    <w:rsid w:val="00D432E5"/>
    <w:rsid w:val="00D434B4"/>
    <w:rsid w:val="00D44089"/>
    <w:rsid w:val="00D4410F"/>
    <w:rsid w:val="00D46AA0"/>
    <w:rsid w:val="00D47527"/>
    <w:rsid w:val="00D504D7"/>
    <w:rsid w:val="00D50A3A"/>
    <w:rsid w:val="00D51D14"/>
    <w:rsid w:val="00D532AC"/>
    <w:rsid w:val="00D54289"/>
    <w:rsid w:val="00D57E17"/>
    <w:rsid w:val="00D615FC"/>
    <w:rsid w:val="00D61A22"/>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11E"/>
    <w:rsid w:val="00DA540C"/>
    <w:rsid w:val="00DA5C6D"/>
    <w:rsid w:val="00DB0EE4"/>
    <w:rsid w:val="00DB2121"/>
    <w:rsid w:val="00DB3F4C"/>
    <w:rsid w:val="00DB4E4A"/>
    <w:rsid w:val="00DB6653"/>
    <w:rsid w:val="00DB66FB"/>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0112"/>
    <w:rsid w:val="00DF23B3"/>
    <w:rsid w:val="00DF2DA8"/>
    <w:rsid w:val="00DF39AB"/>
    <w:rsid w:val="00DF4B50"/>
    <w:rsid w:val="00DF6D21"/>
    <w:rsid w:val="00E0065C"/>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6A35"/>
    <w:rsid w:val="00E40627"/>
    <w:rsid w:val="00E40883"/>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58B3"/>
    <w:rsid w:val="00EA7383"/>
    <w:rsid w:val="00EB0D24"/>
    <w:rsid w:val="00EB1168"/>
    <w:rsid w:val="00EB20FE"/>
    <w:rsid w:val="00EB3AA0"/>
    <w:rsid w:val="00EB43F7"/>
    <w:rsid w:val="00EB7F0D"/>
    <w:rsid w:val="00EC2054"/>
    <w:rsid w:val="00EC561F"/>
    <w:rsid w:val="00EC57DC"/>
    <w:rsid w:val="00EC628A"/>
    <w:rsid w:val="00ED01C3"/>
    <w:rsid w:val="00ED3320"/>
    <w:rsid w:val="00ED3873"/>
    <w:rsid w:val="00ED72B4"/>
    <w:rsid w:val="00EE06D1"/>
    <w:rsid w:val="00EE28BA"/>
    <w:rsid w:val="00EE38B7"/>
    <w:rsid w:val="00EE662C"/>
    <w:rsid w:val="00EF1001"/>
    <w:rsid w:val="00EF6013"/>
    <w:rsid w:val="00EF6826"/>
    <w:rsid w:val="00EF740A"/>
    <w:rsid w:val="00EF7F40"/>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65C4"/>
    <w:rsid w:val="00F86688"/>
    <w:rsid w:val="00F86849"/>
    <w:rsid w:val="00F90CF5"/>
    <w:rsid w:val="00F91AD3"/>
    <w:rsid w:val="00F92702"/>
    <w:rsid w:val="00F93BD9"/>
    <w:rsid w:val="00F94F94"/>
    <w:rsid w:val="00F96D34"/>
    <w:rsid w:val="00FA429E"/>
    <w:rsid w:val="00FA6B50"/>
    <w:rsid w:val="00FB748C"/>
    <w:rsid w:val="00FC04DD"/>
    <w:rsid w:val="00FC1FBB"/>
    <w:rsid w:val="00FC75C5"/>
    <w:rsid w:val="00FD1E91"/>
    <w:rsid w:val="00FD2074"/>
    <w:rsid w:val="00FD3183"/>
    <w:rsid w:val="00FD35D5"/>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4BD8C313-5C81-445A-B3E9-212FE96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15609522">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F0EA-3E98-46D2-BDB6-19A593EA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1860</Words>
  <Characters>9305</Characters>
  <Application>Microsoft Office Word</Application>
  <DocSecurity>4</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ברנדר</dc:creator>
  <cp:lastModifiedBy>מיטל רולניצקי</cp:lastModifiedBy>
  <cp:revision>2</cp:revision>
  <dcterms:created xsi:type="dcterms:W3CDTF">2025-04-07T10:43:00Z</dcterms:created>
  <dcterms:modified xsi:type="dcterms:W3CDTF">2025-04-07T10:43:00Z</dcterms:modified>
</cp:coreProperties>
</file>