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991"/>
        <w:bidiVisual/>
        <w:tblW w:w="8958" w:type="dxa"/>
        <w:tblLayout w:type="fixed"/>
        <w:tblLook w:val="04A0" w:firstRow="1" w:lastRow="0" w:firstColumn="1" w:lastColumn="0" w:noHBand="0" w:noVBand="1"/>
      </w:tblPr>
      <w:tblGrid>
        <w:gridCol w:w="3343"/>
        <w:gridCol w:w="2596"/>
        <w:gridCol w:w="3019"/>
      </w:tblGrid>
      <w:tr w:rsidR="00DA56A7" w:rsidTr="00525096">
        <w:tc>
          <w:tcPr>
            <w:tcW w:w="3343" w:type="dxa"/>
            <w:shd w:val="clear" w:color="auto" w:fill="auto"/>
            <w:vAlign w:val="center"/>
            <w:hideMark/>
          </w:tcPr>
          <w:p w:rsidR="00DA56A7" w:rsidRPr="00392619" w:rsidRDefault="00DA56A7" w:rsidP="00C05A3B">
            <w:pPr>
              <w:spacing w:line="360" w:lineRule="auto"/>
              <w:ind w:left="97"/>
              <w:jc w:val="both"/>
              <w:rPr>
                <w:rFonts w:cs="Calibri"/>
                <w:sz w:val="24"/>
                <w:szCs w:val="24"/>
              </w:rPr>
            </w:pPr>
            <w:r w:rsidRPr="00392619">
              <w:rPr>
                <w:rFonts w:cs="Calibri"/>
                <w:sz w:val="24"/>
                <w:szCs w:val="24"/>
                <w:rtl/>
              </w:rPr>
              <w:t>בנק ישראל</w:t>
            </w:r>
          </w:p>
          <w:p w:rsidR="00DA56A7" w:rsidRPr="00392619" w:rsidRDefault="00DA56A7" w:rsidP="00C05A3B">
            <w:pPr>
              <w:spacing w:line="360" w:lineRule="auto"/>
              <w:ind w:left="97" w:right="-101"/>
              <w:jc w:val="both"/>
              <w:rPr>
                <w:rFonts w:cs="Calibri"/>
                <w:sz w:val="24"/>
                <w:szCs w:val="24"/>
              </w:rPr>
            </w:pPr>
            <w:r w:rsidRPr="00392619">
              <w:rPr>
                <w:rFonts w:cs="Calibr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shd w:val="clear" w:color="auto" w:fill="FFFFFF"/>
            <w:hideMark/>
          </w:tcPr>
          <w:p w:rsidR="00DA56A7" w:rsidRPr="00392619" w:rsidRDefault="00DA56A7" w:rsidP="00C05A3B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6C0D8049" wp14:editId="5CFF60FC">
                  <wp:extent cx="938530" cy="938530"/>
                  <wp:effectExtent l="0" t="0" r="0" b="0"/>
                  <wp:docPr id="1" name="תמונה 3" descr="Title: לוגו - Description: 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Title: לוגו - Description: 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:rsidR="00DA56A7" w:rsidRPr="00392619" w:rsidRDefault="00DA56A7" w:rsidP="00C05A3B">
            <w:pPr>
              <w:bidi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92619">
              <w:rPr>
                <w:rFonts w:cs="Calibri"/>
                <w:sz w:val="24"/>
                <w:szCs w:val="24"/>
                <w:rtl/>
              </w:rPr>
              <w:t>‏ירושלים</w:t>
            </w:r>
            <w:r w:rsidR="00525096"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 w:rsidR="00525096">
              <w:rPr>
                <w:rFonts w:cs="Calibri" w:hint="eastAsia"/>
                <w:sz w:val="24"/>
                <w:szCs w:val="24"/>
                <w:rtl/>
              </w:rPr>
              <w:t>‏כ</w:t>
            </w:r>
            <w:r w:rsidR="00525096">
              <w:rPr>
                <w:rFonts w:cs="Calibri"/>
                <w:sz w:val="24"/>
                <w:szCs w:val="24"/>
                <w:rtl/>
              </w:rPr>
              <w:t>"ח אב תשפ"ד</w:t>
            </w:r>
          </w:p>
          <w:p w:rsidR="00DA56A7" w:rsidRPr="00392619" w:rsidRDefault="00525096" w:rsidP="00C05A3B">
            <w:pPr>
              <w:bidi w:val="0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rtl/>
              </w:rPr>
              <w:t>‏</w:t>
            </w:r>
            <w:r>
              <w:rPr>
                <w:rFonts w:cs="Calibri"/>
                <w:sz w:val="24"/>
                <w:szCs w:val="24"/>
                <w:rtl/>
              </w:rPr>
              <w:t>01 ספטמבר 2024</w:t>
            </w:r>
          </w:p>
        </w:tc>
      </w:tr>
    </w:tbl>
    <w:p w:rsidR="000B5098" w:rsidRPr="00AE45E5" w:rsidRDefault="000B5098" w:rsidP="00AE45E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E45E5">
        <w:rPr>
          <w:rFonts w:ascii="David" w:hAnsi="David" w:cs="David" w:hint="cs"/>
          <w:sz w:val="24"/>
          <w:szCs w:val="24"/>
          <w:rtl/>
        </w:rPr>
        <w:t>הודעה לעיתונות</w:t>
      </w:r>
    </w:p>
    <w:p w:rsidR="00AE45E5" w:rsidRPr="00A73C8D" w:rsidRDefault="00AE45E5" w:rsidP="004C58EC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A73C8D">
        <w:rPr>
          <w:rFonts w:ascii="David" w:hAnsi="David" w:cs="David" w:hint="cs"/>
          <w:b/>
          <w:bCs/>
          <w:sz w:val="28"/>
          <w:szCs w:val="28"/>
          <w:rtl/>
        </w:rPr>
        <w:t>מחקר חדש</w:t>
      </w:r>
      <w:r w:rsidR="004C58EC">
        <w:rPr>
          <w:rFonts w:ascii="David" w:hAnsi="David" w:cs="David" w:hint="cs"/>
          <w:b/>
          <w:bCs/>
          <w:sz w:val="28"/>
          <w:szCs w:val="28"/>
          <w:rtl/>
        </w:rPr>
        <w:t xml:space="preserve"> בבנק ישראל</w:t>
      </w:r>
      <w:r w:rsidRPr="00A73C8D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4C58EC">
        <w:rPr>
          <w:rFonts w:ascii="David" w:hAnsi="David" w:cs="David" w:hint="cs"/>
          <w:b/>
          <w:bCs/>
          <w:sz w:val="28"/>
          <w:szCs w:val="28"/>
          <w:rtl/>
        </w:rPr>
        <w:t>השפעת</w:t>
      </w:r>
      <w:r w:rsidRPr="00A73C8D">
        <w:rPr>
          <w:rFonts w:ascii="David" w:hAnsi="David" w:cs="David" w:hint="cs"/>
          <w:b/>
          <w:bCs/>
          <w:sz w:val="28"/>
          <w:szCs w:val="28"/>
          <w:rtl/>
        </w:rPr>
        <w:t xml:space="preserve"> תוכניות ממשלתיות בתחום הדיור על הצעות היזמים</w:t>
      </w:r>
      <w:r w:rsidRPr="00A73C8D">
        <w:rPr>
          <w:rFonts w:ascii="David" w:hAnsi="David" w:cs="David"/>
          <w:b/>
          <w:bCs/>
          <w:sz w:val="28"/>
          <w:szCs w:val="28"/>
          <w:rtl/>
        </w:rPr>
        <w:t xml:space="preserve"> במכרזי מקרקעין של ר</w:t>
      </w:r>
      <w:r w:rsidRPr="00A73C8D">
        <w:rPr>
          <w:rFonts w:ascii="David" w:hAnsi="David" w:cs="David" w:hint="cs"/>
          <w:b/>
          <w:bCs/>
          <w:sz w:val="28"/>
          <w:szCs w:val="28"/>
          <w:rtl/>
        </w:rPr>
        <w:t>שות מקרקעי ישראל</w:t>
      </w:r>
    </w:p>
    <w:p w:rsidR="00525096" w:rsidRPr="00525096" w:rsidRDefault="00525096" w:rsidP="00CF51CF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25096">
        <w:rPr>
          <w:rFonts w:ascii="David" w:hAnsi="David" w:cs="David" w:hint="cs"/>
          <w:b/>
          <w:bCs/>
          <w:sz w:val="24"/>
          <w:szCs w:val="24"/>
          <w:rtl/>
        </w:rPr>
        <w:t>ר</w:t>
      </w:r>
      <w:bookmarkStart w:id="0" w:name="_GoBack"/>
      <w:bookmarkEnd w:id="0"/>
      <w:r w:rsidRPr="00525096">
        <w:rPr>
          <w:rFonts w:ascii="David" w:hAnsi="David" w:cs="David" w:hint="cs"/>
          <w:b/>
          <w:bCs/>
          <w:sz w:val="24"/>
          <w:szCs w:val="24"/>
          <w:rtl/>
        </w:rPr>
        <w:t>קע:</w:t>
      </w:r>
    </w:p>
    <w:p w:rsidR="00A30E8C" w:rsidRDefault="00AE45E5" w:rsidP="00CF51C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25096">
        <w:rPr>
          <w:rFonts w:ascii="David" w:hAnsi="David" w:cs="David" w:hint="cs"/>
          <w:sz w:val="24"/>
          <w:szCs w:val="24"/>
          <w:rtl/>
        </w:rPr>
        <w:t xml:space="preserve">מחקר זה משתמש </w:t>
      </w:r>
      <w:r w:rsidR="00FC3B89" w:rsidRPr="00525096">
        <w:rPr>
          <w:rFonts w:ascii="David" w:hAnsi="David" w:cs="David" w:hint="cs"/>
          <w:sz w:val="24"/>
          <w:szCs w:val="24"/>
          <w:rtl/>
        </w:rPr>
        <w:t xml:space="preserve">בבסיס נתונים </w:t>
      </w:r>
      <w:r w:rsidR="00796C6C" w:rsidRPr="00525096">
        <w:rPr>
          <w:rFonts w:ascii="David" w:hAnsi="David" w:cs="David" w:hint="cs"/>
          <w:sz w:val="24"/>
          <w:szCs w:val="24"/>
          <w:rtl/>
        </w:rPr>
        <w:t>מקיף ו</w:t>
      </w:r>
      <w:r w:rsidR="00FC3B89" w:rsidRPr="00525096">
        <w:rPr>
          <w:rFonts w:ascii="David" w:hAnsi="David" w:cs="David" w:hint="cs"/>
          <w:sz w:val="24"/>
          <w:szCs w:val="24"/>
          <w:rtl/>
        </w:rPr>
        <w:t xml:space="preserve">ייחודי </w:t>
      </w:r>
      <w:r w:rsidR="00A116C9" w:rsidRPr="00525096">
        <w:rPr>
          <w:rFonts w:ascii="David" w:hAnsi="David" w:cs="David" w:hint="cs"/>
          <w:sz w:val="24"/>
          <w:szCs w:val="24"/>
          <w:rtl/>
        </w:rPr>
        <w:t>ש</w:t>
      </w:r>
      <w:r w:rsidR="00FC3B89" w:rsidRPr="00525096">
        <w:rPr>
          <w:rFonts w:ascii="David" w:hAnsi="David" w:cs="David" w:hint="cs"/>
          <w:sz w:val="24"/>
          <w:szCs w:val="24"/>
          <w:rtl/>
        </w:rPr>
        <w:t xml:space="preserve">מבוסס על תוצאות מכרזי מקרקעין </w:t>
      </w:r>
      <w:r w:rsidR="006E1D21" w:rsidRPr="00525096">
        <w:rPr>
          <w:rFonts w:ascii="David" w:hAnsi="David" w:cs="David" w:hint="cs"/>
          <w:sz w:val="24"/>
          <w:szCs w:val="24"/>
          <w:rtl/>
        </w:rPr>
        <w:t>ל</w:t>
      </w:r>
      <w:r w:rsidR="00FC3B89" w:rsidRPr="00525096">
        <w:rPr>
          <w:rFonts w:ascii="David" w:hAnsi="David" w:cs="David" w:hint="cs"/>
          <w:sz w:val="24"/>
          <w:szCs w:val="24"/>
          <w:rtl/>
        </w:rPr>
        <w:t xml:space="preserve">בנייה רוויה שנערכו על ידי רשות מקרקעי ישראל (רמ"י) </w:t>
      </w:r>
      <w:r w:rsidR="00796C6C" w:rsidRPr="00525096">
        <w:rPr>
          <w:rFonts w:ascii="David" w:hAnsi="David" w:cs="David" w:hint="cs"/>
          <w:sz w:val="24"/>
          <w:szCs w:val="24"/>
          <w:rtl/>
        </w:rPr>
        <w:t>בין השנים 2000 עד 2023</w:t>
      </w:r>
      <w:r w:rsidR="00A116C9" w:rsidRPr="00525096">
        <w:rPr>
          <w:rFonts w:ascii="David" w:hAnsi="David" w:cs="David" w:hint="cs"/>
          <w:sz w:val="24"/>
          <w:szCs w:val="24"/>
          <w:rtl/>
        </w:rPr>
        <w:t>. המחקר</w:t>
      </w:r>
      <w:r w:rsidR="00796C6C" w:rsidRPr="00525096">
        <w:rPr>
          <w:rFonts w:ascii="David" w:hAnsi="David" w:cs="David" w:hint="cs"/>
          <w:sz w:val="24"/>
          <w:szCs w:val="24"/>
          <w:rtl/>
        </w:rPr>
        <w:t xml:space="preserve"> </w:t>
      </w:r>
      <w:r w:rsidRPr="00525096">
        <w:rPr>
          <w:rFonts w:ascii="David" w:hAnsi="David" w:cs="David" w:hint="cs"/>
          <w:sz w:val="24"/>
          <w:szCs w:val="24"/>
          <w:rtl/>
        </w:rPr>
        <w:t xml:space="preserve">מתמקד בהשפעת הסטת חלק ניכר משיווק </w:t>
      </w:r>
      <w:r w:rsidR="00CF51CF" w:rsidRPr="00525096">
        <w:rPr>
          <w:rFonts w:ascii="David" w:hAnsi="David" w:cs="David" w:hint="cs"/>
          <w:sz w:val="24"/>
          <w:szCs w:val="24"/>
          <w:rtl/>
        </w:rPr>
        <w:t xml:space="preserve">הקרקעות </w:t>
      </w:r>
      <w:r w:rsidRPr="00525096">
        <w:rPr>
          <w:rFonts w:ascii="David" w:hAnsi="David" w:cs="David" w:hint="cs"/>
          <w:sz w:val="24"/>
          <w:szCs w:val="24"/>
          <w:rtl/>
        </w:rPr>
        <w:t xml:space="preserve">לתוכניות דיור בסבסוד ממשלתי על גובה הצעות היזמים במכרזי מקרקעין רגילים לבניית דירות לשוק החופשי. </w:t>
      </w:r>
    </w:p>
    <w:p w:rsidR="001113D8" w:rsidRDefault="001113D8" w:rsidP="006E1D2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בשונה מהעולם המערבי שבו </w:t>
      </w:r>
      <w:r w:rsidR="007450CE">
        <w:rPr>
          <w:rFonts w:ascii="David" w:hAnsi="David" w:cs="David" w:hint="cs"/>
          <w:sz w:val="24"/>
          <w:szCs w:val="24"/>
          <w:rtl/>
        </w:rPr>
        <w:t>רוב</w:t>
      </w:r>
      <w:r>
        <w:rPr>
          <w:rFonts w:ascii="David" w:hAnsi="David" w:cs="David" w:hint="cs"/>
          <w:sz w:val="24"/>
          <w:szCs w:val="24"/>
          <w:rtl/>
        </w:rPr>
        <w:t xml:space="preserve"> הקרקעות הן בבעלות פרטית, בישראל חלקן הגדול של הקרקעות המיושבות ושל אלה המיועדות לבנייה עתידית נמצאות בבעלות ציבורית. על שיווקן ליזמים פרטיים, לרוב באמצעות מכרזים פומביים, אחראי</w:t>
      </w:r>
      <w:r w:rsidR="006E1D21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באופן בלעדי רשות מקרקעי ישראל</w:t>
      </w:r>
      <w:r w:rsidR="000978E8">
        <w:rPr>
          <w:rFonts w:ascii="David" w:hAnsi="David" w:cs="David" w:hint="cs"/>
          <w:sz w:val="24"/>
          <w:szCs w:val="24"/>
          <w:rtl/>
        </w:rPr>
        <w:t xml:space="preserve"> (רמ"י)</w:t>
      </w:r>
      <w:r>
        <w:rPr>
          <w:rFonts w:ascii="David" w:hAnsi="David" w:cs="David" w:hint="cs"/>
          <w:sz w:val="24"/>
          <w:szCs w:val="24"/>
          <w:rtl/>
        </w:rPr>
        <w:t xml:space="preserve">. בעלות המדינה על הקרקע היא זו שאפשרה לממשלה להפעיל החל משנת 2015 תוכניות דיור </w:t>
      </w:r>
      <w:r w:rsidR="006E1D21" w:rsidRPr="006E1D21">
        <w:rPr>
          <w:rFonts w:ascii="David" w:hAnsi="David" w:cs="David" w:hint="cs"/>
          <w:sz w:val="24"/>
          <w:szCs w:val="24"/>
          <w:rtl/>
        </w:rPr>
        <w:t xml:space="preserve">רחבות היקף </w:t>
      </w:r>
      <w:r>
        <w:rPr>
          <w:rFonts w:ascii="David" w:hAnsi="David" w:cs="David" w:hint="cs"/>
          <w:sz w:val="24"/>
          <w:szCs w:val="24"/>
          <w:rtl/>
        </w:rPr>
        <w:t>בסבסוד ממשלתי ("מחיר למשתכן", "דיור במחיר מופחת" ו"מחיר מטרה")</w:t>
      </w:r>
      <w:r w:rsidR="007450CE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שנועדו לספק לרוכשי דירה ראשונה דירות במחירים נמוכים ממחירי השוק</w:t>
      </w:r>
      <w:r w:rsidR="006E1D21">
        <w:rPr>
          <w:rFonts w:ascii="David" w:hAnsi="David" w:cs="David" w:hint="cs"/>
          <w:sz w:val="24"/>
          <w:szCs w:val="24"/>
          <w:rtl/>
        </w:rPr>
        <w:t>, בהתבסס על הוזלת מחיר הקרקע ליזמים שהשתתפו בהן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113D8" w:rsidRDefault="001113D8" w:rsidP="00DA56A7">
      <w:pPr>
        <w:spacing w:before="240"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מחקר </w:t>
      </w:r>
      <w:r w:rsidR="004C58EC">
        <w:rPr>
          <w:rFonts w:ascii="David" w:hAnsi="David" w:cs="David" w:hint="cs"/>
          <w:sz w:val="24"/>
          <w:szCs w:val="24"/>
          <w:rtl/>
        </w:rPr>
        <w:t>זה</w:t>
      </w:r>
      <w:r w:rsidR="007450CE">
        <w:rPr>
          <w:rFonts w:ascii="David" w:hAnsi="David" w:cs="David" w:hint="cs"/>
          <w:sz w:val="24"/>
          <w:szCs w:val="24"/>
          <w:rtl/>
        </w:rPr>
        <w:t>, שנערך על ידי ד"ר טניה סוחוי וד"ר נטליה פרסמן מחטיבת המחקר,</w:t>
      </w:r>
      <w:r>
        <w:rPr>
          <w:rFonts w:ascii="David" w:hAnsi="David" w:cs="David" w:hint="cs"/>
          <w:sz w:val="24"/>
          <w:szCs w:val="24"/>
          <w:rtl/>
        </w:rPr>
        <w:t xml:space="preserve"> משתמש בנתוני רמ"י אודות תוצאות</w:t>
      </w:r>
      <w:r w:rsidR="007450CE">
        <w:rPr>
          <w:rFonts w:ascii="David" w:hAnsi="David" w:cs="David" w:hint="cs"/>
          <w:sz w:val="24"/>
          <w:szCs w:val="24"/>
          <w:rtl/>
        </w:rPr>
        <w:t>יהם של</w:t>
      </w:r>
      <w:r>
        <w:rPr>
          <w:rFonts w:ascii="David" w:hAnsi="David" w:cs="David" w:hint="cs"/>
          <w:sz w:val="24"/>
          <w:szCs w:val="24"/>
          <w:rtl/>
        </w:rPr>
        <w:t xml:space="preserve"> מכרזי מקרקעין בייעוד בנייה רוויה</w:t>
      </w:r>
      <w:r w:rsidR="000978E8">
        <w:rPr>
          <w:rFonts w:ascii="David" w:hAnsi="David" w:cs="David" w:hint="cs"/>
          <w:sz w:val="24"/>
          <w:szCs w:val="24"/>
          <w:rtl/>
        </w:rPr>
        <w:t xml:space="preserve"> (שמוגדרת לצורכי המחקר כבנייה של 6 יחידות דיור ומעלה במגרש)</w:t>
      </w:r>
      <w:r>
        <w:rPr>
          <w:rFonts w:ascii="David" w:hAnsi="David" w:cs="David" w:hint="cs"/>
          <w:sz w:val="24"/>
          <w:szCs w:val="24"/>
          <w:rtl/>
        </w:rPr>
        <w:t xml:space="preserve"> בין השנים 2000 עד 2</w:t>
      </w:r>
      <w:r w:rsidR="007450CE">
        <w:rPr>
          <w:rFonts w:ascii="David" w:hAnsi="David" w:cs="David" w:hint="cs"/>
          <w:sz w:val="24"/>
          <w:szCs w:val="24"/>
          <w:rtl/>
        </w:rPr>
        <w:t>023. תקופת המחקר הארוכה מאפשרת לנתח את תוצאות ה</w:t>
      </w:r>
      <w:r w:rsidRPr="007B1CB0">
        <w:rPr>
          <w:rFonts w:ascii="David" w:hAnsi="David" w:cs="David"/>
          <w:sz w:val="24"/>
          <w:szCs w:val="24"/>
          <w:rtl/>
        </w:rPr>
        <w:t>מכרזים שנערכו בסביבה כלכלית משתנה</w:t>
      </w:r>
      <w:r w:rsidR="007450CE">
        <w:rPr>
          <w:rFonts w:ascii="David" w:hAnsi="David" w:cs="David" w:hint="cs"/>
          <w:sz w:val="24"/>
          <w:szCs w:val="24"/>
          <w:rtl/>
        </w:rPr>
        <w:t xml:space="preserve">. המחקר </w:t>
      </w:r>
      <w:r>
        <w:rPr>
          <w:rFonts w:ascii="David" w:hAnsi="David" w:cs="David" w:hint="cs"/>
          <w:sz w:val="24"/>
          <w:szCs w:val="24"/>
          <w:rtl/>
        </w:rPr>
        <w:t>מתמקד בהשפעת הסטת חלק ניכר מהשיווק</w:t>
      </w:r>
      <w:r w:rsidR="00CF51CF">
        <w:rPr>
          <w:rFonts w:ascii="David" w:hAnsi="David" w:cs="David" w:hint="cs"/>
          <w:sz w:val="24"/>
          <w:szCs w:val="24"/>
          <w:rtl/>
        </w:rPr>
        <w:t xml:space="preserve"> החל משנת 2015 </w:t>
      </w:r>
      <w:r>
        <w:rPr>
          <w:rFonts w:ascii="David" w:hAnsi="David" w:cs="David" w:hint="cs"/>
          <w:sz w:val="24"/>
          <w:szCs w:val="24"/>
          <w:rtl/>
        </w:rPr>
        <w:t>לתוכניות דיור בסבסוד ממשלתי על גובה הצעות היזמים במכרזי מקרקעין רגילים לבניית דירות לשוק החופשי. כדי לאמוד השפעה זו</w:t>
      </w:r>
      <w:r w:rsidR="00D9555D">
        <w:rPr>
          <w:rFonts w:ascii="David" w:hAnsi="David" w:cs="David" w:hint="cs"/>
          <w:sz w:val="24"/>
          <w:szCs w:val="24"/>
          <w:rtl/>
        </w:rPr>
        <w:t xml:space="preserve"> הגדירו החוקרות</w:t>
      </w:r>
      <w:r>
        <w:rPr>
          <w:rFonts w:ascii="David" w:hAnsi="David" w:cs="David" w:hint="cs"/>
          <w:sz w:val="24"/>
          <w:szCs w:val="24"/>
          <w:rtl/>
        </w:rPr>
        <w:t xml:space="preserve"> מדד לעוצמת הקצאת הקרקע לתוכניות בסבסוד ממשלתי בכל יישוב, </w:t>
      </w:r>
      <w:r w:rsidR="006E1D21">
        <w:rPr>
          <w:rFonts w:ascii="David" w:hAnsi="David" w:cs="David" w:hint="cs"/>
          <w:sz w:val="24"/>
          <w:szCs w:val="24"/>
          <w:rtl/>
        </w:rPr>
        <w:t xml:space="preserve">שמחושב </w:t>
      </w:r>
      <w:r>
        <w:rPr>
          <w:rFonts w:ascii="David" w:hAnsi="David" w:cs="David" w:hint="cs"/>
          <w:sz w:val="24"/>
          <w:szCs w:val="24"/>
          <w:rtl/>
        </w:rPr>
        <w:t xml:space="preserve">כשיעור של יחידות הדיור המתוכננות להיבנות על הקרקע המשווקת באמצעות מכרזים אלה מתוך סך יחידות הדיור המתוכננות על הקרקע המשווקת על ידי רמ"י. בנוסף מוגדרות </w:t>
      </w:r>
      <w:r w:rsidR="00BF1DCD">
        <w:rPr>
          <w:rFonts w:ascii="David" w:hAnsi="David" w:cs="David" w:hint="cs"/>
          <w:sz w:val="24"/>
          <w:szCs w:val="24"/>
          <w:rtl/>
        </w:rPr>
        <w:t xml:space="preserve">קבוצות של </w:t>
      </w:r>
      <w:r w:rsidR="006F59AB">
        <w:rPr>
          <w:rFonts w:ascii="David" w:hAnsi="David" w:cs="David" w:hint="cs"/>
          <w:sz w:val="24"/>
          <w:szCs w:val="24"/>
          <w:rtl/>
        </w:rPr>
        <w:t>"</w:t>
      </w:r>
      <w:r w:rsidR="00BF1DCD">
        <w:rPr>
          <w:rFonts w:ascii="David" w:hAnsi="David" w:cs="David" w:hint="cs"/>
          <w:sz w:val="24"/>
          <w:szCs w:val="24"/>
          <w:rtl/>
        </w:rPr>
        <w:t xml:space="preserve">יישובים </w:t>
      </w:r>
      <w:r w:rsidR="006F59AB">
        <w:rPr>
          <w:rFonts w:ascii="David" w:hAnsi="David" w:cs="David" w:hint="cs"/>
          <w:sz w:val="24"/>
          <w:szCs w:val="24"/>
          <w:rtl/>
        </w:rPr>
        <w:t>שכנים"</w:t>
      </w:r>
      <w:r>
        <w:rPr>
          <w:rFonts w:ascii="David" w:hAnsi="David" w:cs="David" w:hint="cs"/>
          <w:sz w:val="24"/>
          <w:szCs w:val="24"/>
          <w:rtl/>
        </w:rPr>
        <w:t xml:space="preserve"> על פי שני </w:t>
      </w:r>
      <w:r w:rsidR="00BF1DCD">
        <w:rPr>
          <w:rFonts w:ascii="David" w:hAnsi="David" w:cs="David" w:hint="cs"/>
          <w:sz w:val="24"/>
          <w:szCs w:val="24"/>
          <w:rtl/>
        </w:rPr>
        <w:t>תבחינ</w:t>
      </w:r>
      <w:r>
        <w:rPr>
          <w:rFonts w:ascii="David" w:hAnsi="David" w:cs="David" w:hint="cs"/>
          <w:sz w:val="24"/>
          <w:szCs w:val="24"/>
          <w:rtl/>
        </w:rPr>
        <w:t xml:space="preserve">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סמיכות גיאוגרפית </w:t>
      </w:r>
      <w:r w:rsidR="006E1D21">
        <w:rPr>
          <w:rFonts w:ascii="David" w:hAnsi="David" w:cs="David" w:hint="cs"/>
          <w:sz w:val="24"/>
          <w:szCs w:val="24"/>
          <w:rtl/>
        </w:rPr>
        <w:t xml:space="preserve">ודימיון </w:t>
      </w:r>
      <w:r w:rsidR="006F59AB">
        <w:rPr>
          <w:rFonts w:ascii="David" w:hAnsi="David" w:cs="David" w:hint="cs"/>
          <w:sz w:val="24"/>
          <w:szCs w:val="24"/>
          <w:rtl/>
        </w:rPr>
        <w:t xml:space="preserve">של </w:t>
      </w:r>
      <w:r w:rsidR="006E1D21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רמה </w:t>
      </w:r>
      <w:r w:rsidR="006E1D21">
        <w:rPr>
          <w:rFonts w:ascii="David" w:hAnsi="David" w:cs="David" w:hint="cs"/>
          <w:sz w:val="24"/>
          <w:szCs w:val="24"/>
          <w:rtl/>
        </w:rPr>
        <w:t>ה</w:t>
      </w:r>
      <w:r w:rsidR="00BF1DCD">
        <w:rPr>
          <w:rFonts w:ascii="David" w:hAnsi="David" w:cs="David" w:hint="cs"/>
          <w:sz w:val="24"/>
          <w:szCs w:val="24"/>
          <w:rtl/>
        </w:rPr>
        <w:t>חברתי</w:t>
      </w:r>
      <w:r w:rsidR="006F59AB">
        <w:rPr>
          <w:rFonts w:ascii="David" w:hAnsi="David" w:cs="David" w:hint="cs"/>
          <w:sz w:val="24"/>
          <w:szCs w:val="24"/>
          <w:rtl/>
        </w:rPr>
        <w:t>ת</w:t>
      </w:r>
      <w:r w:rsidR="00BF1DCD">
        <w:rPr>
          <w:rFonts w:ascii="David" w:hAnsi="David" w:cs="David" w:hint="cs"/>
          <w:sz w:val="24"/>
          <w:szCs w:val="24"/>
          <w:rtl/>
        </w:rPr>
        <w:t>-כלכלי</w:t>
      </w:r>
      <w:r w:rsidR="006F59AB">
        <w:rPr>
          <w:rFonts w:ascii="David" w:hAnsi="David" w:cs="David" w:hint="cs"/>
          <w:sz w:val="24"/>
          <w:szCs w:val="24"/>
          <w:rtl/>
        </w:rPr>
        <w:t>ת</w:t>
      </w:r>
      <w:r w:rsidR="00BF1DCD">
        <w:rPr>
          <w:rFonts w:ascii="David" w:hAnsi="David" w:cs="David" w:hint="cs"/>
          <w:sz w:val="24"/>
          <w:szCs w:val="24"/>
          <w:rtl/>
        </w:rPr>
        <w:t>, זאת</w:t>
      </w:r>
      <w:r>
        <w:rPr>
          <w:rFonts w:ascii="David" w:hAnsi="David" w:cs="David" w:hint="cs"/>
          <w:sz w:val="24"/>
          <w:szCs w:val="24"/>
          <w:rtl/>
        </w:rPr>
        <w:t xml:space="preserve"> עבור היישובים שבהם לא שווקו קרקעות לבניי</w:t>
      </w:r>
      <w:r w:rsidR="00BF1DCD">
        <w:rPr>
          <w:rFonts w:ascii="David" w:hAnsi="David" w:cs="David" w:hint="cs"/>
          <w:sz w:val="24"/>
          <w:szCs w:val="24"/>
          <w:rtl/>
        </w:rPr>
        <w:t>ת דירות</w:t>
      </w:r>
      <w:r>
        <w:rPr>
          <w:rFonts w:ascii="David" w:hAnsi="David" w:cs="David" w:hint="cs"/>
          <w:sz w:val="24"/>
          <w:szCs w:val="24"/>
          <w:rtl/>
        </w:rPr>
        <w:t xml:space="preserve"> במחיר מסובסד</w:t>
      </w:r>
      <w:r w:rsidR="00BF1DCD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שב</w:t>
      </w:r>
      <w:r w:rsidR="00BF1DCD">
        <w:rPr>
          <w:rFonts w:ascii="David" w:hAnsi="David" w:cs="David" w:hint="cs"/>
          <w:sz w:val="24"/>
          <w:szCs w:val="24"/>
          <w:rtl/>
        </w:rPr>
        <w:t>סמיכ</w:t>
      </w:r>
      <w:r>
        <w:rPr>
          <w:rFonts w:ascii="David" w:hAnsi="David" w:cs="David" w:hint="cs"/>
          <w:sz w:val="24"/>
          <w:szCs w:val="24"/>
          <w:rtl/>
        </w:rPr>
        <w:t>ות אליהם נערכו שיווקים כאלה.</w:t>
      </w:r>
    </w:p>
    <w:p w:rsidR="002B64F4" w:rsidRDefault="00EF74D5" w:rsidP="00182F44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בנוסף למשתנים אלה, כולל ה</w:t>
      </w:r>
      <w:r w:rsidR="002B64F4">
        <w:rPr>
          <w:rFonts w:ascii="David" w:hAnsi="David" w:cs="David" w:hint="cs"/>
          <w:sz w:val="24"/>
          <w:szCs w:val="24"/>
          <w:rtl/>
        </w:rPr>
        <w:t xml:space="preserve">מודל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2B64F4">
        <w:rPr>
          <w:rFonts w:ascii="David" w:hAnsi="David" w:cs="David" w:hint="cs"/>
          <w:sz w:val="24"/>
          <w:szCs w:val="24"/>
          <w:rtl/>
        </w:rPr>
        <w:t>אמפירי גורמים</w:t>
      </w:r>
      <w:r>
        <w:rPr>
          <w:rFonts w:ascii="David" w:hAnsi="David" w:cs="David" w:hint="cs"/>
          <w:sz w:val="24"/>
          <w:szCs w:val="24"/>
          <w:rtl/>
        </w:rPr>
        <w:t xml:space="preserve"> נוספים שמשקפים את הביקוש לקרקע,</w:t>
      </w:r>
      <w:r w:rsidR="002B64F4">
        <w:rPr>
          <w:rFonts w:ascii="David" w:hAnsi="David" w:cs="David" w:hint="cs"/>
          <w:sz w:val="24"/>
          <w:szCs w:val="24"/>
          <w:rtl/>
        </w:rPr>
        <w:t xml:space="preserve"> שמוגדרים ברמות מצרפיות שונות: 1) </w:t>
      </w:r>
      <w:r>
        <w:rPr>
          <w:rFonts w:ascii="David" w:hAnsi="David" w:cs="David" w:hint="cs"/>
          <w:sz w:val="24"/>
          <w:szCs w:val="24"/>
          <w:rtl/>
        </w:rPr>
        <w:t>מאפיי</w:t>
      </w:r>
      <w:r w:rsidR="002B64F4">
        <w:rPr>
          <w:rFonts w:ascii="David" w:hAnsi="David" w:cs="David" w:hint="cs"/>
          <w:sz w:val="24"/>
          <w:szCs w:val="24"/>
          <w:rtl/>
        </w:rPr>
        <w:t xml:space="preserve">נים פרטניים של מכרזי מקרקעין (גובה הוצאות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2B64F4">
        <w:rPr>
          <w:rFonts w:ascii="David" w:hAnsi="David" w:cs="David" w:hint="cs"/>
          <w:sz w:val="24"/>
          <w:szCs w:val="24"/>
          <w:rtl/>
        </w:rPr>
        <w:t xml:space="preserve">פיתוח וגובה מחיר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2B64F4">
        <w:rPr>
          <w:rFonts w:ascii="David" w:hAnsi="David" w:cs="David" w:hint="cs"/>
          <w:sz w:val="24"/>
          <w:szCs w:val="24"/>
          <w:rtl/>
        </w:rPr>
        <w:t xml:space="preserve">מינימום ליח"ד, מספר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2B64F4">
        <w:rPr>
          <w:rFonts w:ascii="David" w:hAnsi="David" w:cs="David" w:hint="cs"/>
          <w:sz w:val="24"/>
          <w:szCs w:val="24"/>
          <w:rtl/>
        </w:rPr>
        <w:t xml:space="preserve">הצעות שהוגשו במכרז, </w:t>
      </w:r>
      <w:r w:rsidR="00A30E8C">
        <w:rPr>
          <w:rFonts w:ascii="David" w:hAnsi="David" w:cs="David" w:hint="cs"/>
          <w:sz w:val="24"/>
          <w:szCs w:val="24"/>
          <w:rtl/>
        </w:rPr>
        <w:t xml:space="preserve">שילוב </w:t>
      </w:r>
      <w:r w:rsidR="002B64F4">
        <w:rPr>
          <w:rFonts w:ascii="David" w:hAnsi="David" w:cs="David" w:hint="cs"/>
          <w:sz w:val="24"/>
          <w:szCs w:val="24"/>
          <w:rtl/>
        </w:rPr>
        <w:t xml:space="preserve">בנייה </w:t>
      </w:r>
      <w:r w:rsidR="00A30E8C">
        <w:rPr>
          <w:rFonts w:ascii="David" w:hAnsi="David" w:cs="David" w:hint="cs"/>
          <w:sz w:val="24"/>
          <w:szCs w:val="24"/>
          <w:rtl/>
        </w:rPr>
        <w:t xml:space="preserve">למגורים </w:t>
      </w:r>
      <w:r w:rsidR="002B64F4">
        <w:rPr>
          <w:rFonts w:ascii="David" w:hAnsi="David" w:cs="David" w:hint="cs"/>
          <w:sz w:val="24"/>
          <w:szCs w:val="24"/>
          <w:rtl/>
        </w:rPr>
        <w:t xml:space="preserve">עם מסחר, </w:t>
      </w:r>
      <w:r>
        <w:rPr>
          <w:rFonts w:ascii="David" w:hAnsi="David" w:cs="David" w:hint="cs"/>
          <w:sz w:val="24"/>
          <w:szCs w:val="24"/>
          <w:rtl/>
        </w:rPr>
        <w:t xml:space="preserve">שיווק חוזר של </w:t>
      </w:r>
      <w:r w:rsidR="002B64F4">
        <w:rPr>
          <w:rFonts w:ascii="David" w:hAnsi="David" w:cs="David" w:hint="cs"/>
          <w:sz w:val="24"/>
          <w:szCs w:val="24"/>
          <w:rtl/>
        </w:rPr>
        <w:t xml:space="preserve">מתחמים ששיווקם בעבר לא הצליח, 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2B64F4">
        <w:rPr>
          <w:rFonts w:ascii="David" w:hAnsi="David" w:cs="David" w:hint="cs"/>
          <w:sz w:val="24"/>
          <w:szCs w:val="24"/>
          <w:rtl/>
        </w:rPr>
        <w:t xml:space="preserve">פרויקטים גדולים מבחינת מספר </w:t>
      </w:r>
      <w:r w:rsidR="00772ED2">
        <w:rPr>
          <w:rFonts w:ascii="David" w:hAnsi="David" w:cs="David" w:hint="cs"/>
          <w:sz w:val="24"/>
          <w:szCs w:val="24"/>
          <w:rtl/>
        </w:rPr>
        <w:t>יחידות הדיור</w:t>
      </w:r>
      <w:r w:rsidR="002B64F4">
        <w:rPr>
          <w:rFonts w:ascii="David" w:hAnsi="David" w:cs="David" w:hint="cs"/>
          <w:sz w:val="24"/>
          <w:szCs w:val="24"/>
          <w:rtl/>
        </w:rPr>
        <w:t>); 2) נתונים על ההתפתחויות בשוקי הדיור המקומיים ברמת היישוב (עסקאות ושינוי</w:t>
      </w:r>
      <w:r>
        <w:rPr>
          <w:rFonts w:ascii="David" w:hAnsi="David" w:cs="David" w:hint="cs"/>
          <w:sz w:val="24"/>
          <w:szCs w:val="24"/>
          <w:rtl/>
        </w:rPr>
        <w:t>ים</w:t>
      </w:r>
      <w:r w:rsidR="002B64F4">
        <w:rPr>
          <w:rFonts w:ascii="David" w:hAnsi="David" w:cs="David" w:hint="cs"/>
          <w:sz w:val="24"/>
          <w:szCs w:val="24"/>
          <w:rtl/>
        </w:rPr>
        <w:t xml:space="preserve"> של מחירי הדירות, שיווק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2B64F4">
        <w:rPr>
          <w:rFonts w:ascii="David" w:hAnsi="David" w:cs="David" w:hint="cs"/>
          <w:sz w:val="24"/>
          <w:szCs w:val="24"/>
          <w:rtl/>
        </w:rPr>
        <w:t xml:space="preserve">קרקעות לבנייה לא רוויה ושיווק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2B64F4">
        <w:rPr>
          <w:rFonts w:ascii="David" w:hAnsi="David" w:cs="David" w:hint="cs"/>
          <w:sz w:val="24"/>
          <w:szCs w:val="24"/>
          <w:rtl/>
        </w:rPr>
        <w:t>קרקעות בפטור ממכרז</w:t>
      </w:r>
      <w:r>
        <w:rPr>
          <w:rFonts w:ascii="David" w:hAnsi="David" w:cs="David" w:hint="cs"/>
          <w:sz w:val="24"/>
          <w:szCs w:val="24"/>
          <w:rtl/>
        </w:rPr>
        <w:t>,</w:t>
      </w:r>
      <w:r w:rsidR="002B64F4">
        <w:rPr>
          <w:rFonts w:ascii="David" w:hAnsi="David" w:cs="David" w:hint="cs"/>
          <w:sz w:val="24"/>
          <w:szCs w:val="24"/>
          <w:rtl/>
        </w:rPr>
        <w:t xml:space="preserve"> </w:t>
      </w:r>
      <w:r w:rsidR="002B64F4">
        <w:rPr>
          <w:rFonts w:ascii="David" w:hAnsi="David" w:cs="David" w:hint="cs"/>
          <w:sz w:val="24"/>
          <w:szCs w:val="24"/>
          <w:rtl/>
        </w:rPr>
        <w:lastRenderedPageBreak/>
        <w:t xml:space="preserve">כמדד לבנייה עתידית מתחרה); ו-3) </w:t>
      </w:r>
      <w:r>
        <w:rPr>
          <w:rFonts w:ascii="David" w:hAnsi="David" w:cs="David" w:hint="cs"/>
          <w:sz w:val="24"/>
          <w:szCs w:val="24"/>
          <w:rtl/>
        </w:rPr>
        <w:t xml:space="preserve">גורם מקרו-כלכלי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B64F4">
        <w:rPr>
          <w:rFonts w:ascii="David" w:hAnsi="David" w:cs="David" w:hint="cs"/>
          <w:sz w:val="24"/>
          <w:szCs w:val="24"/>
          <w:rtl/>
        </w:rPr>
        <w:t>ציפיות החזאים לריבית בנק ישראל</w:t>
      </w:r>
      <w:r w:rsidR="00182F44">
        <w:rPr>
          <w:rFonts w:ascii="David" w:hAnsi="David" w:cs="David" w:hint="cs"/>
          <w:sz w:val="24"/>
          <w:szCs w:val="24"/>
          <w:rtl/>
        </w:rPr>
        <w:t xml:space="preserve"> בעוד שנה, </w:t>
      </w:r>
      <w:r w:rsidR="002B64F4">
        <w:rPr>
          <w:rFonts w:ascii="David" w:hAnsi="David" w:cs="David" w:hint="cs"/>
          <w:sz w:val="24"/>
          <w:szCs w:val="24"/>
          <w:rtl/>
        </w:rPr>
        <w:t>בסמוך לתאריכי</w:t>
      </w:r>
      <w:r>
        <w:rPr>
          <w:rFonts w:ascii="David" w:hAnsi="David" w:cs="David" w:hint="cs"/>
          <w:sz w:val="24"/>
          <w:szCs w:val="24"/>
          <w:rtl/>
        </w:rPr>
        <w:t>ם של</w:t>
      </w:r>
      <w:r w:rsidR="002B64F4">
        <w:rPr>
          <w:rFonts w:ascii="David" w:hAnsi="David" w:cs="David" w:hint="cs"/>
          <w:sz w:val="24"/>
          <w:szCs w:val="24"/>
          <w:rtl/>
        </w:rPr>
        <w:t xml:space="preserve"> סגירת המכרזים. </w:t>
      </w:r>
    </w:p>
    <w:p w:rsidR="00783BE4" w:rsidRDefault="0003515E" w:rsidP="00772ED2">
      <w:pPr>
        <w:spacing w:before="240" w:after="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Pr="00E93D9A">
        <w:rPr>
          <w:rFonts w:ascii="David" w:hAnsi="David" w:cs="David" w:hint="cs"/>
          <w:sz w:val="24"/>
          <w:szCs w:val="24"/>
          <w:rtl/>
        </w:rPr>
        <w:t>מחקר מציע לראשונה</w:t>
      </w:r>
      <w:r w:rsidR="00783BE4">
        <w:rPr>
          <w:rFonts w:ascii="David" w:hAnsi="David" w:cs="David" w:hint="cs"/>
          <w:sz w:val="24"/>
          <w:szCs w:val="24"/>
          <w:rtl/>
        </w:rPr>
        <w:t xml:space="preserve"> </w:t>
      </w:r>
      <w:r w:rsidRPr="00E93D9A">
        <w:rPr>
          <w:rFonts w:ascii="David" w:hAnsi="David" w:cs="David" w:hint="cs"/>
          <w:sz w:val="24"/>
          <w:szCs w:val="24"/>
          <w:rtl/>
        </w:rPr>
        <w:t>ניתוח מקיף של התפלגות הצעות היזמים</w:t>
      </w:r>
      <w:r>
        <w:rPr>
          <w:rFonts w:ascii="David" w:hAnsi="David" w:cs="David" w:hint="cs"/>
          <w:sz w:val="24"/>
          <w:szCs w:val="24"/>
          <w:rtl/>
        </w:rPr>
        <w:t xml:space="preserve"> שהוגשו במכרזי מקרקעין</w:t>
      </w:r>
      <w:r w:rsidR="00783BE4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ולא של ההצעות הזוכות בלבד</w:t>
      </w:r>
      <w:r w:rsidR="00783BE4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83BE4" w:rsidRPr="007D4DB6">
        <w:rPr>
          <w:rFonts w:ascii="David" w:hAnsi="David" w:cs="David"/>
          <w:sz w:val="24"/>
          <w:szCs w:val="24"/>
          <w:rtl/>
        </w:rPr>
        <w:t xml:space="preserve">הסתכלות על </w:t>
      </w:r>
      <w:r w:rsidR="00783BE4">
        <w:rPr>
          <w:rFonts w:ascii="David" w:hAnsi="David" w:cs="David" w:hint="cs"/>
          <w:sz w:val="24"/>
          <w:szCs w:val="24"/>
          <w:rtl/>
        </w:rPr>
        <w:t xml:space="preserve">כלל </w:t>
      </w:r>
      <w:r w:rsidR="00783BE4" w:rsidRPr="007D4DB6">
        <w:rPr>
          <w:rFonts w:ascii="David" w:hAnsi="David" w:cs="David"/>
          <w:sz w:val="24"/>
          <w:szCs w:val="24"/>
          <w:rtl/>
        </w:rPr>
        <w:t>התפלגות ההצעות</w:t>
      </w:r>
      <w:r w:rsidR="00783BE4">
        <w:rPr>
          <w:rFonts w:ascii="David" w:hAnsi="David" w:cs="David" w:hint="cs"/>
          <w:sz w:val="24"/>
          <w:szCs w:val="24"/>
          <w:rtl/>
        </w:rPr>
        <w:t xml:space="preserve"> במכרזים מאפשרת לנצל את השונות הגדולה שקיימת</w:t>
      </w:r>
      <w:r w:rsidR="00783BE4" w:rsidRPr="00EE4259">
        <w:rPr>
          <w:rFonts w:ascii="David" w:hAnsi="David" w:cs="David" w:hint="cs"/>
          <w:sz w:val="24"/>
          <w:szCs w:val="24"/>
          <w:rtl/>
        </w:rPr>
        <w:t xml:space="preserve"> </w:t>
      </w:r>
      <w:r w:rsidR="00783BE4">
        <w:rPr>
          <w:rFonts w:ascii="David" w:hAnsi="David" w:cs="David" w:hint="cs"/>
          <w:sz w:val="24"/>
          <w:szCs w:val="24"/>
          <w:rtl/>
        </w:rPr>
        <w:t xml:space="preserve">במחירים המוצעים תמורת אותן קרקעות. שונות זו משקפת את ההבדלים בהערכות של היזמים </w:t>
      </w:r>
      <w:r w:rsidR="00772ED2">
        <w:rPr>
          <w:rFonts w:ascii="David" w:hAnsi="David" w:cs="David" w:hint="cs"/>
          <w:sz w:val="24"/>
          <w:szCs w:val="24"/>
          <w:rtl/>
        </w:rPr>
        <w:t xml:space="preserve">השונים </w:t>
      </w:r>
      <w:r w:rsidR="00783BE4">
        <w:rPr>
          <w:rFonts w:ascii="David" w:hAnsi="David" w:cs="David" w:hint="cs"/>
          <w:sz w:val="24"/>
          <w:szCs w:val="24"/>
          <w:rtl/>
        </w:rPr>
        <w:t>לגבי שווי המקרקעין שנובע</w:t>
      </w:r>
      <w:r w:rsidR="00D84FBF">
        <w:rPr>
          <w:rFonts w:ascii="David" w:hAnsi="David" w:cs="David" w:hint="cs"/>
          <w:sz w:val="24"/>
          <w:szCs w:val="24"/>
          <w:rtl/>
        </w:rPr>
        <w:t>ים</w:t>
      </w:r>
      <w:r w:rsidR="00783BE4">
        <w:rPr>
          <w:rFonts w:ascii="David" w:hAnsi="David" w:cs="David" w:hint="cs"/>
          <w:sz w:val="24"/>
          <w:szCs w:val="24"/>
          <w:rtl/>
        </w:rPr>
        <w:t xml:space="preserve">, בין היתר, מהשוני בציפיות למחירי הדירות שיוכלו לקבל בעתיד, </w:t>
      </w:r>
      <w:r w:rsidR="00D84FBF">
        <w:rPr>
          <w:rFonts w:ascii="David" w:hAnsi="David" w:cs="David" w:hint="cs"/>
          <w:sz w:val="24"/>
          <w:szCs w:val="24"/>
          <w:rtl/>
        </w:rPr>
        <w:t xml:space="preserve">מההבדלים </w:t>
      </w:r>
      <w:r w:rsidR="00783BE4">
        <w:rPr>
          <w:rFonts w:ascii="David" w:hAnsi="David" w:cs="David" w:hint="cs"/>
          <w:sz w:val="24"/>
          <w:szCs w:val="24"/>
          <w:rtl/>
        </w:rPr>
        <w:t>בעלויות הבנייה ו</w:t>
      </w:r>
      <w:r w:rsidR="00D84FBF">
        <w:rPr>
          <w:rFonts w:ascii="David" w:hAnsi="David" w:cs="David" w:hint="cs"/>
          <w:sz w:val="24"/>
          <w:szCs w:val="24"/>
          <w:rtl/>
        </w:rPr>
        <w:t xml:space="preserve">בתנאי </w:t>
      </w:r>
      <w:r w:rsidR="00783BE4">
        <w:rPr>
          <w:rFonts w:ascii="David" w:hAnsi="David" w:cs="David" w:hint="cs"/>
          <w:sz w:val="24"/>
          <w:szCs w:val="24"/>
          <w:rtl/>
        </w:rPr>
        <w:t>האשראי; וכן בהבנה שונה של השלכות</w:t>
      </w:r>
      <w:r w:rsidR="000978E8">
        <w:rPr>
          <w:rFonts w:ascii="David" w:hAnsi="David" w:cs="David" w:hint="cs"/>
          <w:sz w:val="24"/>
          <w:szCs w:val="24"/>
          <w:rtl/>
        </w:rPr>
        <w:t>יהן של</w:t>
      </w:r>
      <w:r w:rsidR="00783BE4">
        <w:rPr>
          <w:rFonts w:ascii="David" w:hAnsi="David" w:cs="David" w:hint="cs"/>
          <w:sz w:val="24"/>
          <w:szCs w:val="24"/>
          <w:rtl/>
        </w:rPr>
        <w:t xml:space="preserve"> </w:t>
      </w:r>
      <w:r w:rsidR="000978E8">
        <w:rPr>
          <w:rFonts w:ascii="David" w:hAnsi="David" w:cs="David" w:hint="cs"/>
          <w:sz w:val="24"/>
          <w:szCs w:val="24"/>
          <w:rtl/>
        </w:rPr>
        <w:t>ה</w:t>
      </w:r>
      <w:r w:rsidR="00783BE4">
        <w:rPr>
          <w:rFonts w:ascii="David" w:hAnsi="David" w:cs="David" w:hint="cs"/>
          <w:sz w:val="24"/>
          <w:szCs w:val="24"/>
          <w:rtl/>
        </w:rPr>
        <w:t xml:space="preserve">תוכניות </w:t>
      </w:r>
      <w:r w:rsidR="000978E8">
        <w:rPr>
          <w:rFonts w:ascii="David" w:hAnsi="David" w:cs="David" w:hint="cs"/>
          <w:sz w:val="24"/>
          <w:szCs w:val="24"/>
          <w:rtl/>
        </w:rPr>
        <w:t>ה</w:t>
      </w:r>
      <w:r w:rsidR="00783BE4">
        <w:rPr>
          <w:rFonts w:ascii="David" w:hAnsi="David" w:cs="David" w:hint="cs"/>
          <w:sz w:val="24"/>
          <w:szCs w:val="24"/>
          <w:rtl/>
        </w:rPr>
        <w:t>ממשלתיות על שוק הדיור. הניתוח בוצע</w:t>
      </w:r>
      <w:r w:rsidR="00783BE4" w:rsidRPr="00A4429F">
        <w:rPr>
          <w:rFonts w:ascii="David" w:hAnsi="David" w:cs="David" w:hint="cs"/>
          <w:sz w:val="24"/>
          <w:szCs w:val="24"/>
          <w:rtl/>
        </w:rPr>
        <w:t xml:space="preserve"> ב</w:t>
      </w:r>
      <w:r w:rsidR="00783BE4">
        <w:rPr>
          <w:rFonts w:ascii="David" w:hAnsi="David" w:cs="David" w:hint="cs"/>
          <w:sz w:val="24"/>
          <w:szCs w:val="24"/>
          <w:rtl/>
        </w:rPr>
        <w:t>חלוקה ל</w:t>
      </w:r>
      <w:r w:rsidR="00783BE4" w:rsidRPr="00A4429F">
        <w:rPr>
          <w:rFonts w:ascii="David" w:hAnsi="David" w:cs="David" w:hint="cs"/>
          <w:sz w:val="24"/>
          <w:szCs w:val="24"/>
          <w:rtl/>
        </w:rPr>
        <w:t>שלושה אזורי</w:t>
      </w:r>
      <w:r w:rsidR="00783BE4">
        <w:rPr>
          <w:rFonts w:ascii="David" w:hAnsi="David" w:cs="David" w:hint="cs"/>
          <w:sz w:val="24"/>
          <w:szCs w:val="24"/>
          <w:rtl/>
        </w:rPr>
        <w:t xml:space="preserve"> ביקוש: מחוז ירושלים, מחוזות תל אביב והמרכז ושאר המחוזות (</w:t>
      </w:r>
      <w:r w:rsidR="00772ED2">
        <w:rPr>
          <w:rFonts w:ascii="David" w:hAnsi="David" w:cs="David" w:hint="cs"/>
          <w:sz w:val="24"/>
          <w:szCs w:val="24"/>
          <w:rtl/>
        </w:rPr>
        <w:t>"</w:t>
      </w:r>
      <w:r w:rsidR="00783BE4">
        <w:rPr>
          <w:rFonts w:ascii="David" w:hAnsi="David" w:cs="David" w:hint="cs"/>
          <w:sz w:val="24"/>
          <w:szCs w:val="24"/>
          <w:rtl/>
        </w:rPr>
        <w:t>פריפריה</w:t>
      </w:r>
      <w:r w:rsidR="00772ED2">
        <w:rPr>
          <w:rFonts w:ascii="David" w:hAnsi="David" w:cs="David" w:hint="cs"/>
          <w:sz w:val="24"/>
          <w:szCs w:val="24"/>
          <w:rtl/>
        </w:rPr>
        <w:t>"</w:t>
      </w:r>
      <w:r w:rsidR="00783BE4">
        <w:rPr>
          <w:rFonts w:ascii="David" w:hAnsi="David" w:cs="David" w:hint="cs"/>
          <w:sz w:val="24"/>
          <w:szCs w:val="24"/>
          <w:rtl/>
        </w:rPr>
        <w:t>). מורכבות מבנה הנתונים חייב</w:t>
      </w:r>
      <w:r w:rsidR="00772ED2">
        <w:rPr>
          <w:rFonts w:ascii="David" w:hAnsi="David" w:cs="David" w:hint="cs"/>
          <w:sz w:val="24"/>
          <w:szCs w:val="24"/>
          <w:rtl/>
        </w:rPr>
        <w:t>ה</w:t>
      </w:r>
      <w:r w:rsidR="00783BE4">
        <w:rPr>
          <w:rFonts w:ascii="David" w:hAnsi="David" w:cs="David" w:hint="cs"/>
          <w:sz w:val="24"/>
          <w:szCs w:val="24"/>
          <w:rtl/>
        </w:rPr>
        <w:t xml:space="preserve"> שילוב ייחודי של מספר פיתוחים סטטיסטיים אשר יכול להוות תרומה לספרות המקצועית בתחום.</w:t>
      </w:r>
    </w:p>
    <w:p w:rsidR="00F01E52" w:rsidRPr="00DA56A7" w:rsidRDefault="00525096" w:rsidP="00F01E52">
      <w:p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ממצאים עיקריים</w:t>
      </w:r>
      <w:r w:rsidR="00F01E52" w:rsidRPr="00DA56A7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:rsidR="001F4C53" w:rsidRDefault="001F4C53" w:rsidP="00DA56A7">
      <w:pPr>
        <w:pStyle w:val="a6"/>
        <w:numPr>
          <w:ilvl w:val="0"/>
          <w:numId w:val="3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שיווקי קרקע לבניית דיור במחיר מסובסד פוגעים באטרקטיביות של המכרזים הרגילים באותו יישוב</w:t>
      </w:r>
      <w:r w:rsidR="00003157">
        <w:rPr>
          <w:rFonts w:ascii="David" w:hAnsi="David" w:cs="David" w:hint="cs"/>
          <w:sz w:val="24"/>
          <w:szCs w:val="24"/>
          <w:rtl/>
        </w:rPr>
        <w:t xml:space="preserve">, דבר שמתבטא בעליית </w:t>
      </w:r>
      <w:r>
        <w:rPr>
          <w:rFonts w:ascii="David" w:hAnsi="David" w:cs="David" w:hint="cs"/>
          <w:sz w:val="24"/>
          <w:szCs w:val="24"/>
          <w:rtl/>
        </w:rPr>
        <w:t xml:space="preserve">הסיכויים של </w:t>
      </w:r>
      <w:r w:rsidR="00003157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מכרז</w:t>
      </w:r>
      <w:r w:rsidR="00D4649E">
        <w:rPr>
          <w:rFonts w:ascii="David" w:hAnsi="David" w:cs="David" w:hint="cs"/>
          <w:sz w:val="24"/>
          <w:szCs w:val="24"/>
          <w:rtl/>
        </w:rPr>
        <w:t>ים</w:t>
      </w:r>
      <w:r w:rsidR="00003157">
        <w:rPr>
          <w:rFonts w:ascii="David" w:hAnsi="David" w:cs="David" w:hint="cs"/>
          <w:sz w:val="24"/>
          <w:szCs w:val="24"/>
          <w:rtl/>
        </w:rPr>
        <w:t xml:space="preserve"> הרגילים</w:t>
      </w:r>
      <w:r>
        <w:rPr>
          <w:rFonts w:ascii="David" w:hAnsi="David" w:cs="David" w:hint="cs"/>
          <w:sz w:val="24"/>
          <w:szCs w:val="24"/>
          <w:rtl/>
        </w:rPr>
        <w:t xml:space="preserve"> להיסגר ללא הצעות</w:t>
      </w:r>
      <w:r w:rsidR="00003157">
        <w:rPr>
          <w:rFonts w:ascii="David" w:hAnsi="David" w:cs="David" w:hint="cs"/>
          <w:sz w:val="24"/>
          <w:szCs w:val="24"/>
          <w:rtl/>
        </w:rPr>
        <w:t xml:space="preserve"> מחיר.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5547C">
        <w:rPr>
          <w:rFonts w:ascii="David" w:hAnsi="David" w:cs="David" w:hint="cs"/>
          <w:sz w:val="24"/>
          <w:szCs w:val="24"/>
          <w:rtl/>
        </w:rPr>
        <w:t>לאחר התחשבות בגורם זה, נמצא כי הצעות המחיר המוגשות</w:t>
      </w:r>
      <w:r>
        <w:rPr>
          <w:rFonts w:ascii="David" w:hAnsi="David" w:cs="David" w:hint="cs"/>
          <w:sz w:val="24"/>
          <w:szCs w:val="24"/>
          <w:rtl/>
        </w:rPr>
        <w:t xml:space="preserve"> במכרזים </w:t>
      </w:r>
      <w:r w:rsidR="00003157">
        <w:rPr>
          <w:rFonts w:ascii="David" w:hAnsi="David" w:cs="David" w:hint="cs"/>
          <w:sz w:val="24"/>
          <w:szCs w:val="24"/>
          <w:rtl/>
        </w:rPr>
        <w:t xml:space="preserve">הרגילים </w:t>
      </w:r>
      <w:r>
        <w:rPr>
          <w:rFonts w:ascii="David" w:hAnsi="David" w:cs="David" w:hint="cs"/>
          <w:sz w:val="24"/>
          <w:szCs w:val="24"/>
          <w:rtl/>
        </w:rPr>
        <w:t>המוצלחים</w:t>
      </w:r>
      <w:r w:rsidR="0055547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גבוהות יותר</w:t>
      </w:r>
      <w:r w:rsidR="00003157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ככל </w:t>
      </w:r>
      <w:r w:rsidR="00003157" w:rsidRPr="000E1EDF">
        <w:rPr>
          <w:rFonts w:ascii="David" w:hAnsi="David" w:cs="David" w:hint="cs"/>
          <w:sz w:val="24"/>
          <w:szCs w:val="24"/>
          <w:rtl/>
        </w:rPr>
        <w:t>שמתגברת העוצמה היחסית של השיווקים במסגרת התוכניות הממשלתיות (והשיווקים הרגילים מתמעטים יחסית)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F01E52" w:rsidRDefault="006F59AB" w:rsidP="00DA56A7">
      <w:pPr>
        <w:pStyle w:val="a6"/>
        <w:numPr>
          <w:ilvl w:val="0"/>
          <w:numId w:val="3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D62572">
        <w:rPr>
          <w:rFonts w:ascii="David" w:hAnsi="David" w:cs="David"/>
          <w:sz w:val="24"/>
          <w:szCs w:val="24"/>
          <w:rtl/>
        </w:rPr>
        <w:t>שְׁכֵנוּת</w:t>
      </w:r>
      <w:r w:rsidRPr="000E1EDF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עם </w:t>
      </w:r>
      <w:r w:rsidR="00F01E52" w:rsidRPr="000E1EDF">
        <w:rPr>
          <w:rFonts w:ascii="David" w:hAnsi="David" w:cs="David" w:hint="cs"/>
          <w:sz w:val="24"/>
          <w:szCs w:val="24"/>
          <w:rtl/>
        </w:rPr>
        <w:t xml:space="preserve">יישובים שבהם </w:t>
      </w:r>
      <w:r w:rsidR="00182F44">
        <w:rPr>
          <w:rFonts w:ascii="David" w:hAnsi="David" w:cs="David" w:hint="cs"/>
          <w:sz w:val="24"/>
          <w:szCs w:val="24"/>
          <w:rtl/>
        </w:rPr>
        <w:t>שווקו קרקעות</w:t>
      </w:r>
      <w:r w:rsidR="00F01E52" w:rsidRPr="000E1EDF">
        <w:rPr>
          <w:rFonts w:ascii="David" w:hAnsi="David" w:cs="David" w:hint="cs"/>
          <w:sz w:val="24"/>
          <w:szCs w:val="24"/>
          <w:rtl/>
        </w:rPr>
        <w:t xml:space="preserve"> </w:t>
      </w:r>
      <w:r w:rsidR="00182F44">
        <w:rPr>
          <w:rFonts w:ascii="David" w:hAnsi="David" w:cs="David" w:hint="cs"/>
          <w:sz w:val="24"/>
          <w:szCs w:val="24"/>
          <w:rtl/>
        </w:rPr>
        <w:t>ל</w:t>
      </w:r>
      <w:r w:rsidR="00F01E52" w:rsidRPr="000E1EDF">
        <w:rPr>
          <w:rFonts w:ascii="David" w:hAnsi="David" w:cs="David" w:hint="cs"/>
          <w:sz w:val="24"/>
          <w:szCs w:val="24"/>
          <w:rtl/>
        </w:rPr>
        <w:t xml:space="preserve">פרויקטים בסבסוד ממשלתי מעלה את גובה ההצעות המוגשות במכרזים הרגילים ביישובים שבהם לא שווקו קרקעות במסגרת התוכניות הממשלתיות. </w:t>
      </w:r>
    </w:p>
    <w:p w:rsidR="00F01E52" w:rsidRPr="000E1EDF" w:rsidRDefault="00F01E52" w:rsidP="00DA56A7">
      <w:pPr>
        <w:pStyle w:val="a6"/>
        <w:numPr>
          <w:ilvl w:val="0"/>
          <w:numId w:val="3"/>
        </w:numPr>
        <w:spacing w:before="240" w:after="0" w:line="360" w:lineRule="auto"/>
        <w:jc w:val="both"/>
      </w:pPr>
      <w:r w:rsidRPr="000E1EDF">
        <w:rPr>
          <w:rFonts w:ascii="David" w:hAnsi="David" w:cs="David" w:hint="cs"/>
          <w:sz w:val="24"/>
          <w:szCs w:val="24"/>
          <w:rtl/>
        </w:rPr>
        <w:t>ה</w:t>
      </w:r>
      <w:r w:rsidR="00E120B1">
        <w:rPr>
          <w:rFonts w:ascii="David" w:hAnsi="David" w:cs="David" w:hint="cs"/>
          <w:sz w:val="24"/>
          <w:szCs w:val="24"/>
          <w:rtl/>
        </w:rPr>
        <w:t>ה</w:t>
      </w:r>
      <w:r w:rsidRPr="000E1EDF">
        <w:rPr>
          <w:rFonts w:ascii="David" w:hAnsi="David" w:cs="David" w:hint="cs"/>
          <w:sz w:val="24"/>
          <w:szCs w:val="24"/>
          <w:rtl/>
        </w:rPr>
        <w:t xml:space="preserve">שפעות </w:t>
      </w:r>
      <w:r w:rsidR="00003157">
        <w:rPr>
          <w:rFonts w:ascii="David" w:hAnsi="David" w:cs="David" w:hint="cs"/>
          <w:sz w:val="24"/>
          <w:szCs w:val="24"/>
          <w:rtl/>
        </w:rPr>
        <w:t xml:space="preserve">האמורות של </w:t>
      </w:r>
      <w:r w:rsidRPr="000E1EDF">
        <w:rPr>
          <w:rFonts w:ascii="David" w:hAnsi="David" w:cs="David" w:hint="cs"/>
          <w:sz w:val="24"/>
          <w:szCs w:val="24"/>
          <w:rtl/>
        </w:rPr>
        <w:t xml:space="preserve">השיווקים במסגרת תוכניות של דיור מסובסד חזקות יותר בפריפריה מאשר באזורי הביקוש. ככל הנראה, </w:t>
      </w:r>
      <w:r w:rsidR="00003157">
        <w:rPr>
          <w:rFonts w:ascii="David" w:hAnsi="David" w:cs="David" w:hint="cs"/>
          <w:sz w:val="24"/>
          <w:szCs w:val="24"/>
          <w:rtl/>
        </w:rPr>
        <w:t>אפשרות ה</w:t>
      </w:r>
      <w:r w:rsidRPr="000E1EDF">
        <w:rPr>
          <w:rFonts w:ascii="David" w:hAnsi="David" w:cs="David" w:hint="cs"/>
          <w:sz w:val="24"/>
          <w:szCs w:val="24"/>
          <w:rtl/>
        </w:rPr>
        <w:t xml:space="preserve">פיתוח של קרקעות בבעלות פרטית והתרחבות הבנייה בהתחדשות עירונית באזורי הביקוש מיתנו את השפעת התמעטות השיווקים במכרזי מקרקעין רגילים של רמ"י על מחירי הקרקעות שהיא משווקת. </w:t>
      </w:r>
    </w:p>
    <w:p w:rsidR="00F01E52" w:rsidRPr="000E1EDF" w:rsidRDefault="00772ED2" w:rsidP="00DA56A7">
      <w:pPr>
        <w:pStyle w:val="a6"/>
        <w:numPr>
          <w:ilvl w:val="0"/>
          <w:numId w:val="3"/>
        </w:numPr>
        <w:spacing w:before="240" w:after="0" w:line="360" w:lineRule="auto"/>
        <w:jc w:val="both"/>
      </w:pPr>
      <w:r w:rsidRPr="000E1EDF">
        <w:rPr>
          <w:rFonts w:ascii="David" w:hAnsi="David" w:cs="David" w:hint="cs"/>
          <w:sz w:val="24"/>
          <w:szCs w:val="24"/>
          <w:rtl/>
        </w:rPr>
        <w:t>עליי</w:t>
      </w:r>
      <w:r>
        <w:rPr>
          <w:rFonts w:ascii="David" w:hAnsi="David" w:cs="David" w:hint="cs"/>
          <w:sz w:val="24"/>
          <w:szCs w:val="24"/>
          <w:rtl/>
        </w:rPr>
        <w:t>ה של</w:t>
      </w:r>
      <w:r w:rsidRPr="000E1EDF">
        <w:rPr>
          <w:rFonts w:ascii="David" w:hAnsi="David" w:cs="David" w:hint="cs"/>
          <w:sz w:val="24"/>
          <w:szCs w:val="24"/>
          <w:rtl/>
        </w:rPr>
        <w:t xml:space="preserve"> </w:t>
      </w:r>
      <w:r w:rsidR="00F01E52" w:rsidRPr="000E1EDF">
        <w:rPr>
          <w:rFonts w:ascii="David" w:hAnsi="David" w:cs="David" w:hint="cs"/>
          <w:sz w:val="24"/>
          <w:szCs w:val="24"/>
          <w:rtl/>
        </w:rPr>
        <w:t>מחירי הדירות בשנה לפני המכרז, שעשויה לשקף את ציפיות היזמים לגבי מחירי הדירות שייבנו על הקרקע הנרכשת, מעלה את הצעות המחיר במכרזי מקרקעין; השפעה זו חזקה יותר ביישובי מרכז הארץ.</w:t>
      </w:r>
    </w:p>
    <w:p w:rsidR="00F01E52" w:rsidRDefault="002952F6" w:rsidP="00DA56A7">
      <w:pPr>
        <w:pStyle w:val="a6"/>
        <w:numPr>
          <w:ilvl w:val="0"/>
          <w:numId w:val="3"/>
        </w:numPr>
        <w:spacing w:before="240" w:after="0" w:line="360" w:lineRule="auto"/>
        <w:jc w:val="both"/>
      </w:pPr>
      <w:r>
        <w:rPr>
          <w:rFonts w:ascii="David" w:hAnsi="David" w:cs="David" w:hint="cs"/>
          <w:sz w:val="24"/>
          <w:szCs w:val="24"/>
          <w:rtl/>
        </w:rPr>
        <w:t>ככל ש</w:t>
      </w:r>
      <w:r w:rsidR="00003157">
        <w:rPr>
          <w:rFonts w:ascii="David" w:hAnsi="David" w:cs="David" w:hint="cs"/>
          <w:sz w:val="24"/>
          <w:szCs w:val="24"/>
          <w:rtl/>
        </w:rPr>
        <w:t>הריבית ה</w:t>
      </w:r>
      <w:r>
        <w:rPr>
          <w:rFonts w:ascii="David" w:hAnsi="David" w:cs="David" w:hint="cs"/>
          <w:sz w:val="24"/>
          <w:szCs w:val="24"/>
          <w:rtl/>
        </w:rPr>
        <w:t xml:space="preserve">צפויה </w:t>
      </w:r>
      <w:r w:rsidR="00003157">
        <w:rPr>
          <w:rFonts w:ascii="David" w:hAnsi="David" w:cs="David" w:hint="cs"/>
          <w:sz w:val="24"/>
          <w:szCs w:val="24"/>
          <w:rtl/>
        </w:rPr>
        <w:t xml:space="preserve">במשק </w:t>
      </w:r>
      <w:r>
        <w:rPr>
          <w:rFonts w:ascii="David" w:hAnsi="David" w:cs="David" w:hint="cs"/>
          <w:sz w:val="24"/>
          <w:szCs w:val="24"/>
          <w:rtl/>
        </w:rPr>
        <w:t>גבוהה יותר</w:t>
      </w:r>
      <w:r w:rsidR="00003157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 xml:space="preserve">הצעות המחיר שמגישים היזמים </w:t>
      </w:r>
      <w:r w:rsidR="00E120B1">
        <w:rPr>
          <w:rFonts w:ascii="David" w:hAnsi="David" w:cs="David" w:hint="cs"/>
          <w:sz w:val="24"/>
          <w:szCs w:val="24"/>
          <w:rtl/>
        </w:rPr>
        <w:t xml:space="preserve">עבור הקרקע </w:t>
      </w:r>
      <w:r>
        <w:rPr>
          <w:rFonts w:ascii="David" w:hAnsi="David" w:cs="David" w:hint="cs"/>
          <w:sz w:val="24"/>
          <w:szCs w:val="24"/>
          <w:rtl/>
        </w:rPr>
        <w:t xml:space="preserve">נמוכות יותר; השפעת הריבית חזקה יותר על ההצעות הגבוהות (בהתפלגות ההצעות) באזורי </w:t>
      </w:r>
      <w:r w:rsidR="00D84FBF">
        <w:rPr>
          <w:rFonts w:ascii="David" w:hAnsi="David" w:cs="David" w:hint="cs"/>
          <w:sz w:val="24"/>
          <w:szCs w:val="24"/>
          <w:rtl/>
        </w:rPr>
        <w:t>הביקוש</w:t>
      </w:r>
      <w:r w:rsidR="00F01E52">
        <w:rPr>
          <w:rFonts w:ascii="David" w:hAnsi="David" w:cs="David" w:hint="cs"/>
          <w:sz w:val="24"/>
          <w:szCs w:val="24"/>
          <w:rtl/>
        </w:rPr>
        <w:t>.</w:t>
      </w:r>
    </w:p>
    <w:p w:rsidR="00525096" w:rsidRPr="00525096" w:rsidRDefault="00525096" w:rsidP="00525096">
      <w:pPr>
        <w:spacing w:before="240" w:after="0" w:line="360" w:lineRule="auto"/>
        <w:jc w:val="both"/>
        <w:rPr>
          <w:rFonts w:ascii="David" w:hAnsi="David" w:cs="David"/>
        </w:rPr>
      </w:pPr>
      <w:r w:rsidRPr="00525096">
        <w:rPr>
          <w:rFonts w:ascii="David" w:hAnsi="David" w:cs="David"/>
          <w:sz w:val="24"/>
          <w:szCs w:val="24"/>
          <w:rtl/>
        </w:rPr>
        <w:t>המחקר המלא מצורף להודעה זו</w:t>
      </w:r>
      <w:r w:rsidRPr="00525096">
        <w:rPr>
          <w:rFonts w:ascii="David" w:hAnsi="David" w:cs="David"/>
          <w:rtl/>
        </w:rPr>
        <w:t xml:space="preserve">. </w:t>
      </w:r>
    </w:p>
    <w:p w:rsidR="00525096" w:rsidRDefault="00525096" w:rsidP="00C462FD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25096" w:rsidRDefault="00525096" w:rsidP="00C462FD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C462FD" w:rsidRDefault="007E41A2" w:rsidP="00C462FD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E41A2">
        <w:rPr>
          <w:rFonts w:ascii="David" w:hAnsi="David" w:cs="David"/>
          <w:sz w:val="24"/>
          <w:szCs w:val="24"/>
          <w:rtl/>
        </w:rPr>
        <w:lastRenderedPageBreak/>
        <w:t xml:space="preserve">האיורים </w:t>
      </w:r>
      <w:r w:rsidR="00FD4745">
        <w:rPr>
          <w:rFonts w:ascii="David" w:hAnsi="David" w:cs="David" w:hint="cs"/>
          <w:sz w:val="24"/>
          <w:szCs w:val="24"/>
          <w:rtl/>
        </w:rPr>
        <w:t>ש</w:t>
      </w:r>
      <w:r w:rsidRPr="007E41A2">
        <w:rPr>
          <w:rFonts w:ascii="David" w:hAnsi="David" w:cs="David"/>
          <w:sz w:val="24"/>
          <w:szCs w:val="24"/>
          <w:rtl/>
        </w:rPr>
        <w:t>להלן</w:t>
      </w:r>
      <w:r>
        <w:rPr>
          <w:rFonts w:ascii="David" w:hAnsi="David" w:cs="David" w:hint="cs"/>
          <w:sz w:val="24"/>
          <w:szCs w:val="24"/>
          <w:rtl/>
        </w:rPr>
        <w:t xml:space="preserve"> ממחישים </w:t>
      </w:r>
      <w:r w:rsidR="00A124B8">
        <w:rPr>
          <w:rFonts w:ascii="David" w:hAnsi="David" w:cs="David" w:hint="cs"/>
          <w:sz w:val="24"/>
          <w:szCs w:val="24"/>
          <w:rtl/>
        </w:rPr>
        <w:t>חלק מ</w:t>
      </w:r>
      <w:r>
        <w:rPr>
          <w:rFonts w:ascii="David" w:hAnsi="David" w:cs="David" w:hint="cs"/>
          <w:sz w:val="24"/>
          <w:szCs w:val="24"/>
          <w:rtl/>
        </w:rPr>
        <w:t>התוצאות</w:t>
      </w:r>
      <w:r w:rsidR="00FD4745">
        <w:rPr>
          <w:rFonts w:ascii="David" w:hAnsi="David" w:cs="David" w:hint="cs"/>
          <w:sz w:val="24"/>
          <w:szCs w:val="24"/>
          <w:rtl/>
        </w:rPr>
        <w:t xml:space="preserve"> </w:t>
      </w:r>
      <w:r w:rsidR="00A124B8">
        <w:rPr>
          <w:rFonts w:ascii="David" w:hAnsi="David" w:cs="David" w:hint="cs"/>
          <w:sz w:val="24"/>
          <w:szCs w:val="24"/>
          <w:rtl/>
        </w:rPr>
        <w:t>שהתקבלו</w:t>
      </w:r>
      <w:r w:rsidR="00FD4745">
        <w:rPr>
          <w:rFonts w:ascii="David" w:hAnsi="David" w:cs="David" w:hint="cs"/>
          <w:sz w:val="24"/>
          <w:szCs w:val="24"/>
          <w:rtl/>
        </w:rPr>
        <w:t xml:space="preserve"> </w:t>
      </w:r>
      <w:r w:rsidR="00A124B8">
        <w:rPr>
          <w:rFonts w:ascii="David" w:hAnsi="David" w:cs="David" w:hint="cs"/>
          <w:sz w:val="24"/>
          <w:szCs w:val="24"/>
          <w:rtl/>
        </w:rPr>
        <w:t>ב</w:t>
      </w:r>
      <w:r w:rsidR="00FD4745">
        <w:rPr>
          <w:rFonts w:ascii="David" w:hAnsi="David" w:cs="David" w:hint="cs"/>
          <w:sz w:val="24"/>
          <w:szCs w:val="24"/>
          <w:rtl/>
        </w:rPr>
        <w:t>מחקר</w:t>
      </w:r>
      <w:r w:rsidR="00C462FD">
        <w:rPr>
          <w:rFonts w:ascii="David" w:hAnsi="David" w:cs="David" w:hint="cs"/>
          <w:sz w:val="24"/>
          <w:szCs w:val="24"/>
          <w:rtl/>
        </w:rPr>
        <w:t>.</w:t>
      </w:r>
    </w:p>
    <w:p w:rsidR="00FD4745" w:rsidRDefault="00C462FD" w:rsidP="00C462FD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9597E">
        <w:rPr>
          <w:rFonts w:ascii="David" w:hAnsi="David" w:cs="David" w:hint="cs"/>
          <w:b/>
          <w:bCs/>
          <w:sz w:val="24"/>
          <w:szCs w:val="24"/>
          <w:rtl/>
        </w:rPr>
        <w:t>איור 1. מקדמי ההשפעה של המשתנים המרכזיים על הצעות היזמים במכרזי מקרקעין</w:t>
      </w:r>
      <w:r w:rsidR="00E9597E">
        <w:rPr>
          <w:rFonts w:ascii="David" w:hAnsi="David" w:cs="David" w:hint="cs"/>
          <w:b/>
          <w:bCs/>
          <w:sz w:val="24"/>
          <w:szCs w:val="24"/>
          <w:rtl/>
        </w:rPr>
        <w:t xml:space="preserve"> רגילים של רמ"י</w:t>
      </w:r>
      <w:r w:rsidRPr="00E9597E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E9597E">
        <w:rPr>
          <w:rFonts w:ascii="David" w:hAnsi="David" w:cs="David"/>
          <w:b/>
          <w:bCs/>
          <w:sz w:val="24"/>
          <w:szCs w:val="24"/>
          <w:rtl/>
        </w:rPr>
        <w:t xml:space="preserve">לפי </w:t>
      </w:r>
      <w:r w:rsidRPr="00E9597E">
        <w:rPr>
          <w:rFonts w:ascii="David" w:hAnsi="David" w:cs="David" w:hint="cs"/>
          <w:b/>
          <w:bCs/>
          <w:sz w:val="24"/>
          <w:szCs w:val="24"/>
          <w:rtl/>
        </w:rPr>
        <w:t>עשירוני התפלגות ההצעות</w:t>
      </w:r>
      <w:r w:rsidRPr="00E9597E">
        <w:rPr>
          <w:rFonts w:ascii="David" w:hAnsi="David" w:cs="David"/>
          <w:b/>
          <w:bCs/>
          <w:sz w:val="24"/>
          <w:szCs w:val="24"/>
          <w:rtl/>
        </w:rPr>
        <w:t xml:space="preserve"> (ציר ה-</w:t>
      </w:r>
      <w:r w:rsidRPr="00E9597E">
        <w:rPr>
          <w:rFonts w:ascii="David" w:hAnsi="David" w:cs="David"/>
          <w:b/>
          <w:bCs/>
          <w:sz w:val="24"/>
          <w:szCs w:val="24"/>
        </w:rPr>
        <w:t>X</w:t>
      </w:r>
      <w:r w:rsidRPr="00E9597E">
        <w:rPr>
          <w:rFonts w:ascii="David" w:hAnsi="David" w:cs="David"/>
          <w:b/>
          <w:bCs/>
          <w:sz w:val="24"/>
          <w:szCs w:val="24"/>
          <w:rtl/>
        </w:rPr>
        <w:t xml:space="preserve">) ואזורים. </w:t>
      </w:r>
      <w:r w:rsidRPr="00E9597E">
        <w:rPr>
          <w:rFonts w:ascii="David" w:hAnsi="David" w:cs="David"/>
          <w:sz w:val="24"/>
          <w:szCs w:val="24"/>
          <w:rtl/>
        </w:rPr>
        <w:t xml:space="preserve">בכחול – </w:t>
      </w:r>
      <w:r w:rsidR="003265F5">
        <w:rPr>
          <w:rFonts w:ascii="David" w:hAnsi="David" w:cs="David" w:hint="cs"/>
          <w:sz w:val="24"/>
          <w:szCs w:val="24"/>
          <w:rtl/>
        </w:rPr>
        <w:t>תוצאות ה</w:t>
      </w:r>
      <w:r w:rsidRPr="00E9597E">
        <w:rPr>
          <w:rFonts w:ascii="David" w:hAnsi="David" w:cs="David" w:hint="cs"/>
          <w:sz w:val="24"/>
          <w:szCs w:val="24"/>
          <w:rtl/>
        </w:rPr>
        <w:t xml:space="preserve">אמידה </w:t>
      </w:r>
      <w:r w:rsidR="003265F5">
        <w:rPr>
          <w:rFonts w:ascii="David" w:hAnsi="David" w:cs="David" w:hint="cs"/>
          <w:sz w:val="24"/>
          <w:szCs w:val="24"/>
          <w:rtl/>
        </w:rPr>
        <w:t>ה</w:t>
      </w:r>
      <w:r w:rsidRPr="00E9597E">
        <w:rPr>
          <w:rFonts w:ascii="David" w:hAnsi="David" w:cs="David" w:hint="cs"/>
          <w:sz w:val="24"/>
          <w:szCs w:val="24"/>
          <w:rtl/>
        </w:rPr>
        <w:t>בסיסית</w:t>
      </w:r>
      <w:r w:rsidRPr="00E9597E">
        <w:rPr>
          <w:rFonts w:ascii="David" w:hAnsi="David" w:cs="David"/>
          <w:sz w:val="24"/>
          <w:szCs w:val="24"/>
          <w:rtl/>
        </w:rPr>
        <w:t xml:space="preserve">, באדום – לאחר </w:t>
      </w:r>
      <w:r w:rsidRPr="00E9597E">
        <w:rPr>
          <w:rFonts w:ascii="David" w:hAnsi="David" w:cs="David" w:hint="cs"/>
          <w:sz w:val="24"/>
          <w:szCs w:val="24"/>
          <w:rtl/>
        </w:rPr>
        <w:t>התחשבות בפגיעה באטרקטיביות של המכרזים הרגילים</w:t>
      </w:r>
      <w:r w:rsidR="00FD4745" w:rsidRPr="00E9597E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265F5" w:rsidRPr="00E9597E" w:rsidRDefault="00166C36" w:rsidP="00224C7D">
      <w:pPr>
        <w:spacing w:before="24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166C36">
        <w:rPr>
          <w:noProof/>
          <w:rtl/>
        </w:rPr>
        <w:drawing>
          <wp:inline distT="0" distB="0" distL="0" distR="0" wp14:anchorId="3B041F34" wp14:editId="7A8C36DE">
            <wp:extent cx="5274310" cy="4233030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3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7C" w:rsidRDefault="0018017C" w:rsidP="0018017C">
      <w:pPr>
        <w:spacing w:after="0" w:line="360" w:lineRule="auto"/>
        <w:jc w:val="both"/>
        <w:rPr>
          <w:rFonts w:ascii="David" w:hAnsi="David" w:cs="David"/>
          <w:rtl/>
        </w:rPr>
      </w:pPr>
      <w:r w:rsidRPr="00FC3ADE">
        <w:rPr>
          <w:rFonts w:ascii="David" w:hAnsi="David" w:cs="David" w:hint="cs"/>
          <w:rtl/>
        </w:rPr>
        <w:t xml:space="preserve">הסבר לאיורים: </w:t>
      </w:r>
    </w:p>
    <w:p w:rsidR="00663104" w:rsidRPr="00FC3ADE" w:rsidRDefault="00663104" w:rsidP="00525096">
      <w:pPr>
        <w:spacing w:after="0" w:line="360" w:lineRule="auto"/>
        <w:jc w:val="both"/>
        <w:rPr>
          <w:rFonts w:ascii="David" w:hAnsi="David" w:cs="David"/>
          <w:rtl/>
        </w:rPr>
      </w:pPr>
      <w:r w:rsidRPr="00FC3ADE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 xml:space="preserve">איורים מראים אומדני שינוי (באחוזים) של הצעת מחיר עבור הקרקע ליחידת דיור במכרזים הרגילים של רמ"י כתוצאה מ-1) גידול של </w:t>
      </w:r>
      <w:r w:rsidRPr="00FC3ADE">
        <w:rPr>
          <w:rFonts w:ascii="David" w:hAnsi="David" w:cs="David" w:hint="cs"/>
          <w:rtl/>
        </w:rPr>
        <w:t>עוצמת השיווקים במסגרת התוכניות הממשלתיות</w:t>
      </w:r>
      <w:r>
        <w:rPr>
          <w:rFonts w:ascii="David" w:hAnsi="David" w:cs="David" w:hint="cs"/>
          <w:rtl/>
        </w:rPr>
        <w:t xml:space="preserve"> ב-10</w:t>
      </w:r>
      <w:r w:rsidR="0013484E">
        <w:rPr>
          <w:rFonts w:ascii="David" w:hAnsi="David" w:cs="David" w:hint="cs"/>
          <w:rtl/>
        </w:rPr>
        <w:t xml:space="preserve"> נקודות אחוז</w:t>
      </w:r>
      <w:r>
        <w:rPr>
          <w:rFonts w:ascii="David" w:hAnsi="David" w:cs="David" w:hint="cs"/>
          <w:rtl/>
        </w:rPr>
        <w:t>,</w:t>
      </w:r>
      <w:r w:rsidRPr="00FC3ADE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2) עליית </w:t>
      </w:r>
      <w:r w:rsidRPr="00FC3ADE">
        <w:rPr>
          <w:rFonts w:ascii="David" w:hAnsi="David" w:cs="David" w:hint="cs"/>
          <w:rtl/>
        </w:rPr>
        <w:t xml:space="preserve">הציפיות לריבית </w:t>
      </w:r>
      <w:r>
        <w:rPr>
          <w:rFonts w:ascii="David" w:hAnsi="David" w:cs="David" w:hint="cs"/>
          <w:rtl/>
        </w:rPr>
        <w:t>בנק ישראל בנקודת אחוז</w:t>
      </w:r>
      <w:r w:rsidR="0013484E">
        <w:rPr>
          <w:rFonts w:ascii="David" w:hAnsi="David" w:cs="David" w:hint="cs"/>
          <w:rtl/>
        </w:rPr>
        <w:t xml:space="preserve"> אחת</w:t>
      </w:r>
      <w:r w:rsidRPr="00FC3ADE">
        <w:rPr>
          <w:rFonts w:ascii="David" w:hAnsi="David" w:cs="David" w:hint="cs"/>
          <w:rtl/>
        </w:rPr>
        <w:t xml:space="preserve"> ו</w:t>
      </w:r>
      <w:r>
        <w:rPr>
          <w:rFonts w:ascii="David" w:hAnsi="David" w:cs="David" w:hint="cs"/>
          <w:rtl/>
        </w:rPr>
        <w:t xml:space="preserve">-3) </w:t>
      </w:r>
      <w:r w:rsidR="0013484E">
        <w:rPr>
          <w:rFonts w:ascii="David" w:hAnsi="David" w:cs="David" w:hint="cs"/>
          <w:rtl/>
        </w:rPr>
        <w:t>גידול של קצב עליית מחירי הדירות ב-</w:t>
      </w:r>
      <w:r>
        <w:rPr>
          <w:rFonts w:ascii="David" w:hAnsi="David" w:cs="David" w:hint="cs"/>
          <w:rtl/>
        </w:rPr>
        <w:t xml:space="preserve">1% </w:t>
      </w:r>
      <w:r w:rsidRPr="00FC3ADE">
        <w:rPr>
          <w:rFonts w:ascii="David" w:hAnsi="David" w:cs="David" w:hint="cs"/>
          <w:rtl/>
        </w:rPr>
        <w:t>בשנה שקדמה למכרז רגיל</w:t>
      </w:r>
      <w:r>
        <w:rPr>
          <w:rFonts w:ascii="David" w:hAnsi="David" w:cs="David" w:hint="cs"/>
          <w:rtl/>
        </w:rPr>
        <w:t>, בשלושה אזורים שהוגדרו. גודל המקדם משתנה על פני ההתפלגות של הצעות היזמים שהוגשו במכרזים.</w:t>
      </w:r>
      <w:r w:rsidRPr="00FC3ADE">
        <w:rPr>
          <w:rFonts w:ascii="David" w:hAnsi="David" w:cs="David" w:hint="cs"/>
          <w:rtl/>
        </w:rPr>
        <w:t xml:space="preserve"> את עשירוני ההתפלגות של הצעות המחיר רואים בציר ה-</w:t>
      </w:r>
      <w:r w:rsidRPr="00FC3ADE">
        <w:rPr>
          <w:rFonts w:ascii="David" w:hAnsi="David" w:cs="David" w:hint="cs"/>
        </w:rPr>
        <w:t>X</w:t>
      </w:r>
      <w:r w:rsidRPr="00FC3ADE">
        <w:rPr>
          <w:rFonts w:ascii="David" w:hAnsi="David" w:cs="David" w:hint="cs"/>
          <w:rtl/>
        </w:rPr>
        <w:t xml:space="preserve">. התוצאות הבסיסיות של האמידה מתוארות על ידי הקו הכחול; התוצאות לאחר ההתחשבות בפגיעה באטרקטיביות של המכרזים הרגילים (תוצאות מתוקנות) מתוארות על ידי הקו האדום. </w:t>
      </w:r>
    </w:p>
    <w:p w:rsidR="00EA5014" w:rsidRPr="00EA5014" w:rsidRDefault="00EA5014" w:rsidP="00EA5014">
      <w:pPr>
        <w:spacing w:line="360" w:lineRule="auto"/>
        <w:rPr>
          <w:rFonts w:ascii="David" w:hAnsi="David" w:cs="David"/>
          <w:sz w:val="24"/>
          <w:szCs w:val="24"/>
        </w:rPr>
      </w:pPr>
    </w:p>
    <w:p w:rsidR="00EA5014" w:rsidRPr="00EA5014" w:rsidRDefault="00EA5014" w:rsidP="00EA5014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A5014" w:rsidRPr="00EA5014" w:rsidRDefault="00EA5014" w:rsidP="00EA5014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A5014" w:rsidRDefault="00EA5014" w:rsidP="00EA5014">
      <w:pPr>
        <w:spacing w:before="240" w:after="0" w:line="360" w:lineRule="auto"/>
        <w:jc w:val="both"/>
      </w:pPr>
    </w:p>
    <w:sectPr w:rsidR="00EA5014" w:rsidSect="00B30C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42" w:rsidRDefault="001A1D42" w:rsidP="000B5098">
      <w:pPr>
        <w:spacing w:after="0" w:line="240" w:lineRule="auto"/>
      </w:pPr>
      <w:r>
        <w:separator/>
      </w:r>
    </w:p>
  </w:endnote>
  <w:endnote w:type="continuationSeparator" w:id="0">
    <w:p w:rsidR="001A1D42" w:rsidRDefault="001A1D42" w:rsidP="000B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42" w:rsidRDefault="001A1D42" w:rsidP="000B5098">
      <w:pPr>
        <w:spacing w:after="0" w:line="240" w:lineRule="auto"/>
      </w:pPr>
      <w:r>
        <w:separator/>
      </w:r>
    </w:p>
  </w:footnote>
  <w:footnote w:type="continuationSeparator" w:id="0">
    <w:p w:rsidR="001A1D42" w:rsidRDefault="001A1D42" w:rsidP="000B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48BE"/>
    <w:multiLevelType w:val="hybridMultilevel"/>
    <w:tmpl w:val="DC36C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F2C65"/>
    <w:multiLevelType w:val="hybridMultilevel"/>
    <w:tmpl w:val="A2BA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D10A1"/>
    <w:multiLevelType w:val="hybridMultilevel"/>
    <w:tmpl w:val="D7A2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98"/>
    <w:rsid w:val="00003157"/>
    <w:rsid w:val="0003202C"/>
    <w:rsid w:val="0003515E"/>
    <w:rsid w:val="00043E78"/>
    <w:rsid w:val="000978E8"/>
    <w:rsid w:val="000B5098"/>
    <w:rsid w:val="000E1EDF"/>
    <w:rsid w:val="001113D8"/>
    <w:rsid w:val="0013484E"/>
    <w:rsid w:val="00156320"/>
    <w:rsid w:val="00161068"/>
    <w:rsid w:val="00166C36"/>
    <w:rsid w:val="0018017C"/>
    <w:rsid w:val="00182F44"/>
    <w:rsid w:val="00192F0A"/>
    <w:rsid w:val="001A1D42"/>
    <w:rsid w:val="001B73D4"/>
    <w:rsid w:val="001F295C"/>
    <w:rsid w:val="001F3F2C"/>
    <w:rsid w:val="001F4C53"/>
    <w:rsid w:val="00224C7D"/>
    <w:rsid w:val="00244A02"/>
    <w:rsid w:val="002952F6"/>
    <w:rsid w:val="002B64F4"/>
    <w:rsid w:val="003265F5"/>
    <w:rsid w:val="004C58EC"/>
    <w:rsid w:val="004E085F"/>
    <w:rsid w:val="004F576F"/>
    <w:rsid w:val="00512FEB"/>
    <w:rsid w:val="00525096"/>
    <w:rsid w:val="0055547C"/>
    <w:rsid w:val="005A5F40"/>
    <w:rsid w:val="005F1ECA"/>
    <w:rsid w:val="0063426C"/>
    <w:rsid w:val="00663104"/>
    <w:rsid w:val="00666C70"/>
    <w:rsid w:val="006C1E52"/>
    <w:rsid w:val="006E1D21"/>
    <w:rsid w:val="006F59AB"/>
    <w:rsid w:val="007450CE"/>
    <w:rsid w:val="00772ED2"/>
    <w:rsid w:val="00783BE4"/>
    <w:rsid w:val="00796C6C"/>
    <w:rsid w:val="007D22ED"/>
    <w:rsid w:val="007E41A2"/>
    <w:rsid w:val="008E5A0A"/>
    <w:rsid w:val="00933BB7"/>
    <w:rsid w:val="00A116C9"/>
    <w:rsid w:val="00A124B8"/>
    <w:rsid w:val="00A140C5"/>
    <w:rsid w:val="00A30E8C"/>
    <w:rsid w:val="00A73C8D"/>
    <w:rsid w:val="00AC228D"/>
    <w:rsid w:val="00AE45E5"/>
    <w:rsid w:val="00B1491E"/>
    <w:rsid w:val="00B22ED0"/>
    <w:rsid w:val="00B30CA0"/>
    <w:rsid w:val="00BC19D2"/>
    <w:rsid w:val="00BF1DCD"/>
    <w:rsid w:val="00C057D5"/>
    <w:rsid w:val="00C462FD"/>
    <w:rsid w:val="00CE25EE"/>
    <w:rsid w:val="00CF51CF"/>
    <w:rsid w:val="00D4649E"/>
    <w:rsid w:val="00D84FBF"/>
    <w:rsid w:val="00D9555D"/>
    <w:rsid w:val="00DA56A7"/>
    <w:rsid w:val="00E120B1"/>
    <w:rsid w:val="00E730E2"/>
    <w:rsid w:val="00E9597E"/>
    <w:rsid w:val="00EA036E"/>
    <w:rsid w:val="00EA5014"/>
    <w:rsid w:val="00EB5188"/>
    <w:rsid w:val="00EC4654"/>
    <w:rsid w:val="00EF74D5"/>
    <w:rsid w:val="00F01B82"/>
    <w:rsid w:val="00F01E52"/>
    <w:rsid w:val="00F576ED"/>
    <w:rsid w:val="00F86AED"/>
    <w:rsid w:val="00FC3ADE"/>
    <w:rsid w:val="00FC3B89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F5BB"/>
  <w15:chartTrackingRefBased/>
  <w15:docId w15:val="{C1F2705E-0345-4BE2-AA48-5CD78FC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5098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0B509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5098"/>
    <w:rPr>
      <w:vertAlign w:val="superscript"/>
    </w:rPr>
  </w:style>
  <w:style w:type="paragraph" w:styleId="a6">
    <w:name w:val="List Paragraph"/>
    <w:basedOn w:val="a"/>
    <w:uiPriority w:val="34"/>
    <w:qFormat/>
    <w:rsid w:val="000E1EDF"/>
    <w:pPr>
      <w:ind w:left="720"/>
      <w:contextualSpacing/>
    </w:pPr>
  </w:style>
  <w:style w:type="table" w:styleId="a7">
    <w:name w:val="Table Grid"/>
    <w:basedOn w:val="a1"/>
    <w:uiPriority w:val="39"/>
    <w:rsid w:val="00EA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8E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C58EC"/>
    <w:rPr>
      <w:rFonts w:ascii="Tahom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8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58EC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4C58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58EC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C58E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E1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4C99-C928-4D27-8416-35DEC93E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4371</Characters>
  <Application>Microsoft Office Word</Application>
  <DocSecurity>4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נטליה פרסמן</dc:creator>
  <cp:keywords/>
  <dc:description/>
  <cp:lastModifiedBy>ליאת אינדיג</cp:lastModifiedBy>
  <cp:revision>2</cp:revision>
  <cp:lastPrinted>2024-09-01T06:58:00Z</cp:lastPrinted>
  <dcterms:created xsi:type="dcterms:W3CDTF">2024-09-01T09:46:00Z</dcterms:created>
  <dcterms:modified xsi:type="dcterms:W3CDTF">2024-09-01T09:46:00Z</dcterms:modified>
</cp:coreProperties>
</file>