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933" w:type="dxa"/>
        <w:tblLayout w:type="fixed"/>
        <w:tblLook w:val="0000" w:firstRow="0" w:lastRow="0" w:firstColumn="0" w:lastColumn="0" w:noHBand="0" w:noVBand="0"/>
        <w:tblCaption w:val="כותרת"/>
        <w:tblDescription w:val="כותרת"/>
      </w:tblPr>
      <w:tblGrid>
        <w:gridCol w:w="3028"/>
        <w:gridCol w:w="2768"/>
        <w:gridCol w:w="3137"/>
      </w:tblGrid>
      <w:tr w:rsidR="00C2547F" w:rsidRPr="00161DD8" w14:paraId="4381D9A6" w14:textId="77777777" w:rsidTr="00947995">
        <w:trPr>
          <w:trHeight w:val="1252"/>
        </w:trPr>
        <w:tc>
          <w:tcPr>
            <w:tcW w:w="3028" w:type="dxa"/>
            <w:tcBorders>
              <w:top w:val="nil"/>
              <w:left w:val="nil"/>
              <w:bottom w:val="nil"/>
              <w:right w:val="nil"/>
            </w:tcBorders>
            <w:vAlign w:val="center"/>
          </w:tcPr>
          <w:p w14:paraId="1E4753EA" w14:textId="77777777" w:rsidR="00C2547F" w:rsidRPr="00161DD8" w:rsidRDefault="00C2547F" w:rsidP="00947995">
            <w:pPr>
              <w:spacing w:before="240"/>
              <w:jc w:val="center"/>
              <w:rPr>
                <w:rFonts w:ascii="David" w:hAnsi="David"/>
                <w:b/>
                <w:bCs/>
                <w:sz w:val="28"/>
                <w:szCs w:val="28"/>
                <w:rtl/>
              </w:rPr>
            </w:pPr>
            <w:bookmarkStart w:id="0" w:name="_Hlk89613725"/>
            <w:r w:rsidRPr="00161DD8">
              <w:rPr>
                <w:rFonts w:ascii="David" w:hAnsi="David"/>
                <w:b/>
                <w:bCs/>
                <w:sz w:val="28"/>
                <w:szCs w:val="28"/>
                <w:rtl/>
              </w:rPr>
              <w:t>בנק ישראל</w:t>
            </w:r>
          </w:p>
          <w:p w14:paraId="316AF9DF" w14:textId="77777777" w:rsidR="00C2547F" w:rsidRPr="00161DD8" w:rsidRDefault="00C2547F" w:rsidP="00947995">
            <w:pPr>
              <w:spacing w:before="240"/>
              <w:jc w:val="center"/>
              <w:rPr>
                <w:rFonts w:ascii="David" w:hAnsi="David"/>
              </w:rPr>
            </w:pPr>
            <w:r w:rsidRPr="00161DD8">
              <w:rPr>
                <w:rFonts w:ascii="David" w:hAnsi="David"/>
                <w:rtl/>
              </w:rPr>
              <w:t>דוברות והסברה כלכלית</w:t>
            </w:r>
          </w:p>
        </w:tc>
        <w:tc>
          <w:tcPr>
            <w:tcW w:w="2768" w:type="dxa"/>
            <w:tcBorders>
              <w:top w:val="nil"/>
              <w:left w:val="nil"/>
              <w:bottom w:val="nil"/>
              <w:right w:val="nil"/>
            </w:tcBorders>
          </w:tcPr>
          <w:p w14:paraId="7000ACE3" w14:textId="77777777" w:rsidR="00C2547F" w:rsidRPr="00161DD8" w:rsidRDefault="00C2547F" w:rsidP="00947995">
            <w:pPr>
              <w:tabs>
                <w:tab w:val="right" w:pos="2380"/>
              </w:tabs>
              <w:spacing w:before="240"/>
              <w:rPr>
                <w:rFonts w:ascii="David" w:hAnsi="David"/>
              </w:rPr>
            </w:pPr>
            <w:r w:rsidRPr="00161DD8">
              <w:rPr>
                <w:rFonts w:ascii="David" w:hAnsi="David"/>
                <w:noProof/>
                <w:rtl/>
              </w:rPr>
              <w:drawing>
                <wp:anchor distT="0" distB="0" distL="114300" distR="114300" simplePos="0" relativeHeight="251659264" behindDoc="0" locked="0" layoutInCell="1" allowOverlap="1" wp14:anchorId="29281980" wp14:editId="02670BA9">
                  <wp:simplePos x="3561715" y="786765"/>
                  <wp:positionH relativeFrom="column">
                    <wp:align>center</wp:align>
                  </wp:positionH>
                  <wp:positionV relativeFrom="paragraph">
                    <wp:posOffset>154940</wp:posOffset>
                  </wp:positionV>
                  <wp:extent cx="1051200" cy="1051200"/>
                  <wp:effectExtent l="0" t="0" r="0" b="0"/>
                  <wp:wrapSquare wrapText="bothSides"/>
                  <wp:docPr id="4" name="תמונה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DD8">
              <w:rPr>
                <w:rFonts w:ascii="David" w:hAnsi="David"/>
              </w:rPr>
              <w:tab/>
            </w:r>
          </w:p>
        </w:tc>
        <w:tc>
          <w:tcPr>
            <w:tcW w:w="3137" w:type="dxa"/>
            <w:tcBorders>
              <w:top w:val="nil"/>
              <w:left w:val="nil"/>
              <w:bottom w:val="nil"/>
              <w:right w:val="nil"/>
            </w:tcBorders>
            <w:shd w:val="clear" w:color="auto" w:fill="auto"/>
            <w:vAlign w:val="center"/>
          </w:tcPr>
          <w:p w14:paraId="64F5683D" w14:textId="499E7457" w:rsidR="00C2547F" w:rsidRPr="00161DD8" w:rsidRDefault="00C2547F" w:rsidP="00512D2F">
            <w:pPr>
              <w:spacing w:before="240" w:line="480" w:lineRule="auto"/>
              <w:jc w:val="right"/>
              <w:rPr>
                <w:rFonts w:ascii="David" w:hAnsi="David"/>
                <w:rtl/>
              </w:rPr>
            </w:pPr>
            <w:r w:rsidRPr="00161DD8">
              <w:rPr>
                <w:rFonts w:ascii="David" w:hAnsi="David"/>
                <w:rtl/>
              </w:rPr>
              <w:t xml:space="preserve">‏      ירושלים, </w:t>
            </w:r>
            <w:r w:rsidR="00512D2F">
              <w:rPr>
                <w:rFonts w:ascii="David" w:hAnsi="David" w:hint="cs"/>
                <w:rtl/>
              </w:rPr>
              <w:t>י"ח</w:t>
            </w:r>
            <w:r w:rsidRPr="00161DD8">
              <w:rPr>
                <w:rFonts w:ascii="David" w:hAnsi="David"/>
                <w:rtl/>
              </w:rPr>
              <w:t xml:space="preserve"> באדר ב, תשפ"ב</w:t>
            </w:r>
          </w:p>
          <w:p w14:paraId="35ACDC07" w14:textId="580D0484" w:rsidR="00C2547F" w:rsidRPr="00161DD8" w:rsidRDefault="00C2547F" w:rsidP="00512D2F">
            <w:pPr>
              <w:spacing w:before="240" w:line="480" w:lineRule="auto"/>
              <w:jc w:val="right"/>
              <w:rPr>
                <w:rFonts w:ascii="David" w:hAnsi="David"/>
              </w:rPr>
            </w:pPr>
            <w:r w:rsidRPr="00161DD8">
              <w:rPr>
                <w:rFonts w:ascii="David" w:hAnsi="David"/>
                <w:rtl/>
              </w:rPr>
              <w:t xml:space="preserve">                               </w:t>
            </w:r>
            <w:r w:rsidR="00512D2F">
              <w:rPr>
                <w:rFonts w:ascii="David" w:hAnsi="David" w:hint="cs"/>
                <w:rtl/>
              </w:rPr>
              <w:t>21</w:t>
            </w:r>
            <w:r w:rsidRPr="00161DD8">
              <w:rPr>
                <w:rFonts w:ascii="David" w:hAnsi="David"/>
                <w:rtl/>
              </w:rPr>
              <w:t xml:space="preserve"> במרץ 2022</w:t>
            </w:r>
          </w:p>
        </w:tc>
      </w:tr>
    </w:tbl>
    <w:p w14:paraId="67879EBA" w14:textId="77777777" w:rsidR="00C2547F" w:rsidRPr="00161DD8" w:rsidRDefault="00C2547F" w:rsidP="00C2547F">
      <w:pPr>
        <w:ind w:right="-101"/>
        <w:rPr>
          <w:rFonts w:ascii="David" w:hAnsi="David"/>
          <w:rtl/>
        </w:rPr>
      </w:pPr>
      <w:r w:rsidRPr="00161DD8">
        <w:rPr>
          <w:rFonts w:ascii="David" w:hAnsi="David"/>
          <w:rtl/>
        </w:rPr>
        <w:t>הודעה לעיתונות:</w:t>
      </w:r>
    </w:p>
    <w:p w14:paraId="58E13536" w14:textId="77777777" w:rsidR="00C2547F" w:rsidRPr="00161DD8" w:rsidRDefault="00C2547F" w:rsidP="00C2547F">
      <w:pPr>
        <w:jc w:val="center"/>
        <w:rPr>
          <w:rFonts w:ascii="David" w:hAnsi="David"/>
          <w:b/>
          <w:bCs/>
          <w:sz w:val="28"/>
          <w:szCs w:val="28"/>
          <w:rtl/>
        </w:rPr>
      </w:pPr>
      <w:r w:rsidRPr="00161DD8">
        <w:rPr>
          <w:rFonts w:ascii="David" w:hAnsi="David"/>
          <w:b/>
          <w:bCs/>
          <w:sz w:val="28"/>
          <w:szCs w:val="28"/>
          <w:rtl/>
        </w:rPr>
        <w:t>תיבה מתוך דו"ח בנק ישראל לשנת 2021:</w:t>
      </w:r>
    </w:p>
    <w:p w14:paraId="09B351E6" w14:textId="77777777" w:rsidR="00C2547F" w:rsidRPr="00C2547F" w:rsidRDefault="00C2547F" w:rsidP="00C2547F">
      <w:pPr>
        <w:jc w:val="center"/>
        <w:rPr>
          <w:rFonts w:ascii="David" w:hAnsi="David"/>
          <w:b/>
          <w:bCs/>
          <w:sz w:val="28"/>
          <w:szCs w:val="28"/>
        </w:rPr>
      </w:pPr>
      <w:r w:rsidRPr="00C2547F">
        <w:rPr>
          <w:rFonts w:ascii="David" w:hAnsi="David" w:hint="eastAsia"/>
          <w:b/>
          <w:bCs/>
          <w:sz w:val="28"/>
          <w:szCs w:val="28"/>
          <w:rtl/>
        </w:rPr>
        <w:t>ה</w:t>
      </w:r>
      <w:r w:rsidRPr="00C2547F">
        <w:rPr>
          <w:rFonts w:ascii="David" w:hAnsi="David"/>
          <w:b/>
          <w:bCs/>
          <w:sz w:val="28"/>
          <w:szCs w:val="28"/>
          <w:rtl/>
        </w:rPr>
        <w:t>השפ</w:t>
      </w:r>
      <w:bookmarkStart w:id="1" w:name="_GoBack"/>
      <w:bookmarkEnd w:id="1"/>
      <w:r w:rsidRPr="00C2547F">
        <w:rPr>
          <w:rFonts w:ascii="David" w:hAnsi="David"/>
          <w:b/>
          <w:bCs/>
          <w:sz w:val="28"/>
          <w:szCs w:val="28"/>
          <w:rtl/>
        </w:rPr>
        <w:t>ע</w:t>
      </w:r>
      <w:r w:rsidRPr="00C2547F">
        <w:rPr>
          <w:rFonts w:ascii="David" w:hAnsi="David" w:hint="eastAsia"/>
          <w:b/>
          <w:bCs/>
          <w:sz w:val="28"/>
          <w:szCs w:val="28"/>
          <w:rtl/>
        </w:rPr>
        <w:t>ה</w:t>
      </w:r>
      <w:r w:rsidRPr="00C2547F">
        <w:rPr>
          <w:rFonts w:ascii="David" w:hAnsi="David"/>
          <w:b/>
          <w:bCs/>
          <w:sz w:val="28"/>
          <w:szCs w:val="28"/>
          <w:rtl/>
        </w:rPr>
        <w:t xml:space="preserve"> </w:t>
      </w:r>
      <w:r w:rsidRPr="00C2547F">
        <w:rPr>
          <w:rFonts w:ascii="David" w:hAnsi="David" w:hint="eastAsia"/>
          <w:b/>
          <w:bCs/>
          <w:sz w:val="28"/>
          <w:szCs w:val="28"/>
          <w:rtl/>
        </w:rPr>
        <w:t>הצפויה</w:t>
      </w:r>
      <w:r w:rsidRPr="00C2547F">
        <w:rPr>
          <w:rFonts w:ascii="David" w:hAnsi="David"/>
          <w:b/>
          <w:bCs/>
          <w:sz w:val="28"/>
          <w:szCs w:val="28"/>
          <w:rtl/>
        </w:rPr>
        <w:t xml:space="preserve"> של </w:t>
      </w:r>
      <w:r w:rsidRPr="00C2547F">
        <w:rPr>
          <w:rFonts w:ascii="David" w:hAnsi="David" w:hint="cs"/>
          <w:b/>
          <w:bCs/>
          <w:sz w:val="28"/>
          <w:szCs w:val="28"/>
          <w:rtl/>
        </w:rPr>
        <w:t xml:space="preserve">ביטול אג"ח מיועדות בקרנות הפנסיה </w:t>
      </w:r>
      <w:r w:rsidRPr="00C2547F">
        <w:rPr>
          <w:rFonts w:ascii="David" w:hAnsi="David"/>
          <w:b/>
          <w:bCs/>
          <w:sz w:val="28"/>
          <w:szCs w:val="28"/>
          <w:rtl/>
        </w:rPr>
        <w:t xml:space="preserve"> </w:t>
      </w:r>
    </w:p>
    <w:p w14:paraId="06DD599E" w14:textId="77777777" w:rsidR="00CD7D0F" w:rsidRPr="00C2547F" w:rsidRDefault="00CD7D0F" w:rsidP="00CD7D0F">
      <w:pPr>
        <w:rPr>
          <w:rtl/>
        </w:rPr>
      </w:pPr>
    </w:p>
    <w:p w14:paraId="4F3A6E43" w14:textId="129CD74F" w:rsidR="00CD7D0F" w:rsidRDefault="00CD7D0F" w:rsidP="00C2547F">
      <w:pPr>
        <w:pStyle w:val="a5"/>
        <w:numPr>
          <w:ilvl w:val="0"/>
          <w:numId w:val="14"/>
        </w:numPr>
        <w:spacing w:line="360" w:lineRule="auto"/>
        <w:ind w:left="379"/>
        <w:jc w:val="both"/>
      </w:pPr>
      <w:r w:rsidRPr="00B35B6B">
        <w:rPr>
          <w:rFonts w:hint="cs"/>
          <w:rtl/>
        </w:rPr>
        <w:t xml:space="preserve">בשנת 2021 </w:t>
      </w:r>
      <w:r>
        <w:rPr>
          <w:rFonts w:hint="cs"/>
          <w:rtl/>
        </w:rPr>
        <w:t>עברה בחקיקה</w:t>
      </w:r>
      <w:r w:rsidRPr="00B35B6B">
        <w:rPr>
          <w:rFonts w:hint="cs"/>
          <w:rtl/>
        </w:rPr>
        <w:t xml:space="preserve"> רפורמה שמבטלת את ההשקעה </w:t>
      </w:r>
      <w:r w:rsidRPr="00B35B6B">
        <w:rPr>
          <w:rFonts w:hint="eastAsia"/>
          <w:rtl/>
        </w:rPr>
        <w:t>של</w:t>
      </w:r>
      <w:r w:rsidRPr="00B35B6B">
        <w:rPr>
          <w:rtl/>
        </w:rPr>
        <w:t xml:space="preserve"> </w:t>
      </w:r>
      <w:r w:rsidRPr="00B35B6B">
        <w:rPr>
          <w:rFonts w:hint="eastAsia"/>
          <w:rtl/>
        </w:rPr>
        <w:t>קרנות</w:t>
      </w:r>
      <w:r w:rsidRPr="00B35B6B">
        <w:rPr>
          <w:rtl/>
        </w:rPr>
        <w:t xml:space="preserve"> </w:t>
      </w:r>
      <w:r w:rsidRPr="00B35B6B">
        <w:rPr>
          <w:rFonts w:hint="eastAsia"/>
          <w:rtl/>
        </w:rPr>
        <w:t>הפנסיה</w:t>
      </w:r>
      <w:r w:rsidRPr="00B35B6B">
        <w:rPr>
          <w:rFonts w:hint="cs"/>
          <w:rtl/>
        </w:rPr>
        <w:t xml:space="preserve"> באג"ח מיועדות ומציעה חלופה </w:t>
      </w:r>
      <w:r w:rsidRPr="00B35B6B">
        <w:rPr>
          <w:rFonts w:hint="eastAsia"/>
          <w:rtl/>
        </w:rPr>
        <w:t>–</w:t>
      </w:r>
      <w:r w:rsidRPr="00B35B6B">
        <w:rPr>
          <w:rFonts w:hint="cs"/>
          <w:rtl/>
        </w:rPr>
        <w:t xml:space="preserve"> </w:t>
      </w:r>
      <w:r w:rsidRPr="00CD7D0F">
        <w:rPr>
          <w:rtl/>
        </w:rPr>
        <w:t>הבטחת תשואה של 5.15% על 30% מתיק הנכסים.</w:t>
      </w:r>
    </w:p>
    <w:p w14:paraId="069A6C6F" w14:textId="1579F739" w:rsidR="00CD7D0F" w:rsidRPr="00B35B6B" w:rsidRDefault="00CD7D0F" w:rsidP="00C2547F">
      <w:pPr>
        <w:pStyle w:val="a5"/>
        <w:numPr>
          <w:ilvl w:val="0"/>
          <w:numId w:val="14"/>
        </w:numPr>
        <w:spacing w:line="360" w:lineRule="auto"/>
        <w:ind w:left="379"/>
        <w:jc w:val="both"/>
        <w:rPr>
          <w:rtl/>
        </w:rPr>
      </w:pPr>
      <w:r w:rsidRPr="00B35B6B">
        <w:rPr>
          <w:rFonts w:hint="cs"/>
          <w:rtl/>
        </w:rPr>
        <w:t xml:space="preserve">נראה שהיקף השוק המקומי קטן ביחס לגודלו של תיק הפנסיה (והמוסדיים בכלל) ולהיקף ההפקדות </w:t>
      </w:r>
      <w:r w:rsidRPr="00B35B6B">
        <w:rPr>
          <w:rFonts w:hint="eastAsia"/>
          <w:rtl/>
        </w:rPr>
        <w:t>נטו</w:t>
      </w:r>
      <w:r w:rsidR="00C2547F">
        <w:rPr>
          <w:rFonts w:hint="cs"/>
          <w:rtl/>
        </w:rPr>
        <w:t xml:space="preserve">. נוסף לכך, </w:t>
      </w:r>
      <w:r w:rsidRPr="00B35B6B">
        <w:rPr>
          <w:rFonts w:hint="eastAsia"/>
          <w:rtl/>
        </w:rPr>
        <w:t>בשוק</w:t>
      </w:r>
      <w:r w:rsidRPr="00B35B6B">
        <w:rPr>
          <w:rtl/>
        </w:rPr>
        <w:t xml:space="preserve"> פועלים </w:t>
      </w:r>
      <w:r w:rsidRPr="00B35B6B">
        <w:rPr>
          <w:rFonts w:hint="eastAsia"/>
          <w:rtl/>
        </w:rPr>
        <w:t>משקיעים</w:t>
      </w:r>
      <w:r w:rsidRPr="00B35B6B">
        <w:rPr>
          <w:rtl/>
        </w:rPr>
        <w:t xml:space="preserve"> נוספים, לטווח ארוך </w:t>
      </w:r>
      <w:r w:rsidRPr="00B35B6B">
        <w:rPr>
          <w:rFonts w:hint="eastAsia"/>
          <w:rtl/>
        </w:rPr>
        <w:t>וקצר</w:t>
      </w:r>
      <w:r w:rsidRPr="00B35B6B">
        <w:rPr>
          <w:rtl/>
        </w:rPr>
        <w:t xml:space="preserve">. </w:t>
      </w:r>
    </w:p>
    <w:p w14:paraId="2265FC98" w14:textId="77777777" w:rsidR="00C2547F" w:rsidRDefault="00CD7D0F" w:rsidP="00C2547F">
      <w:pPr>
        <w:pStyle w:val="a5"/>
        <w:numPr>
          <w:ilvl w:val="0"/>
          <w:numId w:val="14"/>
        </w:numPr>
        <w:ind w:left="379"/>
        <w:jc w:val="both"/>
      </w:pPr>
      <w:r>
        <w:rPr>
          <w:rFonts w:hint="cs"/>
          <w:rtl/>
        </w:rPr>
        <w:t>ביטול אג"ח מיועדות צפוי להגדיל את</w:t>
      </w:r>
      <w:r w:rsidRPr="00B35B6B">
        <w:rPr>
          <w:rFonts w:hint="cs"/>
          <w:rtl/>
        </w:rPr>
        <w:t xml:space="preserve"> רכיב הנכסים הזרים בתיק של קרנות הפנסיה החדשות</w:t>
      </w:r>
      <w:r w:rsidR="00C2547F">
        <w:rPr>
          <w:rFonts w:hint="cs"/>
          <w:rtl/>
        </w:rPr>
        <w:t>.</w:t>
      </w:r>
    </w:p>
    <w:p w14:paraId="4C9CE275" w14:textId="7599A543" w:rsidR="00CD7D0F" w:rsidRPr="00CD7D0F" w:rsidRDefault="00CD7D0F" w:rsidP="00C2547F">
      <w:pPr>
        <w:pStyle w:val="a5"/>
        <w:ind w:left="379"/>
        <w:jc w:val="both"/>
        <w:rPr>
          <w:rtl/>
        </w:rPr>
      </w:pPr>
      <w:r w:rsidRPr="00B35B6B">
        <w:rPr>
          <w:rFonts w:hint="cs"/>
          <w:rtl/>
        </w:rPr>
        <w:t xml:space="preserve"> </w:t>
      </w:r>
    </w:p>
    <w:p w14:paraId="4A52D671" w14:textId="21BA7E94" w:rsidR="009B263E" w:rsidRPr="00B35B6B" w:rsidRDefault="009B263E" w:rsidP="00C2547F">
      <w:pPr>
        <w:spacing w:line="360" w:lineRule="auto"/>
        <w:jc w:val="both"/>
        <w:rPr>
          <w:rtl/>
        </w:rPr>
      </w:pPr>
      <w:bookmarkStart w:id="2" w:name="_Hlk97662156"/>
      <w:r w:rsidRPr="00B35B6B">
        <w:rPr>
          <w:rFonts w:ascii="David" w:hAnsi="David" w:hint="cs"/>
          <w:rtl/>
        </w:rPr>
        <w:t xml:space="preserve">בשני העשורים הקודמים </w:t>
      </w:r>
      <w:r w:rsidR="0057077F" w:rsidRPr="00B35B6B">
        <w:rPr>
          <w:rFonts w:ascii="David" w:hAnsi="David" w:hint="cs"/>
          <w:rtl/>
        </w:rPr>
        <w:t xml:space="preserve">ננקטו </w:t>
      </w:r>
      <w:r w:rsidRPr="00B35B6B">
        <w:rPr>
          <w:rFonts w:ascii="David" w:hAnsi="David" w:hint="cs"/>
          <w:rtl/>
        </w:rPr>
        <w:t xml:space="preserve">מספר </w:t>
      </w:r>
      <w:r w:rsidRPr="00B35B6B">
        <w:rPr>
          <w:rFonts w:hint="cs"/>
          <w:rtl/>
        </w:rPr>
        <w:t xml:space="preserve">צעדי חקיקה ושינויים רגולטוריים משמעותיים בתחום </w:t>
      </w:r>
      <w:r w:rsidR="0057077F" w:rsidRPr="00B35B6B">
        <w:rPr>
          <w:rFonts w:hint="cs"/>
          <w:rtl/>
        </w:rPr>
        <w:t>ה</w:t>
      </w:r>
      <w:r w:rsidRPr="00B35B6B">
        <w:rPr>
          <w:rFonts w:hint="cs"/>
          <w:rtl/>
        </w:rPr>
        <w:t>ח</w:t>
      </w:r>
      <w:r w:rsidR="0057077F" w:rsidRPr="00B35B6B">
        <w:rPr>
          <w:rFonts w:hint="cs"/>
          <w:rtl/>
        </w:rPr>
        <w:t>י</w:t>
      </w:r>
      <w:r w:rsidRPr="00B35B6B">
        <w:rPr>
          <w:rFonts w:hint="cs"/>
          <w:rtl/>
        </w:rPr>
        <w:t xml:space="preserve">סכון ארוך הטווח. </w:t>
      </w:r>
      <w:r w:rsidR="00F15F3F" w:rsidRPr="00B35B6B">
        <w:rPr>
          <w:rFonts w:hint="cs"/>
          <w:rtl/>
        </w:rPr>
        <w:t xml:space="preserve">עם </w:t>
      </w:r>
      <w:r w:rsidRPr="00B35B6B">
        <w:rPr>
          <w:rFonts w:hint="cs"/>
          <w:rtl/>
        </w:rPr>
        <w:t xml:space="preserve">השינויים העיקריים </w:t>
      </w:r>
      <w:r w:rsidR="00F15F3F" w:rsidRPr="00B35B6B">
        <w:rPr>
          <w:rFonts w:hint="cs"/>
          <w:rtl/>
        </w:rPr>
        <w:t>נמנות</w:t>
      </w:r>
      <w:r w:rsidRPr="00B35B6B">
        <w:rPr>
          <w:rFonts w:hint="cs"/>
          <w:rtl/>
        </w:rPr>
        <w:t xml:space="preserve"> </w:t>
      </w:r>
      <w:r w:rsidRPr="00B35B6B">
        <w:rPr>
          <w:rFonts w:ascii="David" w:hAnsi="David"/>
          <w:rtl/>
        </w:rPr>
        <w:t>החלת פנסיה חובה על כלל המועסקים במשק והעלאת גיל הפרישה</w:t>
      </w:r>
      <w:r w:rsidR="00F15F3F" w:rsidRPr="00B35B6B">
        <w:rPr>
          <w:rFonts w:ascii="David" w:hAnsi="David" w:hint="cs"/>
          <w:rtl/>
        </w:rPr>
        <w:t>,</w:t>
      </w:r>
      <w:r w:rsidRPr="00B35B6B">
        <w:rPr>
          <w:rFonts w:ascii="David" w:hAnsi="David" w:hint="cs"/>
          <w:rtl/>
        </w:rPr>
        <w:t xml:space="preserve"> לצד שינויים מבניים </w:t>
      </w:r>
      <w:r w:rsidRPr="00B35B6B">
        <w:rPr>
          <w:rFonts w:ascii="David" w:hAnsi="David" w:hint="eastAsia"/>
          <w:rtl/>
        </w:rPr>
        <w:t>כמו</w:t>
      </w:r>
      <w:r w:rsidRPr="00B35B6B">
        <w:rPr>
          <w:rFonts w:ascii="David" w:hAnsi="David" w:hint="cs"/>
          <w:rtl/>
        </w:rPr>
        <w:t xml:space="preserve"> רפורמת בכר, </w:t>
      </w:r>
      <w:r w:rsidRPr="00B35B6B">
        <w:rPr>
          <w:rFonts w:ascii="David" w:hAnsi="David"/>
          <w:rtl/>
        </w:rPr>
        <w:t>פתיחת קרנות פנסיה חדשות</w:t>
      </w:r>
      <w:r w:rsidRPr="00B35B6B">
        <w:rPr>
          <w:rFonts w:ascii="David" w:hAnsi="David" w:hint="cs"/>
          <w:rtl/>
        </w:rPr>
        <w:t xml:space="preserve"> ורפורמות בתחום מיסוי שוק ההון. השינויים הללו באו לידי ביטוי בצמיחה מהירה של היקפי הנכסים המנוהלים </w:t>
      </w:r>
      <w:r w:rsidR="00736891" w:rsidRPr="00B35B6B">
        <w:rPr>
          <w:rFonts w:ascii="David" w:hAnsi="David" w:hint="cs"/>
          <w:rtl/>
        </w:rPr>
        <w:t>ב</w:t>
      </w:r>
      <w:r w:rsidRPr="00B35B6B">
        <w:rPr>
          <w:rFonts w:ascii="David" w:hAnsi="David" w:hint="cs"/>
          <w:rtl/>
        </w:rPr>
        <w:t>ידי קרנות הפנסיה</w:t>
      </w:r>
      <w:r w:rsidR="00736891" w:rsidRPr="00B35B6B">
        <w:rPr>
          <w:rFonts w:ascii="David" w:hAnsi="David" w:hint="cs"/>
          <w:rtl/>
        </w:rPr>
        <w:t>.</w:t>
      </w:r>
      <w:r w:rsidRPr="00B35B6B">
        <w:rPr>
          <w:rFonts w:ascii="David" w:hAnsi="David" w:hint="cs"/>
          <w:rtl/>
        </w:rPr>
        <w:t xml:space="preserve"> </w:t>
      </w:r>
      <w:r w:rsidR="00736891" w:rsidRPr="00B35B6B">
        <w:rPr>
          <w:rFonts w:ascii="David" w:hAnsi="David" w:hint="cs"/>
          <w:rtl/>
        </w:rPr>
        <w:t xml:space="preserve">אלה </w:t>
      </w:r>
      <w:r w:rsidRPr="00B35B6B">
        <w:rPr>
          <w:rFonts w:hint="cs"/>
          <w:rtl/>
        </w:rPr>
        <w:t xml:space="preserve">מנהלות את חלק הארי של חסכון הציבור לטווח ארוך ונהנות מזרימת הון מתמדת כתוצאה של הפקדות העמיתים </w:t>
      </w:r>
      <w:bookmarkEnd w:id="2"/>
      <w:r w:rsidRPr="00B35B6B">
        <w:rPr>
          <w:rFonts w:hint="cs"/>
          <w:rtl/>
        </w:rPr>
        <w:t>(</w:t>
      </w:r>
      <w:r w:rsidR="00F15F3F" w:rsidRPr="00B35B6B">
        <w:rPr>
          <w:rFonts w:hint="cs"/>
          <w:rtl/>
        </w:rPr>
        <w:t>ה</w:t>
      </w:r>
      <w:r w:rsidRPr="00B35B6B">
        <w:rPr>
          <w:rFonts w:hint="cs"/>
          <w:rtl/>
        </w:rPr>
        <w:t>הפרשות לפנסיה</w:t>
      </w:r>
      <w:r w:rsidR="00F15F3F" w:rsidRPr="00B35B6B">
        <w:rPr>
          <w:rFonts w:hint="cs"/>
          <w:rtl/>
        </w:rPr>
        <w:t>,</w:t>
      </w:r>
      <w:r w:rsidRPr="00B35B6B">
        <w:rPr>
          <w:rFonts w:hint="cs"/>
          <w:rtl/>
        </w:rPr>
        <w:t xml:space="preserve"> שהן חובה לפי חוק). מטרתן</w:t>
      </w:r>
      <w:r w:rsidRPr="00B35B6B">
        <w:t xml:space="preserve"> </w:t>
      </w:r>
      <w:r w:rsidRPr="00B35B6B">
        <w:rPr>
          <w:rFonts w:hint="cs"/>
          <w:rtl/>
        </w:rPr>
        <w:t xml:space="preserve">של קרנות הפנסיה </w:t>
      </w:r>
      <w:r w:rsidR="0057077F" w:rsidRPr="00B35B6B">
        <w:rPr>
          <w:rFonts w:hint="cs"/>
          <w:rtl/>
        </w:rPr>
        <w:t xml:space="preserve">היא </w:t>
      </w:r>
      <w:r w:rsidRPr="00B35B6B">
        <w:rPr>
          <w:rFonts w:hint="cs"/>
          <w:rtl/>
        </w:rPr>
        <w:t xml:space="preserve">להשקיע את הנכסים המנוהלים לטווח ארוך </w:t>
      </w:r>
      <w:r w:rsidR="0057077F" w:rsidRPr="00B35B6B">
        <w:rPr>
          <w:rFonts w:hint="cs"/>
          <w:rtl/>
        </w:rPr>
        <w:t>לשם מירוב (מקסימיזציה)</w:t>
      </w:r>
      <w:r w:rsidRPr="00B35B6B">
        <w:rPr>
          <w:rFonts w:hint="cs"/>
          <w:rtl/>
        </w:rPr>
        <w:t xml:space="preserve"> </w:t>
      </w:r>
      <w:r w:rsidR="008C0F08" w:rsidRPr="00B35B6B">
        <w:rPr>
          <w:rFonts w:hint="cs"/>
          <w:rtl/>
        </w:rPr>
        <w:t>של ה</w:t>
      </w:r>
      <w:r w:rsidRPr="00B35B6B">
        <w:rPr>
          <w:rFonts w:hint="cs"/>
          <w:rtl/>
        </w:rPr>
        <w:t xml:space="preserve">תשואה </w:t>
      </w:r>
      <w:r w:rsidR="008C0F08" w:rsidRPr="00B35B6B">
        <w:rPr>
          <w:rFonts w:hint="cs"/>
          <w:rtl/>
        </w:rPr>
        <w:t xml:space="preserve">והבטחת פנסיה הולמת </w:t>
      </w:r>
      <w:r w:rsidRPr="00B35B6B">
        <w:rPr>
          <w:rFonts w:hint="cs"/>
          <w:rtl/>
        </w:rPr>
        <w:t>לעמיתים.</w:t>
      </w:r>
    </w:p>
    <w:p w14:paraId="66F98337" w14:textId="7416DB26" w:rsidR="009B263E" w:rsidRPr="00B35B6B" w:rsidRDefault="009B263E" w:rsidP="00C2547F">
      <w:pPr>
        <w:spacing w:line="360" w:lineRule="auto"/>
        <w:jc w:val="both"/>
        <w:rPr>
          <w:rtl/>
        </w:rPr>
      </w:pPr>
      <w:bookmarkStart w:id="3" w:name="_Hlk97662214"/>
      <w:r w:rsidRPr="00B35B6B">
        <w:rPr>
          <w:rFonts w:hint="cs"/>
          <w:rtl/>
        </w:rPr>
        <w:t xml:space="preserve">קרנות הפנסיה משקיעות חלק מנכסיהן </w:t>
      </w:r>
      <w:r w:rsidR="008C0F08" w:rsidRPr="00B35B6B">
        <w:rPr>
          <w:rFonts w:hint="cs"/>
          <w:rtl/>
        </w:rPr>
        <w:t>באג"ח</w:t>
      </w:r>
      <w:r w:rsidRPr="00B35B6B">
        <w:rPr>
          <w:rFonts w:hint="cs"/>
          <w:rtl/>
        </w:rPr>
        <w:t xml:space="preserve"> מיועדות (אג"ח </w:t>
      </w:r>
      <w:r w:rsidR="008C0F08" w:rsidRPr="00B35B6B">
        <w:rPr>
          <w:rFonts w:hint="cs"/>
          <w:rtl/>
        </w:rPr>
        <w:t>שמנפיקה</w:t>
      </w:r>
      <w:r w:rsidRPr="00B35B6B">
        <w:rPr>
          <w:rFonts w:hint="cs"/>
          <w:rtl/>
        </w:rPr>
        <w:t xml:space="preserve"> הממשלה</w:t>
      </w:r>
      <w:r w:rsidR="008C0F08" w:rsidRPr="00B35B6B">
        <w:rPr>
          <w:rFonts w:hint="cs"/>
          <w:rtl/>
        </w:rPr>
        <w:t>)</w:t>
      </w:r>
      <w:r w:rsidR="00F15F3F" w:rsidRPr="00B35B6B">
        <w:rPr>
          <w:rFonts w:hint="cs"/>
          <w:rtl/>
        </w:rPr>
        <w:t>,</w:t>
      </w:r>
      <w:r w:rsidRPr="00B35B6B">
        <w:rPr>
          <w:rFonts w:hint="cs"/>
          <w:rtl/>
        </w:rPr>
        <w:t xml:space="preserve"> </w:t>
      </w:r>
      <w:r w:rsidR="00F15F3F" w:rsidRPr="00B35B6B">
        <w:rPr>
          <w:rFonts w:hint="cs"/>
          <w:rtl/>
        </w:rPr>
        <w:t xml:space="preserve">המבטיחות </w:t>
      </w:r>
      <w:r w:rsidRPr="00B35B6B">
        <w:rPr>
          <w:rFonts w:hint="cs"/>
          <w:rtl/>
        </w:rPr>
        <w:t>תשואה ריאלית של 4.8%</w:t>
      </w:r>
      <w:bookmarkEnd w:id="3"/>
      <w:r w:rsidR="008C0F08" w:rsidRPr="00B35B6B">
        <w:rPr>
          <w:rFonts w:hint="cs"/>
          <w:rtl/>
        </w:rPr>
        <w:t xml:space="preserve">. </w:t>
      </w:r>
      <w:r w:rsidRPr="00B35B6B">
        <w:rPr>
          <w:rFonts w:hint="cs"/>
          <w:rtl/>
        </w:rPr>
        <w:t>מדובר בהטבה משמעותית</w:t>
      </w:r>
      <w:r w:rsidR="008C0F08" w:rsidRPr="00B35B6B">
        <w:rPr>
          <w:rFonts w:hint="cs"/>
          <w:rtl/>
        </w:rPr>
        <w:t xml:space="preserve">, שהשתנתה </w:t>
      </w:r>
      <w:r w:rsidRPr="00B35B6B">
        <w:rPr>
          <w:rFonts w:hint="cs"/>
          <w:rtl/>
        </w:rPr>
        <w:t xml:space="preserve">עם הזמן. בשנת 2003 </w:t>
      </w:r>
      <w:r w:rsidR="00F15F3F" w:rsidRPr="00B35B6B">
        <w:rPr>
          <w:rFonts w:hint="eastAsia"/>
          <w:rtl/>
        </w:rPr>
        <w:t>נערכה</w:t>
      </w:r>
      <w:r w:rsidR="00F15F3F" w:rsidRPr="00B35B6B">
        <w:rPr>
          <w:rFonts w:hint="cs"/>
          <w:rtl/>
        </w:rPr>
        <w:t xml:space="preserve"> </w:t>
      </w:r>
      <w:r w:rsidRPr="00B35B6B">
        <w:rPr>
          <w:rFonts w:hint="cs"/>
          <w:rtl/>
        </w:rPr>
        <w:t>רפורמה</w:t>
      </w:r>
      <w:r w:rsidR="00001D11" w:rsidRPr="00B35B6B">
        <w:rPr>
          <w:rFonts w:hint="cs"/>
          <w:rtl/>
        </w:rPr>
        <w:t>,</w:t>
      </w:r>
      <w:r w:rsidRPr="00B35B6B">
        <w:rPr>
          <w:rFonts w:hint="cs"/>
          <w:rtl/>
        </w:rPr>
        <w:t xml:space="preserve"> שקבעה </w:t>
      </w:r>
      <w:r w:rsidR="008C0F08" w:rsidRPr="00B35B6B">
        <w:rPr>
          <w:rFonts w:hint="cs"/>
          <w:rtl/>
        </w:rPr>
        <w:t xml:space="preserve">כי שיעור </w:t>
      </w:r>
      <w:r w:rsidRPr="00B35B6B">
        <w:rPr>
          <w:rFonts w:hint="cs"/>
          <w:rtl/>
        </w:rPr>
        <w:t xml:space="preserve">ההשקעה של הקרנות באג"ח מיועדות יצומצם </w:t>
      </w:r>
      <w:r w:rsidR="008C0F08" w:rsidRPr="00B35B6B">
        <w:rPr>
          <w:rFonts w:hint="cs"/>
          <w:rtl/>
        </w:rPr>
        <w:t>מ-</w:t>
      </w:r>
      <w:r w:rsidRPr="00B35B6B">
        <w:rPr>
          <w:rFonts w:hint="cs"/>
          <w:rtl/>
        </w:rPr>
        <w:t xml:space="preserve">70% </w:t>
      </w:r>
      <w:r w:rsidR="008C0F08" w:rsidRPr="00B35B6B">
        <w:rPr>
          <w:rFonts w:hint="cs"/>
          <w:rtl/>
        </w:rPr>
        <w:t>ל-</w:t>
      </w:r>
      <w:r w:rsidRPr="00B35B6B">
        <w:rPr>
          <w:rFonts w:hint="cs"/>
          <w:rtl/>
        </w:rPr>
        <w:t xml:space="preserve">30%. </w:t>
      </w:r>
      <w:r w:rsidR="008C0F08" w:rsidRPr="00B35B6B">
        <w:rPr>
          <w:rFonts w:hint="cs"/>
          <w:rtl/>
        </w:rPr>
        <w:t xml:space="preserve">לפיכך חולקו </w:t>
      </w:r>
      <w:r w:rsidRPr="00B35B6B">
        <w:rPr>
          <w:rFonts w:hint="cs"/>
          <w:rtl/>
        </w:rPr>
        <w:t>קרנות הפנסיה לקרנות פנסיה ותיקות</w:t>
      </w:r>
      <w:r w:rsidR="008C0F08" w:rsidRPr="00B35B6B">
        <w:rPr>
          <w:rFonts w:hint="cs"/>
          <w:rtl/>
        </w:rPr>
        <w:t>,</w:t>
      </w:r>
      <w:r w:rsidRPr="00B35B6B">
        <w:rPr>
          <w:rFonts w:hint="cs"/>
          <w:rtl/>
        </w:rPr>
        <w:t xml:space="preserve"> ששיעור </w:t>
      </w:r>
      <w:r w:rsidR="008C0F08" w:rsidRPr="00B35B6B">
        <w:rPr>
          <w:rFonts w:hint="cs"/>
          <w:rtl/>
        </w:rPr>
        <w:t>ה</w:t>
      </w:r>
      <w:r w:rsidRPr="00B35B6B">
        <w:rPr>
          <w:rFonts w:hint="cs"/>
          <w:rtl/>
        </w:rPr>
        <w:t xml:space="preserve">אג"ח </w:t>
      </w:r>
      <w:r w:rsidR="008C0F08" w:rsidRPr="00B35B6B">
        <w:rPr>
          <w:rFonts w:hint="cs"/>
          <w:rtl/>
        </w:rPr>
        <w:t>ה</w:t>
      </w:r>
      <w:r w:rsidRPr="00B35B6B">
        <w:rPr>
          <w:rFonts w:hint="cs"/>
          <w:rtl/>
        </w:rPr>
        <w:t xml:space="preserve">מיועדות </w:t>
      </w:r>
      <w:r w:rsidR="008C0F08" w:rsidRPr="00B35B6B">
        <w:rPr>
          <w:rFonts w:hint="cs"/>
          <w:rtl/>
        </w:rPr>
        <w:t>אצלן כ-</w:t>
      </w:r>
      <w:r w:rsidRPr="00B35B6B">
        <w:rPr>
          <w:rFonts w:hint="cs"/>
          <w:rtl/>
        </w:rPr>
        <w:t>70</w:t>
      </w:r>
      <w:r w:rsidR="008C0F08" w:rsidRPr="00B35B6B">
        <w:rPr>
          <w:rFonts w:hint="cs"/>
          <w:rtl/>
        </w:rPr>
        <w:t>%,</w:t>
      </w:r>
      <w:r w:rsidR="00001D11" w:rsidRPr="00B35B6B">
        <w:rPr>
          <w:rFonts w:hint="cs"/>
          <w:rtl/>
        </w:rPr>
        <w:t xml:space="preserve"> </w:t>
      </w:r>
      <w:r w:rsidRPr="00B35B6B">
        <w:rPr>
          <w:rFonts w:hint="cs"/>
          <w:rtl/>
        </w:rPr>
        <w:t>וקרנות פנסיה חדשות</w:t>
      </w:r>
      <w:r w:rsidR="008C0F08" w:rsidRPr="00B35B6B">
        <w:rPr>
          <w:rFonts w:hint="cs"/>
          <w:rtl/>
        </w:rPr>
        <w:t>,</w:t>
      </w:r>
      <w:r w:rsidRPr="00B35B6B">
        <w:rPr>
          <w:rStyle w:val="ad"/>
          <w:rtl/>
        </w:rPr>
        <w:footnoteReference w:id="1"/>
      </w:r>
      <w:r w:rsidRPr="00B35B6B">
        <w:rPr>
          <w:rFonts w:hint="cs"/>
          <w:rtl/>
        </w:rPr>
        <w:t xml:space="preserve"> ששיעור </w:t>
      </w:r>
      <w:r w:rsidR="008C0F08" w:rsidRPr="00B35B6B">
        <w:rPr>
          <w:rFonts w:hint="cs"/>
          <w:rtl/>
        </w:rPr>
        <w:t>ה</w:t>
      </w:r>
      <w:r w:rsidRPr="00B35B6B">
        <w:rPr>
          <w:rFonts w:hint="cs"/>
          <w:rtl/>
        </w:rPr>
        <w:t xml:space="preserve">אג"ח </w:t>
      </w:r>
      <w:r w:rsidR="00001D11" w:rsidRPr="00B35B6B">
        <w:rPr>
          <w:rFonts w:hint="eastAsia"/>
          <w:rtl/>
        </w:rPr>
        <w:t>האלה</w:t>
      </w:r>
      <w:r w:rsidR="00001D11" w:rsidRPr="00B35B6B">
        <w:rPr>
          <w:rFonts w:hint="cs"/>
          <w:rtl/>
        </w:rPr>
        <w:t xml:space="preserve"> </w:t>
      </w:r>
      <w:r w:rsidR="008C0F08" w:rsidRPr="00B35B6B">
        <w:rPr>
          <w:rFonts w:hint="cs"/>
          <w:rtl/>
        </w:rPr>
        <w:t>אצלן כ-</w:t>
      </w:r>
      <w:r w:rsidRPr="00B35B6B">
        <w:rPr>
          <w:rFonts w:hint="cs"/>
          <w:rtl/>
        </w:rPr>
        <w:t xml:space="preserve">30%. </w:t>
      </w:r>
      <w:r w:rsidRPr="00B35B6B">
        <w:t xml:space="preserve"> </w:t>
      </w:r>
      <w:r w:rsidRPr="00B35B6B">
        <w:rPr>
          <w:rFonts w:hint="cs"/>
          <w:rtl/>
        </w:rPr>
        <w:t>רנות הפנסיה הוותיקות אינן פתוחות להפקדות עמיתים חדשים</w:t>
      </w:r>
      <w:r w:rsidR="008C0F08" w:rsidRPr="00B35B6B">
        <w:rPr>
          <w:rFonts w:hint="cs"/>
          <w:rtl/>
        </w:rPr>
        <w:t>,</w:t>
      </w:r>
      <w:r w:rsidRPr="00B35B6B">
        <w:rPr>
          <w:rFonts w:hint="cs"/>
          <w:rtl/>
        </w:rPr>
        <w:t xml:space="preserve"> ולכן </w:t>
      </w:r>
      <w:r w:rsidR="00F41A34" w:rsidRPr="00B35B6B">
        <w:rPr>
          <w:rFonts w:hint="cs"/>
          <w:rtl/>
        </w:rPr>
        <w:t>התיבה</w:t>
      </w:r>
      <w:r w:rsidRPr="00B35B6B">
        <w:rPr>
          <w:rFonts w:hint="cs"/>
          <w:rtl/>
        </w:rPr>
        <w:t xml:space="preserve"> תתמקד בקרנות הפנסיה החדשות.</w:t>
      </w:r>
    </w:p>
    <w:p w14:paraId="0D2BD0D7" w14:textId="64C22551" w:rsidR="009B263E" w:rsidRPr="00B35B6B" w:rsidRDefault="009B263E" w:rsidP="00C2547F">
      <w:pPr>
        <w:spacing w:line="360" w:lineRule="auto"/>
        <w:jc w:val="both"/>
        <w:rPr>
          <w:rtl/>
        </w:rPr>
      </w:pPr>
      <w:bookmarkStart w:id="4" w:name="_Hlk97662226"/>
      <w:r w:rsidRPr="00B35B6B">
        <w:rPr>
          <w:rFonts w:hint="cs"/>
          <w:rtl/>
        </w:rPr>
        <w:t xml:space="preserve">בשנת 2021 </w:t>
      </w:r>
      <w:r w:rsidR="00736891" w:rsidRPr="00B35B6B">
        <w:rPr>
          <w:rFonts w:hint="cs"/>
          <w:rtl/>
        </w:rPr>
        <w:t xml:space="preserve">הוחלה </w:t>
      </w:r>
      <w:r w:rsidRPr="00B35B6B">
        <w:rPr>
          <w:rFonts w:hint="cs"/>
          <w:rtl/>
        </w:rPr>
        <w:t>רפורמה נוספת</w:t>
      </w:r>
      <w:r w:rsidR="0032764E">
        <w:rPr>
          <w:rStyle w:val="ad"/>
          <w:rtl/>
        </w:rPr>
        <w:footnoteReference w:id="2"/>
      </w:r>
      <w:r w:rsidR="000F351F" w:rsidRPr="00B35B6B">
        <w:rPr>
          <w:rFonts w:hint="cs"/>
          <w:rtl/>
        </w:rPr>
        <w:t>,</w:t>
      </w:r>
      <w:r w:rsidRPr="00B35B6B">
        <w:rPr>
          <w:rFonts w:hint="cs"/>
          <w:rtl/>
        </w:rPr>
        <w:t xml:space="preserve"> שמבטלת את ההשקעה </w:t>
      </w:r>
      <w:r w:rsidR="00736891" w:rsidRPr="00B35B6B">
        <w:rPr>
          <w:rFonts w:hint="eastAsia"/>
          <w:rtl/>
        </w:rPr>
        <w:t>של</w:t>
      </w:r>
      <w:r w:rsidR="00736891" w:rsidRPr="00B35B6B">
        <w:rPr>
          <w:rtl/>
        </w:rPr>
        <w:t xml:space="preserve"> </w:t>
      </w:r>
      <w:r w:rsidR="00736891" w:rsidRPr="00B35B6B">
        <w:rPr>
          <w:rFonts w:hint="eastAsia"/>
          <w:rtl/>
        </w:rPr>
        <w:t>קרנות</w:t>
      </w:r>
      <w:r w:rsidR="00736891" w:rsidRPr="00B35B6B">
        <w:rPr>
          <w:rtl/>
        </w:rPr>
        <w:t xml:space="preserve"> </w:t>
      </w:r>
      <w:r w:rsidR="00736891" w:rsidRPr="00B35B6B">
        <w:rPr>
          <w:rFonts w:hint="eastAsia"/>
          <w:rtl/>
        </w:rPr>
        <w:t>הפנסיה</w:t>
      </w:r>
      <w:r w:rsidR="00736891" w:rsidRPr="00B35B6B">
        <w:rPr>
          <w:rFonts w:hint="cs"/>
          <w:rtl/>
        </w:rPr>
        <w:t xml:space="preserve"> </w:t>
      </w:r>
      <w:r w:rsidRPr="00B35B6B">
        <w:rPr>
          <w:rFonts w:hint="cs"/>
          <w:rtl/>
        </w:rPr>
        <w:t xml:space="preserve">באג"ח מיועדות ומציעה חלופה </w:t>
      </w:r>
      <w:r w:rsidR="000F351F" w:rsidRPr="00B35B6B">
        <w:rPr>
          <w:rFonts w:hint="eastAsia"/>
          <w:rtl/>
        </w:rPr>
        <w:t>–</w:t>
      </w:r>
      <w:r w:rsidR="000F351F" w:rsidRPr="00B35B6B">
        <w:rPr>
          <w:rFonts w:hint="cs"/>
          <w:rtl/>
        </w:rPr>
        <w:t xml:space="preserve"> </w:t>
      </w:r>
      <w:r w:rsidRPr="00B35B6B">
        <w:rPr>
          <w:rFonts w:hint="cs"/>
          <w:rtl/>
        </w:rPr>
        <w:t xml:space="preserve">הבטחת תשואה של 5.15% </w:t>
      </w:r>
      <w:bookmarkEnd w:id="4"/>
      <w:r w:rsidRPr="00B35B6B">
        <w:rPr>
          <w:rFonts w:hint="cs"/>
          <w:rtl/>
        </w:rPr>
        <w:t xml:space="preserve">על 30% מתיק הנכסים. לפי המנגנון החדש </w:t>
      </w:r>
      <w:r w:rsidR="000F351F" w:rsidRPr="00B35B6B">
        <w:rPr>
          <w:rFonts w:hint="cs"/>
          <w:rtl/>
        </w:rPr>
        <w:t>אחת ל</w:t>
      </w:r>
      <w:r w:rsidRPr="00B35B6B">
        <w:rPr>
          <w:rFonts w:hint="cs"/>
          <w:rtl/>
        </w:rPr>
        <w:t xml:space="preserve">חמש שנים </w:t>
      </w:r>
      <w:r w:rsidR="000F351F" w:rsidRPr="00B35B6B">
        <w:rPr>
          <w:rFonts w:hint="cs"/>
          <w:rtl/>
        </w:rPr>
        <w:t xml:space="preserve">תיערך </w:t>
      </w:r>
      <w:r w:rsidRPr="00B35B6B">
        <w:rPr>
          <w:rFonts w:hint="cs"/>
          <w:rtl/>
        </w:rPr>
        <w:t xml:space="preserve">התחשבנות של קרן הפנסיה עם המדינה </w:t>
      </w:r>
      <w:r w:rsidR="000F351F" w:rsidRPr="00B35B6B">
        <w:rPr>
          <w:rFonts w:hint="cs"/>
          <w:rtl/>
        </w:rPr>
        <w:t xml:space="preserve">לגבי </w:t>
      </w:r>
      <w:r w:rsidRPr="00B35B6B">
        <w:rPr>
          <w:rFonts w:hint="cs"/>
          <w:rtl/>
        </w:rPr>
        <w:t xml:space="preserve">החלק המובטח של תיק הנכסים. </w:t>
      </w:r>
      <w:r w:rsidR="000F351F" w:rsidRPr="00B35B6B">
        <w:rPr>
          <w:rFonts w:hint="cs"/>
          <w:rtl/>
        </w:rPr>
        <w:t xml:space="preserve">אם </w:t>
      </w:r>
      <w:r w:rsidRPr="00B35B6B">
        <w:rPr>
          <w:rFonts w:hint="cs"/>
          <w:rtl/>
        </w:rPr>
        <w:t>התשואה על הנכסים הייתה נמוכה מהתשואה מובטחת</w:t>
      </w:r>
      <w:r w:rsidR="000F351F" w:rsidRPr="00B35B6B">
        <w:rPr>
          <w:rFonts w:hint="cs"/>
          <w:rtl/>
        </w:rPr>
        <w:t>,</w:t>
      </w:r>
      <w:r w:rsidRPr="00B35B6B">
        <w:rPr>
          <w:rFonts w:hint="cs"/>
          <w:rtl/>
        </w:rPr>
        <w:t xml:space="preserve"> המדינה תשלים את החוסר</w:t>
      </w:r>
      <w:r w:rsidR="000F351F" w:rsidRPr="00B35B6B">
        <w:rPr>
          <w:rFonts w:hint="cs"/>
          <w:rtl/>
        </w:rPr>
        <w:t>,</w:t>
      </w:r>
      <w:r w:rsidRPr="00B35B6B">
        <w:rPr>
          <w:rFonts w:hint="cs"/>
          <w:rtl/>
        </w:rPr>
        <w:t xml:space="preserve"> </w:t>
      </w:r>
      <w:r w:rsidR="000F351F" w:rsidRPr="00B35B6B">
        <w:rPr>
          <w:rFonts w:hint="cs"/>
          <w:rtl/>
        </w:rPr>
        <w:t xml:space="preserve">ואם </w:t>
      </w:r>
      <w:r w:rsidRPr="00B35B6B">
        <w:rPr>
          <w:rFonts w:hint="cs"/>
          <w:rtl/>
        </w:rPr>
        <w:t>התשואה על הנכסים הייתה גבוה</w:t>
      </w:r>
      <w:r w:rsidR="000F351F" w:rsidRPr="00B35B6B">
        <w:rPr>
          <w:rFonts w:hint="cs"/>
          <w:rtl/>
        </w:rPr>
        <w:t>ה</w:t>
      </w:r>
      <w:r w:rsidRPr="00B35B6B">
        <w:rPr>
          <w:rFonts w:hint="cs"/>
          <w:rtl/>
        </w:rPr>
        <w:t xml:space="preserve"> </w:t>
      </w:r>
      <w:r w:rsidRPr="00B35B6B">
        <w:rPr>
          <w:rFonts w:hint="cs"/>
          <w:rtl/>
        </w:rPr>
        <w:lastRenderedPageBreak/>
        <w:t>מהתשואה המובטחת</w:t>
      </w:r>
      <w:r w:rsidR="000F351F" w:rsidRPr="00B35B6B">
        <w:rPr>
          <w:rFonts w:hint="cs"/>
          <w:rtl/>
        </w:rPr>
        <w:t>,</w:t>
      </w:r>
      <w:r w:rsidRPr="00B35B6B">
        <w:rPr>
          <w:rFonts w:hint="cs"/>
          <w:rtl/>
        </w:rPr>
        <w:t xml:space="preserve"> העודף יופרש לקופת המדינה. ניתוח של השפעת הרפורמה על הקצאת הנכסים של קרנות הפנסיה החדשות יוצג בהמשך </w:t>
      </w:r>
      <w:r w:rsidR="000551EA" w:rsidRPr="00B35B6B">
        <w:rPr>
          <w:rFonts w:hint="cs"/>
          <w:rtl/>
        </w:rPr>
        <w:t>התיבה</w:t>
      </w:r>
      <w:r w:rsidRPr="00B35B6B">
        <w:rPr>
          <w:rFonts w:hint="cs"/>
          <w:rtl/>
        </w:rPr>
        <w:t>.</w:t>
      </w:r>
    </w:p>
    <w:p w14:paraId="64F7853F" w14:textId="4B396983" w:rsidR="009B263E" w:rsidRPr="00C2547F" w:rsidRDefault="009B263E" w:rsidP="00C2547F">
      <w:pPr>
        <w:pStyle w:val="1"/>
        <w:spacing w:after="240"/>
        <w:jc w:val="both"/>
        <w:rPr>
          <w:rFonts w:ascii="David" w:hAnsi="David" w:cs="David"/>
          <w:b/>
          <w:bCs/>
          <w:color w:val="auto"/>
          <w:sz w:val="24"/>
          <w:szCs w:val="24"/>
          <w:rtl/>
        </w:rPr>
      </w:pPr>
      <w:r w:rsidRPr="00C2547F">
        <w:rPr>
          <w:rFonts w:ascii="David" w:hAnsi="David" w:cs="David"/>
          <w:b/>
          <w:bCs/>
          <w:color w:val="auto"/>
          <w:sz w:val="24"/>
          <w:szCs w:val="24"/>
          <w:rtl/>
        </w:rPr>
        <w:t xml:space="preserve">היקף תיק הנכסים של קרנות הפנסיה </w:t>
      </w:r>
      <w:r w:rsidR="009E4C74" w:rsidRPr="00C2547F">
        <w:rPr>
          <w:rFonts w:ascii="David" w:hAnsi="David" w:cs="David"/>
          <w:b/>
          <w:bCs/>
          <w:color w:val="auto"/>
          <w:sz w:val="24"/>
          <w:szCs w:val="24"/>
          <w:rtl/>
        </w:rPr>
        <w:t>החדשות</w:t>
      </w:r>
    </w:p>
    <w:p w14:paraId="06BFA41F" w14:textId="2B6AC957" w:rsidR="009B263E" w:rsidRPr="00B35B6B" w:rsidRDefault="009B263E" w:rsidP="00C2547F">
      <w:pPr>
        <w:spacing w:line="360" w:lineRule="auto"/>
        <w:ind w:right="-142"/>
        <w:jc w:val="both"/>
        <w:rPr>
          <w:rtl/>
        </w:rPr>
      </w:pPr>
      <w:r w:rsidRPr="00B35B6B">
        <w:rPr>
          <w:rFonts w:hint="cs"/>
          <w:rtl/>
        </w:rPr>
        <w:t xml:space="preserve">היקף תיק הנכסים של קרנות הפנסיה החדשות הגיע בשנת 2021 </w:t>
      </w:r>
      <w:r w:rsidR="000F351F" w:rsidRPr="00B35B6B">
        <w:rPr>
          <w:rFonts w:hint="cs"/>
          <w:rtl/>
        </w:rPr>
        <w:t>לכ-</w:t>
      </w:r>
      <w:r w:rsidRPr="00B35B6B">
        <w:rPr>
          <w:rFonts w:hint="cs"/>
          <w:rtl/>
        </w:rPr>
        <w:t xml:space="preserve">626 מיליארד </w:t>
      </w:r>
      <w:r w:rsidR="000F351F" w:rsidRPr="00B35B6B">
        <w:rPr>
          <w:rFonts w:hint="cs"/>
          <w:rtl/>
        </w:rPr>
        <w:t>ש"ח. זאת לאחר שהפקדות ה</w:t>
      </w:r>
      <w:r w:rsidRPr="00B35B6B">
        <w:rPr>
          <w:rFonts w:hint="cs"/>
          <w:rtl/>
        </w:rPr>
        <w:t xml:space="preserve">עמיתים </w:t>
      </w:r>
      <w:r w:rsidR="000F351F" w:rsidRPr="00B35B6B">
        <w:rPr>
          <w:rFonts w:hint="cs"/>
          <w:rtl/>
        </w:rPr>
        <w:t>בהן</w:t>
      </w:r>
      <w:r w:rsidRPr="00B35B6B">
        <w:rPr>
          <w:rFonts w:hint="cs"/>
          <w:rtl/>
        </w:rPr>
        <w:t xml:space="preserve"> הלכו וגברו עם השנים</w:t>
      </w:r>
      <w:r w:rsidR="009B19AF" w:rsidRPr="00B35B6B">
        <w:rPr>
          <w:rFonts w:hint="cs"/>
          <w:rtl/>
        </w:rPr>
        <w:t>,</w:t>
      </w:r>
      <w:r w:rsidRPr="00B35B6B">
        <w:rPr>
          <w:rFonts w:hint="cs"/>
          <w:rtl/>
        </w:rPr>
        <w:t xml:space="preserve"> ובשנת 2021 הצבירות (</w:t>
      </w:r>
      <w:r w:rsidR="000F351F" w:rsidRPr="00B35B6B">
        <w:rPr>
          <w:rFonts w:hint="cs"/>
          <w:rtl/>
        </w:rPr>
        <w:t>ה</w:t>
      </w:r>
      <w:r w:rsidRPr="00B35B6B">
        <w:rPr>
          <w:rFonts w:hint="cs"/>
          <w:rtl/>
        </w:rPr>
        <w:t xml:space="preserve">הפקדות נטו) </w:t>
      </w:r>
      <w:r w:rsidR="000F351F" w:rsidRPr="00B35B6B">
        <w:rPr>
          <w:rFonts w:hint="eastAsia"/>
          <w:rtl/>
        </w:rPr>
        <w:t>השנתיות</w:t>
      </w:r>
      <w:r w:rsidR="009B19AF" w:rsidRPr="00B35B6B">
        <w:rPr>
          <w:rFonts w:hint="cs"/>
          <w:rtl/>
        </w:rPr>
        <w:t xml:space="preserve"> </w:t>
      </w:r>
      <w:r w:rsidR="000F351F" w:rsidRPr="00B35B6B">
        <w:rPr>
          <w:rFonts w:hint="cs"/>
          <w:rtl/>
        </w:rPr>
        <w:t xml:space="preserve">הגיעו </w:t>
      </w:r>
      <w:r w:rsidR="009B19AF" w:rsidRPr="00B35B6B">
        <w:rPr>
          <w:rFonts w:hint="cs"/>
          <w:rtl/>
        </w:rPr>
        <w:t>לכ-</w:t>
      </w:r>
      <w:r w:rsidRPr="00B35B6B">
        <w:rPr>
          <w:rFonts w:hint="cs"/>
          <w:rtl/>
        </w:rPr>
        <w:t xml:space="preserve">40 מיליארד </w:t>
      </w:r>
      <w:r w:rsidR="009B19AF" w:rsidRPr="00B35B6B">
        <w:rPr>
          <w:rFonts w:hint="cs"/>
          <w:rtl/>
        </w:rPr>
        <w:t xml:space="preserve">ש"ח </w:t>
      </w:r>
      <w:r w:rsidRPr="00B35B6B">
        <w:rPr>
          <w:rFonts w:hint="cs"/>
          <w:rtl/>
        </w:rPr>
        <w:t xml:space="preserve">(ממוצע שנתי של 28 מיליארד </w:t>
      </w:r>
      <w:r w:rsidR="00373C5B" w:rsidRPr="00B35B6B">
        <w:rPr>
          <w:rFonts w:hint="cs"/>
          <w:rtl/>
        </w:rPr>
        <w:t>ש"ח ב-</w:t>
      </w:r>
      <w:r w:rsidRPr="00B35B6B">
        <w:rPr>
          <w:rFonts w:hint="cs"/>
          <w:rtl/>
        </w:rPr>
        <w:t>10 השנים האחרונות)</w:t>
      </w:r>
      <w:r w:rsidRPr="00B35B6B">
        <w:t>.</w:t>
      </w:r>
      <w:r w:rsidRPr="00B35B6B">
        <w:rPr>
          <w:rFonts w:hint="cs"/>
          <w:rtl/>
        </w:rPr>
        <w:t xml:space="preserve"> כאשר בוחנים את השינוי בהיקף הנכסים המנוהלים (הנובע הן מהפקדות העמיתים והן מגידול שווי </w:t>
      </w:r>
      <w:r w:rsidR="009B19AF" w:rsidRPr="00B35B6B">
        <w:rPr>
          <w:rFonts w:hint="cs"/>
          <w:rtl/>
        </w:rPr>
        <w:t>ה</w:t>
      </w:r>
      <w:r w:rsidRPr="00B35B6B">
        <w:rPr>
          <w:rFonts w:hint="cs"/>
          <w:rtl/>
        </w:rPr>
        <w:t xml:space="preserve">שוק) רואים </w:t>
      </w:r>
      <w:r w:rsidR="00E13776" w:rsidRPr="00B35B6B">
        <w:rPr>
          <w:rFonts w:hint="cs"/>
          <w:rtl/>
        </w:rPr>
        <w:t>שבעשר</w:t>
      </w:r>
      <w:r w:rsidR="0020601B" w:rsidRPr="00B35B6B">
        <w:rPr>
          <w:rFonts w:hint="cs"/>
          <w:rtl/>
        </w:rPr>
        <w:t xml:space="preserve"> </w:t>
      </w:r>
      <w:r w:rsidR="00E13776" w:rsidRPr="00B35B6B">
        <w:rPr>
          <w:rFonts w:hint="cs"/>
          <w:rtl/>
        </w:rPr>
        <w:t>ה</w:t>
      </w:r>
      <w:r w:rsidR="0020601B" w:rsidRPr="00B35B6B">
        <w:rPr>
          <w:rFonts w:hint="cs"/>
          <w:rtl/>
        </w:rPr>
        <w:t xml:space="preserve">שנים האחרונות </w:t>
      </w:r>
      <w:r w:rsidR="004618F1" w:rsidRPr="00B35B6B">
        <w:rPr>
          <w:rFonts w:hint="cs"/>
          <w:rtl/>
        </w:rPr>
        <w:t xml:space="preserve">היקפם </w:t>
      </w:r>
      <w:r w:rsidRPr="00B35B6B">
        <w:rPr>
          <w:rFonts w:hint="cs"/>
          <w:rtl/>
        </w:rPr>
        <w:t xml:space="preserve">עלה </w:t>
      </w:r>
      <w:r w:rsidR="004618F1" w:rsidRPr="00B35B6B">
        <w:rPr>
          <w:rFonts w:hint="cs"/>
          <w:rtl/>
        </w:rPr>
        <w:t>ב</w:t>
      </w:r>
      <w:r w:rsidRPr="00B35B6B">
        <w:rPr>
          <w:rFonts w:hint="cs"/>
          <w:rtl/>
        </w:rPr>
        <w:t xml:space="preserve">כל שנה בממוצע </w:t>
      </w:r>
      <w:r w:rsidR="004618F1" w:rsidRPr="00B35B6B">
        <w:rPr>
          <w:rFonts w:hint="cs"/>
          <w:rtl/>
        </w:rPr>
        <w:t>בכ-</w:t>
      </w:r>
      <w:r w:rsidRPr="00B35B6B">
        <w:rPr>
          <w:rFonts w:hint="cs"/>
          <w:rtl/>
        </w:rPr>
        <w:t xml:space="preserve">46 מיליארד </w:t>
      </w:r>
      <w:r w:rsidR="004618F1" w:rsidRPr="00B35B6B">
        <w:rPr>
          <w:rFonts w:hint="cs"/>
          <w:rtl/>
        </w:rPr>
        <w:t>ש"ח, ו</w:t>
      </w:r>
      <w:r w:rsidR="00373C5B" w:rsidRPr="00B35B6B">
        <w:rPr>
          <w:rFonts w:hint="cs"/>
          <w:rtl/>
        </w:rPr>
        <w:t xml:space="preserve">אילו </w:t>
      </w:r>
      <w:r w:rsidRPr="00B35B6B">
        <w:rPr>
          <w:rFonts w:hint="cs"/>
          <w:rtl/>
        </w:rPr>
        <w:t xml:space="preserve">בשנת 2021 </w:t>
      </w:r>
      <w:r w:rsidR="00373C5B" w:rsidRPr="00B35B6B">
        <w:rPr>
          <w:rFonts w:hint="cs"/>
          <w:rtl/>
        </w:rPr>
        <w:t xml:space="preserve">הוא </w:t>
      </w:r>
      <w:r w:rsidRPr="00B35B6B">
        <w:rPr>
          <w:rFonts w:hint="cs"/>
          <w:rtl/>
        </w:rPr>
        <w:t>עלה</w:t>
      </w:r>
      <w:r w:rsidRPr="00B35B6B">
        <w:rPr>
          <w:rFonts w:hint="cs"/>
        </w:rPr>
        <w:t xml:space="preserve"> </w:t>
      </w:r>
      <w:r w:rsidRPr="00B35B6B">
        <w:rPr>
          <w:rFonts w:hint="cs"/>
          <w:rtl/>
        </w:rPr>
        <w:t xml:space="preserve">ביותר מ-100 מיליארד </w:t>
      </w:r>
      <w:r w:rsidR="00736891" w:rsidRPr="00B35B6B">
        <w:rPr>
          <w:rFonts w:hint="cs"/>
          <w:rtl/>
        </w:rPr>
        <w:t>ש"ח,</w:t>
      </w:r>
      <w:r w:rsidR="004618F1" w:rsidRPr="00B35B6B">
        <w:rPr>
          <w:rFonts w:hint="cs"/>
          <w:rtl/>
        </w:rPr>
        <w:t xml:space="preserve"> </w:t>
      </w:r>
      <w:r w:rsidRPr="00B35B6B">
        <w:rPr>
          <w:rFonts w:hint="cs"/>
          <w:rtl/>
        </w:rPr>
        <w:t xml:space="preserve">תוצאה </w:t>
      </w:r>
      <w:r w:rsidR="00736891" w:rsidRPr="00B35B6B">
        <w:rPr>
          <w:rFonts w:hint="cs"/>
          <w:rtl/>
        </w:rPr>
        <w:t xml:space="preserve">של עליות </w:t>
      </w:r>
      <w:r w:rsidRPr="00B35B6B">
        <w:rPr>
          <w:rFonts w:hint="cs"/>
          <w:rtl/>
        </w:rPr>
        <w:t>מחירים חדות בשווקים</w:t>
      </w:r>
      <w:r w:rsidR="00736891" w:rsidRPr="00B35B6B">
        <w:rPr>
          <w:rFonts w:hint="cs"/>
          <w:rtl/>
        </w:rPr>
        <w:t xml:space="preserve"> </w:t>
      </w:r>
      <w:r w:rsidR="009B19AF" w:rsidRPr="00B35B6B">
        <w:rPr>
          <w:rFonts w:hint="cs"/>
          <w:rtl/>
        </w:rPr>
        <w:t>(</w:t>
      </w:r>
      <w:r w:rsidRPr="00B35B6B">
        <w:rPr>
          <w:rtl/>
        </w:rPr>
        <w:fldChar w:fldCharType="begin"/>
      </w:r>
      <w:r w:rsidRPr="00B35B6B">
        <w:rPr>
          <w:rtl/>
        </w:rPr>
        <w:instrText xml:space="preserve"> </w:instrText>
      </w:r>
      <w:r w:rsidRPr="00B35B6B">
        <w:instrText>REF</w:instrText>
      </w:r>
      <w:r w:rsidRPr="00B35B6B">
        <w:rPr>
          <w:rtl/>
        </w:rPr>
        <w:instrText xml:space="preserve"> _</w:instrText>
      </w:r>
      <w:r w:rsidRPr="00B35B6B">
        <w:instrText>Ref95844103 \h</w:instrText>
      </w:r>
      <w:r w:rsidRPr="00B35B6B">
        <w:rPr>
          <w:rtl/>
        </w:rPr>
        <w:instrText xml:space="preserve"> </w:instrText>
      </w:r>
      <w:r w:rsidR="00B35B6B">
        <w:rPr>
          <w:rtl/>
        </w:rPr>
        <w:instrText xml:space="preserve"> \* </w:instrText>
      </w:r>
      <w:r w:rsidR="00B35B6B">
        <w:instrText>MERGEFORMAT</w:instrText>
      </w:r>
      <w:r w:rsidR="00B35B6B">
        <w:rPr>
          <w:rtl/>
        </w:rPr>
        <w:instrText xml:space="preserve"> </w:instrText>
      </w:r>
      <w:r w:rsidRPr="00B35B6B">
        <w:rPr>
          <w:rtl/>
        </w:rPr>
      </w:r>
      <w:r w:rsidRPr="00B35B6B">
        <w:rPr>
          <w:rtl/>
        </w:rPr>
        <w:fldChar w:fldCharType="separate"/>
      </w:r>
      <w:r w:rsidRPr="00B35B6B">
        <w:rPr>
          <w:rtl/>
        </w:rPr>
        <w:t xml:space="preserve">איור </w:t>
      </w:r>
      <w:r w:rsidRPr="00B35B6B">
        <w:rPr>
          <w:noProof/>
          <w:rtl/>
        </w:rPr>
        <w:t>12</w:t>
      </w:r>
      <w:r w:rsidRPr="00B35B6B">
        <w:rPr>
          <w:rtl/>
        </w:rPr>
        <w:fldChar w:fldCharType="end"/>
      </w:r>
      <w:r w:rsidR="009B19AF" w:rsidRPr="00B35B6B">
        <w:rPr>
          <w:rFonts w:hint="cs"/>
          <w:rtl/>
        </w:rPr>
        <w:t>).</w:t>
      </w:r>
      <w:r w:rsidRPr="00B35B6B">
        <w:rPr>
          <w:rFonts w:hint="cs"/>
          <w:rtl/>
        </w:rPr>
        <w:t xml:space="preserve"> יש לציין שגם גידול </w:t>
      </w:r>
      <w:r w:rsidR="00373C5B" w:rsidRPr="00B35B6B">
        <w:rPr>
          <w:rFonts w:hint="cs"/>
          <w:rtl/>
        </w:rPr>
        <w:t xml:space="preserve">של הנכסים הנובע </w:t>
      </w:r>
      <w:r w:rsidRPr="00B35B6B">
        <w:rPr>
          <w:rFonts w:hint="cs"/>
          <w:rtl/>
        </w:rPr>
        <w:t xml:space="preserve">מגידול שווי </w:t>
      </w:r>
      <w:r w:rsidR="00373C5B" w:rsidRPr="00B35B6B">
        <w:rPr>
          <w:rFonts w:hint="cs"/>
          <w:rtl/>
        </w:rPr>
        <w:t>ה</w:t>
      </w:r>
      <w:r w:rsidRPr="00B35B6B">
        <w:rPr>
          <w:rFonts w:hint="cs"/>
          <w:rtl/>
        </w:rPr>
        <w:t>שוק דורש החלטות השקעה מצד קרנות הפנסיה</w:t>
      </w:r>
      <w:r w:rsidR="00891841" w:rsidRPr="00B35B6B">
        <w:rPr>
          <w:rFonts w:hint="cs"/>
          <w:rtl/>
        </w:rPr>
        <w:t>,</w:t>
      </w:r>
      <w:r w:rsidRPr="00B35B6B">
        <w:rPr>
          <w:rFonts w:hint="cs"/>
          <w:rtl/>
        </w:rPr>
        <w:t xml:space="preserve"> </w:t>
      </w:r>
      <w:r w:rsidR="00373C5B" w:rsidRPr="00B35B6B">
        <w:rPr>
          <w:rFonts w:hint="cs"/>
          <w:rtl/>
        </w:rPr>
        <w:t>מ</w:t>
      </w:r>
      <w:r w:rsidRPr="00B35B6B">
        <w:rPr>
          <w:rFonts w:hint="cs"/>
          <w:rtl/>
        </w:rPr>
        <w:t>שיקולים של פיזור</w:t>
      </w:r>
      <w:r w:rsidR="00361662" w:rsidRPr="00B35B6B">
        <w:rPr>
          <w:rFonts w:hint="cs"/>
          <w:rtl/>
        </w:rPr>
        <w:t xml:space="preserve"> בין נכסים שונים</w:t>
      </w:r>
      <w:r w:rsidRPr="00B35B6B">
        <w:rPr>
          <w:rFonts w:hint="cs"/>
          <w:rtl/>
        </w:rPr>
        <w:t xml:space="preserve"> ושיעורי </w:t>
      </w:r>
      <w:r w:rsidR="00373C5B" w:rsidRPr="00B35B6B">
        <w:rPr>
          <w:rFonts w:hint="cs"/>
          <w:rtl/>
        </w:rPr>
        <w:t>ה</w:t>
      </w:r>
      <w:r w:rsidRPr="00B35B6B">
        <w:rPr>
          <w:rFonts w:hint="cs"/>
          <w:rtl/>
        </w:rPr>
        <w:t>חשיפה לחו"ל ולמט"ח</w:t>
      </w:r>
      <w:r w:rsidR="00E13776" w:rsidRPr="00B35B6B">
        <w:rPr>
          <w:rFonts w:hint="cs"/>
          <w:rtl/>
        </w:rPr>
        <w:t>.</w:t>
      </w:r>
      <w:r w:rsidRPr="00B35B6B">
        <w:rPr>
          <w:rFonts w:hint="cs"/>
          <w:rtl/>
        </w:rPr>
        <w:t xml:space="preserve"> כך</w:t>
      </w:r>
      <w:r w:rsidR="009B19AF" w:rsidRPr="00B35B6B">
        <w:rPr>
          <w:rFonts w:hint="cs"/>
          <w:rtl/>
        </w:rPr>
        <w:t>,</w:t>
      </w:r>
      <w:r w:rsidRPr="00B35B6B">
        <w:rPr>
          <w:rFonts w:hint="cs"/>
          <w:rtl/>
        </w:rPr>
        <w:t xml:space="preserve"> </w:t>
      </w:r>
      <w:r w:rsidR="009B19AF" w:rsidRPr="00B35B6B">
        <w:rPr>
          <w:rFonts w:hint="cs"/>
          <w:rtl/>
        </w:rPr>
        <w:t xml:space="preserve">לדוגמה, </w:t>
      </w:r>
      <w:r w:rsidRPr="00B35B6B">
        <w:rPr>
          <w:rFonts w:hint="eastAsia"/>
          <w:rtl/>
        </w:rPr>
        <w:t>אם</w:t>
      </w:r>
      <w:r w:rsidRPr="00B35B6B">
        <w:rPr>
          <w:rtl/>
        </w:rPr>
        <w:t xml:space="preserve"> מדד </w:t>
      </w:r>
      <w:r w:rsidR="009B19AF" w:rsidRPr="00B35B6B">
        <w:rPr>
          <w:rFonts w:hint="eastAsia"/>
          <w:rtl/>
        </w:rPr>
        <w:t>ה</w:t>
      </w:r>
      <w:r w:rsidRPr="00B35B6B">
        <w:rPr>
          <w:rFonts w:hint="eastAsia"/>
          <w:rtl/>
        </w:rPr>
        <w:t>מניות</w:t>
      </w:r>
      <w:r w:rsidRPr="00B35B6B">
        <w:rPr>
          <w:rtl/>
        </w:rPr>
        <w:t xml:space="preserve"> </w:t>
      </w:r>
      <w:r w:rsidRPr="00B35B6B">
        <w:rPr>
          <w:rFonts w:hint="eastAsia"/>
          <w:rtl/>
        </w:rPr>
        <w:t>עולה</w:t>
      </w:r>
      <w:r w:rsidR="009B19AF" w:rsidRPr="00B35B6B">
        <w:rPr>
          <w:rtl/>
        </w:rPr>
        <w:t>,</w:t>
      </w:r>
      <w:r w:rsidRPr="00B35B6B">
        <w:rPr>
          <w:rtl/>
        </w:rPr>
        <w:t xml:space="preserve"> והקרן מעוניינת להגביל את החשיפה למניות</w:t>
      </w:r>
      <w:r w:rsidR="009B19AF" w:rsidRPr="00B35B6B">
        <w:rPr>
          <w:rtl/>
        </w:rPr>
        <w:t>,</w:t>
      </w:r>
      <w:r w:rsidRPr="00B35B6B">
        <w:rPr>
          <w:rtl/>
        </w:rPr>
        <w:t xml:space="preserve"> עליה למכור חלק מהנכסים המושקעים במניות ולהשקיעם מחדש באפיק אחר</w:t>
      </w:r>
      <w:r w:rsidR="00891841" w:rsidRPr="00B35B6B">
        <w:rPr>
          <w:rtl/>
        </w:rPr>
        <w:t xml:space="preserve">; </w:t>
      </w:r>
      <w:r w:rsidR="00891841" w:rsidRPr="00B35B6B">
        <w:rPr>
          <w:rFonts w:hint="eastAsia"/>
          <w:rtl/>
        </w:rPr>
        <w:t>הוא</w:t>
      </w:r>
      <w:r w:rsidR="00891841" w:rsidRPr="00B35B6B">
        <w:rPr>
          <w:rtl/>
        </w:rPr>
        <w:t xml:space="preserve"> </w:t>
      </w:r>
      <w:r w:rsidR="00891841" w:rsidRPr="00B35B6B">
        <w:rPr>
          <w:rFonts w:hint="eastAsia"/>
          <w:rtl/>
        </w:rPr>
        <w:t>הדין</w:t>
      </w:r>
      <w:r w:rsidRPr="00B35B6B">
        <w:rPr>
          <w:rtl/>
        </w:rPr>
        <w:t xml:space="preserve"> </w:t>
      </w:r>
      <w:r w:rsidR="00891841" w:rsidRPr="00B35B6B">
        <w:rPr>
          <w:rFonts w:hint="eastAsia"/>
          <w:rtl/>
        </w:rPr>
        <w:t>ב</w:t>
      </w:r>
      <w:r w:rsidR="00891841" w:rsidRPr="00B35B6B">
        <w:rPr>
          <w:rtl/>
        </w:rPr>
        <w:t xml:space="preserve">השפעות </w:t>
      </w:r>
      <w:r w:rsidRPr="00B35B6B">
        <w:rPr>
          <w:rtl/>
        </w:rPr>
        <w:t xml:space="preserve">שיערוך על </w:t>
      </w:r>
      <w:r w:rsidR="00361662" w:rsidRPr="00B35B6B">
        <w:rPr>
          <w:rFonts w:hint="eastAsia"/>
          <w:rtl/>
        </w:rPr>
        <w:t>ה</w:t>
      </w:r>
      <w:r w:rsidRPr="00B35B6B">
        <w:rPr>
          <w:rtl/>
        </w:rPr>
        <w:t xml:space="preserve">נכסים </w:t>
      </w:r>
      <w:r w:rsidR="00891841" w:rsidRPr="00B35B6B">
        <w:rPr>
          <w:rFonts w:hint="eastAsia"/>
          <w:rtl/>
        </w:rPr>
        <w:t>ש</w:t>
      </w:r>
      <w:r w:rsidRPr="00B35B6B">
        <w:rPr>
          <w:rtl/>
        </w:rPr>
        <w:t xml:space="preserve">בחו"ל. </w:t>
      </w:r>
    </w:p>
    <w:p w14:paraId="2D45ACF2" w14:textId="63B76479" w:rsidR="009B263E" w:rsidRPr="00AE36C6" w:rsidRDefault="009B263E" w:rsidP="00C2547F">
      <w:pPr>
        <w:spacing w:line="360" w:lineRule="auto"/>
        <w:jc w:val="both"/>
        <w:rPr>
          <w:i/>
          <w:iCs/>
          <w:color w:val="FF0000"/>
          <w:sz w:val="18"/>
          <w:szCs w:val="18"/>
        </w:rPr>
      </w:pPr>
      <w:r w:rsidRPr="00B35B6B">
        <w:rPr>
          <w:rFonts w:hint="cs"/>
          <w:rtl/>
        </w:rPr>
        <w:t xml:space="preserve">קרנות הפנסיה </w:t>
      </w:r>
      <w:r w:rsidR="00C0069F">
        <w:rPr>
          <w:rFonts w:hint="cs"/>
          <w:rtl/>
        </w:rPr>
        <w:t xml:space="preserve">החדשות </w:t>
      </w:r>
      <w:r w:rsidRPr="00B35B6B">
        <w:rPr>
          <w:rFonts w:hint="cs"/>
          <w:rtl/>
        </w:rPr>
        <w:t xml:space="preserve">משקיעות את הנכסים </w:t>
      </w:r>
      <w:r w:rsidR="00CD3E7B" w:rsidRPr="00B35B6B">
        <w:rPr>
          <w:rFonts w:hint="cs"/>
          <w:rtl/>
        </w:rPr>
        <w:t>שהן מנהלות</w:t>
      </w:r>
      <w:r w:rsidRPr="00B35B6B">
        <w:rPr>
          <w:rFonts w:hint="cs"/>
          <w:rtl/>
        </w:rPr>
        <w:t xml:space="preserve"> בשוק המקומי ובחו"ל</w:t>
      </w:r>
      <w:r w:rsidRPr="00B35B6B">
        <w:rPr>
          <w:rStyle w:val="ad"/>
          <w:rtl/>
        </w:rPr>
        <w:footnoteReference w:id="3"/>
      </w:r>
      <w:r w:rsidRPr="00B35B6B">
        <w:rPr>
          <w:rFonts w:hint="cs"/>
          <w:rtl/>
        </w:rPr>
        <w:t xml:space="preserve">. משנת 2005 שיעור הנכסים הזרים של קרנות הפנסיה </w:t>
      </w:r>
      <w:r w:rsidR="00131A7E">
        <w:rPr>
          <w:rFonts w:hint="cs"/>
          <w:rtl/>
        </w:rPr>
        <w:t xml:space="preserve">החדשות </w:t>
      </w:r>
      <w:r w:rsidR="0063300D">
        <w:rPr>
          <w:rFonts w:hint="cs"/>
          <w:rtl/>
        </w:rPr>
        <w:t>ה</w:t>
      </w:r>
      <w:r w:rsidR="00CD3E7B" w:rsidRPr="00B35B6B">
        <w:rPr>
          <w:rFonts w:hint="cs"/>
          <w:rtl/>
        </w:rPr>
        <w:t>ולך ועולה,</w:t>
      </w:r>
      <w:r w:rsidRPr="00B35B6B">
        <w:rPr>
          <w:rFonts w:hint="cs"/>
          <w:rtl/>
        </w:rPr>
        <w:t xml:space="preserve"> ובשנת 2021 </w:t>
      </w:r>
      <w:r w:rsidR="00CD3E7B" w:rsidRPr="00B35B6B">
        <w:rPr>
          <w:rFonts w:hint="cs"/>
          <w:rtl/>
        </w:rPr>
        <w:t xml:space="preserve">הוא </w:t>
      </w:r>
      <w:r w:rsidRPr="00B35B6B">
        <w:rPr>
          <w:rFonts w:hint="cs"/>
          <w:rtl/>
        </w:rPr>
        <w:t xml:space="preserve">הגיע </w:t>
      </w:r>
      <w:r w:rsidR="00CD3E7B" w:rsidRPr="00B35B6B">
        <w:rPr>
          <w:rFonts w:hint="cs"/>
          <w:rtl/>
        </w:rPr>
        <w:t>לכ-</w:t>
      </w:r>
      <w:r w:rsidRPr="00B35B6B">
        <w:rPr>
          <w:rFonts w:hint="cs"/>
          <w:rtl/>
        </w:rPr>
        <w:t>30% (</w:t>
      </w:r>
      <w:r w:rsidRPr="00B35B6B">
        <w:rPr>
          <w:rtl/>
        </w:rPr>
        <w:fldChar w:fldCharType="begin"/>
      </w:r>
      <w:r w:rsidRPr="00B35B6B">
        <w:rPr>
          <w:rtl/>
        </w:rPr>
        <w:instrText xml:space="preserve"> </w:instrText>
      </w:r>
      <w:r w:rsidRPr="00B35B6B">
        <w:rPr>
          <w:rFonts w:hint="cs"/>
        </w:rPr>
        <w:instrText>REF</w:instrText>
      </w:r>
      <w:r w:rsidRPr="00B35B6B">
        <w:rPr>
          <w:rFonts w:hint="cs"/>
          <w:rtl/>
        </w:rPr>
        <w:instrText xml:space="preserve"> _</w:instrText>
      </w:r>
      <w:r w:rsidRPr="00B35B6B">
        <w:rPr>
          <w:rFonts w:hint="cs"/>
        </w:rPr>
        <w:instrText>Ref89014865 \h</w:instrText>
      </w:r>
      <w:r w:rsidRPr="00B35B6B">
        <w:rPr>
          <w:rtl/>
        </w:rPr>
        <w:instrText xml:space="preserve"> </w:instrText>
      </w:r>
      <w:r w:rsidR="00B35B6B">
        <w:rPr>
          <w:rtl/>
        </w:rPr>
        <w:instrText xml:space="preserve"> \* </w:instrText>
      </w:r>
      <w:r w:rsidR="00B35B6B">
        <w:instrText>MERGEFORMAT</w:instrText>
      </w:r>
      <w:r w:rsidR="00B35B6B">
        <w:rPr>
          <w:rtl/>
        </w:rPr>
        <w:instrText xml:space="preserve"> </w:instrText>
      </w:r>
      <w:r w:rsidRPr="00B35B6B">
        <w:rPr>
          <w:rtl/>
        </w:rPr>
      </w:r>
      <w:r w:rsidRPr="00B35B6B">
        <w:rPr>
          <w:rtl/>
        </w:rPr>
        <w:fldChar w:fldCharType="separate"/>
      </w:r>
      <w:r w:rsidRPr="00B35B6B">
        <w:rPr>
          <w:rtl/>
        </w:rPr>
        <w:t xml:space="preserve">איור </w:t>
      </w:r>
      <w:r w:rsidRPr="00B35B6B">
        <w:rPr>
          <w:noProof/>
          <w:rtl/>
        </w:rPr>
        <w:t>13</w:t>
      </w:r>
      <w:r w:rsidRPr="00B35B6B">
        <w:rPr>
          <w:rtl/>
        </w:rPr>
        <w:fldChar w:fldCharType="end"/>
      </w:r>
      <w:r w:rsidRPr="00B35B6B">
        <w:rPr>
          <w:rFonts w:hint="cs"/>
          <w:rtl/>
        </w:rPr>
        <w:t xml:space="preserve">). בשוק המקומי הקרנות משקיעות </w:t>
      </w:r>
      <w:r w:rsidR="00CD3E7B" w:rsidRPr="00B35B6B">
        <w:rPr>
          <w:rFonts w:hint="cs"/>
          <w:rtl/>
        </w:rPr>
        <w:t xml:space="preserve">במגוון </w:t>
      </w:r>
      <w:r w:rsidRPr="00B35B6B">
        <w:rPr>
          <w:rFonts w:hint="cs"/>
          <w:rtl/>
        </w:rPr>
        <w:t>רחב של סוגי נכסים (פיקדונות, אג"ח ומניות</w:t>
      </w:r>
      <w:r w:rsidR="00361662" w:rsidRPr="00B35B6B">
        <w:rPr>
          <w:rFonts w:hint="cs"/>
          <w:rtl/>
        </w:rPr>
        <w:t xml:space="preserve">); </w:t>
      </w:r>
      <w:r w:rsidRPr="00B35B6B">
        <w:rPr>
          <w:rFonts w:hint="cs"/>
          <w:rtl/>
        </w:rPr>
        <w:t>הנכס הדומיננטי הוא אג"ח ממשלתי</w:t>
      </w:r>
      <w:r w:rsidR="00CD3E7B" w:rsidRPr="00B35B6B">
        <w:rPr>
          <w:rFonts w:hint="cs"/>
          <w:rtl/>
        </w:rPr>
        <w:t>ות</w:t>
      </w:r>
      <w:r w:rsidRPr="00B35B6B">
        <w:rPr>
          <w:rStyle w:val="ad"/>
          <w:rtl/>
        </w:rPr>
        <w:footnoteReference w:id="4"/>
      </w:r>
      <w:r w:rsidRPr="00B35B6B">
        <w:rPr>
          <w:rFonts w:hint="cs"/>
          <w:rtl/>
        </w:rPr>
        <w:t xml:space="preserve"> </w:t>
      </w:r>
      <w:r w:rsidR="00CD3E7B" w:rsidRPr="00B35B6B">
        <w:rPr>
          <w:rFonts w:hint="cs"/>
          <w:rtl/>
        </w:rPr>
        <w:t>לא-</w:t>
      </w:r>
      <w:r w:rsidRPr="00B35B6B">
        <w:rPr>
          <w:rFonts w:hint="cs"/>
          <w:rtl/>
        </w:rPr>
        <w:t>סחיר</w:t>
      </w:r>
      <w:r w:rsidR="00CD3E7B" w:rsidRPr="00B35B6B">
        <w:rPr>
          <w:rFonts w:hint="cs"/>
          <w:rtl/>
        </w:rPr>
        <w:t>ות – כ-</w:t>
      </w:r>
      <w:r w:rsidRPr="00B35B6B">
        <w:rPr>
          <w:rFonts w:hint="cs"/>
          <w:rtl/>
        </w:rPr>
        <w:t xml:space="preserve">30%, בעיקר </w:t>
      </w:r>
      <w:r w:rsidR="002311C3" w:rsidRPr="00B35B6B">
        <w:rPr>
          <w:rFonts w:hint="cs"/>
          <w:rtl/>
        </w:rPr>
        <w:t>ב</w:t>
      </w:r>
      <w:r w:rsidRPr="00B35B6B">
        <w:rPr>
          <w:rFonts w:hint="cs"/>
          <w:rtl/>
        </w:rPr>
        <w:t>אג"ח מיועדות</w:t>
      </w:r>
      <w:r w:rsidR="00CD3E7B" w:rsidRPr="00B35B6B">
        <w:rPr>
          <w:rFonts w:hint="cs"/>
          <w:rtl/>
        </w:rPr>
        <w:t xml:space="preserve"> – </w:t>
      </w:r>
      <w:r w:rsidRPr="00B35B6B">
        <w:rPr>
          <w:rFonts w:hint="cs"/>
          <w:rtl/>
        </w:rPr>
        <w:t xml:space="preserve">ואחריו השקעה במניות, </w:t>
      </w:r>
      <w:r w:rsidR="002311C3" w:rsidRPr="00B35B6B">
        <w:rPr>
          <w:rFonts w:hint="cs"/>
          <w:rtl/>
        </w:rPr>
        <w:t>ב</w:t>
      </w:r>
      <w:r w:rsidRPr="00B35B6B">
        <w:rPr>
          <w:rFonts w:hint="cs"/>
          <w:rtl/>
        </w:rPr>
        <w:t xml:space="preserve">פיקדונות, </w:t>
      </w:r>
      <w:r w:rsidR="002311C3" w:rsidRPr="00B35B6B">
        <w:rPr>
          <w:rFonts w:hint="eastAsia"/>
          <w:rtl/>
        </w:rPr>
        <w:t>ב</w:t>
      </w:r>
      <w:r w:rsidR="00E020E7" w:rsidRPr="00B35B6B">
        <w:rPr>
          <w:rtl/>
        </w:rPr>
        <w:t>"</w:t>
      </w:r>
      <w:r w:rsidRPr="00B35B6B">
        <w:rPr>
          <w:rFonts w:hint="eastAsia"/>
          <w:rtl/>
        </w:rPr>
        <w:t>נכסים</w:t>
      </w:r>
      <w:r w:rsidRPr="00B35B6B">
        <w:rPr>
          <w:rtl/>
        </w:rPr>
        <w:t xml:space="preserve"> </w:t>
      </w:r>
      <w:r w:rsidRPr="00B35B6B">
        <w:rPr>
          <w:rFonts w:hint="eastAsia"/>
          <w:rtl/>
        </w:rPr>
        <w:t>אחרים</w:t>
      </w:r>
      <w:r w:rsidR="00E020E7" w:rsidRPr="00B35B6B">
        <w:rPr>
          <w:rFonts w:hint="cs"/>
          <w:rtl/>
        </w:rPr>
        <w:t>"</w:t>
      </w:r>
      <w:r w:rsidRPr="00B35B6B">
        <w:rPr>
          <w:rFonts w:hint="cs"/>
          <w:rtl/>
        </w:rPr>
        <w:t xml:space="preserve"> ו</w:t>
      </w:r>
      <w:r w:rsidR="002311C3" w:rsidRPr="00B35B6B">
        <w:rPr>
          <w:rFonts w:hint="cs"/>
          <w:rtl/>
        </w:rPr>
        <w:t>ב</w:t>
      </w:r>
      <w:r w:rsidRPr="00B35B6B">
        <w:rPr>
          <w:rFonts w:hint="cs"/>
          <w:rtl/>
        </w:rPr>
        <w:t>אג"ח חברות</w:t>
      </w:r>
      <w:r w:rsidRPr="00B35B6B">
        <w:rPr>
          <w:rtl/>
        </w:rPr>
        <w:t>.</w:t>
      </w:r>
      <w:r w:rsidRPr="00B35B6B">
        <w:rPr>
          <w:rFonts w:hint="cs"/>
          <w:rtl/>
        </w:rPr>
        <w:t xml:space="preserve"> גם תיק הנכסים בחו"ל מושקע במגוון נכסים </w:t>
      </w:r>
      <w:r w:rsidR="00CD3E7B" w:rsidRPr="00B35B6B">
        <w:rPr>
          <w:rFonts w:hint="eastAsia"/>
          <w:rtl/>
        </w:rPr>
        <w:t>–</w:t>
      </w:r>
      <w:r w:rsidR="00CD3E7B" w:rsidRPr="00B35B6B">
        <w:rPr>
          <w:rFonts w:hint="cs"/>
          <w:rtl/>
        </w:rPr>
        <w:t xml:space="preserve"> בהם </w:t>
      </w:r>
      <w:r w:rsidRPr="00B35B6B">
        <w:rPr>
          <w:rFonts w:hint="cs"/>
          <w:rtl/>
        </w:rPr>
        <w:t xml:space="preserve">אג"ח, מניות </w:t>
      </w:r>
      <w:r w:rsidRPr="008E6734">
        <w:rPr>
          <w:rFonts w:hint="cs"/>
          <w:rtl/>
        </w:rPr>
        <w:t>ונכסים נגזרים</w:t>
      </w:r>
      <w:r w:rsidR="00CD3E7B" w:rsidRPr="008E6734">
        <w:rPr>
          <w:rFonts w:hint="cs"/>
          <w:rtl/>
        </w:rPr>
        <w:t>.</w:t>
      </w:r>
      <w:r w:rsidRPr="008E6734">
        <w:rPr>
          <w:rFonts w:hint="cs"/>
          <w:rtl/>
        </w:rPr>
        <w:t xml:space="preserve"> </w:t>
      </w:r>
      <w:r w:rsidR="00CD3E7B" w:rsidRPr="008E6734">
        <w:rPr>
          <w:rFonts w:hint="eastAsia"/>
          <w:rtl/>
        </w:rPr>
        <w:t>האחרונים</w:t>
      </w:r>
      <w:r w:rsidR="00CD3E7B" w:rsidRPr="008E6734">
        <w:rPr>
          <w:rFonts w:hint="cs"/>
          <w:rtl/>
        </w:rPr>
        <w:t xml:space="preserve"> משמשים,</w:t>
      </w:r>
      <w:r w:rsidRPr="008E6734">
        <w:rPr>
          <w:rFonts w:hint="cs"/>
          <w:rtl/>
        </w:rPr>
        <w:t xml:space="preserve"> בין היתר</w:t>
      </w:r>
      <w:r w:rsidR="00CD3E7B" w:rsidRPr="008E6734">
        <w:rPr>
          <w:rFonts w:hint="cs"/>
          <w:rtl/>
        </w:rPr>
        <w:t>,</w:t>
      </w:r>
      <w:r w:rsidRPr="008E6734">
        <w:rPr>
          <w:rFonts w:hint="cs"/>
          <w:rtl/>
        </w:rPr>
        <w:t xml:space="preserve"> לגידור סיכוני מטבע</w:t>
      </w:r>
      <w:r w:rsidR="00CD3E7B" w:rsidRPr="008E6734">
        <w:rPr>
          <w:rFonts w:hint="cs"/>
          <w:rtl/>
        </w:rPr>
        <w:t>,</w:t>
      </w:r>
      <w:r w:rsidRPr="008E6734">
        <w:rPr>
          <w:rFonts w:hint="cs"/>
          <w:rtl/>
        </w:rPr>
        <w:t xml:space="preserve"> לצד יתרונות נוספים). </w:t>
      </w:r>
    </w:p>
    <w:p w14:paraId="3A22C05F" w14:textId="77777777" w:rsidR="00C2547F" w:rsidRDefault="00C2547F" w:rsidP="00C2547F">
      <w:pPr>
        <w:pStyle w:val="ae"/>
        <w:spacing w:line="360" w:lineRule="auto"/>
        <w:jc w:val="center"/>
        <w:rPr>
          <w:i w:val="0"/>
          <w:iCs w:val="0"/>
          <w:color w:val="auto"/>
          <w:sz w:val="20"/>
          <w:szCs w:val="20"/>
          <w:rtl/>
        </w:rPr>
      </w:pPr>
    </w:p>
    <w:p w14:paraId="2F89829F" w14:textId="77777777" w:rsidR="00C2547F" w:rsidRDefault="00C2547F" w:rsidP="00C2547F">
      <w:pPr>
        <w:pStyle w:val="ae"/>
        <w:spacing w:line="360" w:lineRule="auto"/>
        <w:jc w:val="center"/>
        <w:rPr>
          <w:i w:val="0"/>
          <w:iCs w:val="0"/>
          <w:color w:val="auto"/>
          <w:sz w:val="20"/>
          <w:szCs w:val="20"/>
          <w:rtl/>
        </w:rPr>
      </w:pPr>
    </w:p>
    <w:p w14:paraId="50BC8DEE" w14:textId="77777777" w:rsidR="00C2547F" w:rsidRDefault="00C2547F" w:rsidP="00C2547F">
      <w:pPr>
        <w:pStyle w:val="ae"/>
        <w:spacing w:line="360" w:lineRule="auto"/>
        <w:jc w:val="center"/>
        <w:rPr>
          <w:i w:val="0"/>
          <w:iCs w:val="0"/>
          <w:color w:val="auto"/>
          <w:sz w:val="20"/>
          <w:szCs w:val="20"/>
          <w:rtl/>
        </w:rPr>
      </w:pPr>
    </w:p>
    <w:p w14:paraId="6BA3043F" w14:textId="77777777" w:rsidR="00C2547F" w:rsidRDefault="00C2547F" w:rsidP="00C2547F">
      <w:pPr>
        <w:pStyle w:val="ae"/>
        <w:spacing w:line="360" w:lineRule="auto"/>
        <w:jc w:val="center"/>
        <w:rPr>
          <w:i w:val="0"/>
          <w:iCs w:val="0"/>
          <w:color w:val="auto"/>
          <w:sz w:val="20"/>
          <w:szCs w:val="20"/>
          <w:rtl/>
        </w:rPr>
      </w:pPr>
    </w:p>
    <w:p w14:paraId="7A6D9563" w14:textId="77777777" w:rsidR="00C2547F" w:rsidRDefault="00C2547F" w:rsidP="00C2547F">
      <w:pPr>
        <w:pStyle w:val="ae"/>
        <w:spacing w:line="360" w:lineRule="auto"/>
        <w:jc w:val="center"/>
        <w:rPr>
          <w:i w:val="0"/>
          <w:iCs w:val="0"/>
          <w:color w:val="auto"/>
          <w:sz w:val="20"/>
          <w:szCs w:val="20"/>
          <w:rtl/>
        </w:rPr>
      </w:pPr>
    </w:p>
    <w:p w14:paraId="306DE54A" w14:textId="77777777" w:rsidR="00C2547F" w:rsidRDefault="00C2547F" w:rsidP="00C2547F">
      <w:pPr>
        <w:pStyle w:val="ae"/>
        <w:spacing w:line="360" w:lineRule="auto"/>
        <w:jc w:val="center"/>
        <w:rPr>
          <w:i w:val="0"/>
          <w:iCs w:val="0"/>
          <w:color w:val="auto"/>
          <w:sz w:val="20"/>
          <w:szCs w:val="20"/>
          <w:rtl/>
        </w:rPr>
      </w:pPr>
    </w:p>
    <w:p w14:paraId="352F01C2" w14:textId="77777777" w:rsidR="00C2547F" w:rsidRDefault="00C2547F" w:rsidP="00C2547F">
      <w:pPr>
        <w:pStyle w:val="ae"/>
        <w:spacing w:line="360" w:lineRule="auto"/>
        <w:jc w:val="center"/>
        <w:rPr>
          <w:i w:val="0"/>
          <w:iCs w:val="0"/>
          <w:color w:val="auto"/>
          <w:sz w:val="20"/>
          <w:szCs w:val="20"/>
          <w:rtl/>
        </w:rPr>
      </w:pPr>
    </w:p>
    <w:p w14:paraId="38881FAC" w14:textId="77777777" w:rsidR="00C2547F" w:rsidRDefault="00C2547F" w:rsidP="00C2547F">
      <w:pPr>
        <w:pStyle w:val="ae"/>
        <w:spacing w:line="360" w:lineRule="auto"/>
        <w:jc w:val="center"/>
        <w:rPr>
          <w:i w:val="0"/>
          <w:iCs w:val="0"/>
          <w:color w:val="auto"/>
          <w:sz w:val="20"/>
          <w:szCs w:val="20"/>
          <w:rtl/>
        </w:rPr>
      </w:pPr>
    </w:p>
    <w:p w14:paraId="467BFB02" w14:textId="77777777" w:rsidR="00C2547F" w:rsidRDefault="00C2547F" w:rsidP="00C2547F">
      <w:pPr>
        <w:pStyle w:val="ae"/>
        <w:spacing w:line="360" w:lineRule="auto"/>
        <w:jc w:val="center"/>
        <w:rPr>
          <w:i w:val="0"/>
          <w:iCs w:val="0"/>
          <w:color w:val="auto"/>
          <w:sz w:val="20"/>
          <w:szCs w:val="20"/>
          <w:rtl/>
        </w:rPr>
      </w:pPr>
    </w:p>
    <w:p w14:paraId="57A2C839" w14:textId="77777777" w:rsidR="00C2547F" w:rsidRDefault="00C2547F" w:rsidP="00C2547F">
      <w:pPr>
        <w:pStyle w:val="ae"/>
        <w:spacing w:line="360" w:lineRule="auto"/>
        <w:jc w:val="center"/>
        <w:rPr>
          <w:i w:val="0"/>
          <w:iCs w:val="0"/>
          <w:color w:val="auto"/>
          <w:sz w:val="20"/>
          <w:szCs w:val="20"/>
          <w:rtl/>
        </w:rPr>
      </w:pPr>
    </w:p>
    <w:p w14:paraId="5ACD63B7" w14:textId="77777777" w:rsidR="00C2547F" w:rsidRDefault="00C2547F" w:rsidP="00C2547F">
      <w:pPr>
        <w:pStyle w:val="ae"/>
        <w:spacing w:line="360" w:lineRule="auto"/>
        <w:jc w:val="center"/>
        <w:rPr>
          <w:i w:val="0"/>
          <w:iCs w:val="0"/>
          <w:color w:val="auto"/>
          <w:sz w:val="20"/>
          <w:szCs w:val="20"/>
          <w:rtl/>
        </w:rPr>
      </w:pPr>
    </w:p>
    <w:p w14:paraId="61C81200" w14:textId="77777777" w:rsidR="00C2547F" w:rsidRDefault="00C2547F" w:rsidP="00C2547F">
      <w:pPr>
        <w:pStyle w:val="ae"/>
        <w:spacing w:line="360" w:lineRule="auto"/>
        <w:jc w:val="center"/>
        <w:rPr>
          <w:i w:val="0"/>
          <w:iCs w:val="0"/>
          <w:color w:val="auto"/>
          <w:sz w:val="20"/>
          <w:szCs w:val="20"/>
          <w:rtl/>
        </w:rPr>
      </w:pPr>
    </w:p>
    <w:p w14:paraId="65088C60" w14:textId="30D12012" w:rsidR="009B263E" w:rsidRPr="00C2547F" w:rsidRDefault="009B263E" w:rsidP="00C2547F">
      <w:pPr>
        <w:pStyle w:val="ae"/>
        <w:spacing w:line="360" w:lineRule="auto"/>
        <w:jc w:val="center"/>
        <w:rPr>
          <w:i w:val="0"/>
          <w:iCs w:val="0"/>
          <w:color w:val="auto"/>
          <w:sz w:val="20"/>
          <w:szCs w:val="20"/>
          <w:rtl/>
        </w:rPr>
      </w:pPr>
      <w:r w:rsidRPr="00C2547F">
        <w:rPr>
          <w:i w:val="0"/>
          <w:iCs w:val="0"/>
          <w:color w:val="auto"/>
          <w:sz w:val="20"/>
          <w:szCs w:val="20"/>
          <w:rtl/>
        </w:rPr>
        <w:lastRenderedPageBreak/>
        <w:t xml:space="preserve">איור </w:t>
      </w:r>
      <w:r w:rsidRPr="00C2547F">
        <w:rPr>
          <w:i w:val="0"/>
          <w:iCs w:val="0"/>
          <w:color w:val="auto"/>
          <w:sz w:val="20"/>
          <w:szCs w:val="20"/>
          <w:rtl/>
        </w:rPr>
        <w:fldChar w:fldCharType="begin"/>
      </w:r>
      <w:r w:rsidRPr="00C2547F">
        <w:rPr>
          <w:i w:val="0"/>
          <w:iCs w:val="0"/>
          <w:color w:val="auto"/>
          <w:sz w:val="20"/>
          <w:szCs w:val="20"/>
          <w:rtl/>
        </w:rPr>
        <w:instrText xml:space="preserve"> </w:instrText>
      </w:r>
      <w:r w:rsidRPr="00C2547F">
        <w:rPr>
          <w:i w:val="0"/>
          <w:iCs w:val="0"/>
          <w:color w:val="auto"/>
          <w:sz w:val="20"/>
          <w:szCs w:val="20"/>
        </w:rPr>
        <w:instrText>SEQ</w:instrText>
      </w:r>
      <w:r w:rsidRPr="00C2547F">
        <w:rPr>
          <w:i w:val="0"/>
          <w:iCs w:val="0"/>
          <w:color w:val="auto"/>
          <w:sz w:val="20"/>
          <w:szCs w:val="20"/>
          <w:rtl/>
        </w:rPr>
        <w:instrText xml:space="preserve"> איור \* </w:instrText>
      </w:r>
      <w:r w:rsidRPr="00C2547F">
        <w:rPr>
          <w:i w:val="0"/>
          <w:iCs w:val="0"/>
          <w:color w:val="auto"/>
          <w:sz w:val="20"/>
          <w:szCs w:val="20"/>
        </w:rPr>
        <w:instrText>ARABIC</w:instrText>
      </w:r>
      <w:r w:rsidRPr="00C2547F">
        <w:rPr>
          <w:i w:val="0"/>
          <w:iCs w:val="0"/>
          <w:color w:val="auto"/>
          <w:sz w:val="20"/>
          <w:szCs w:val="20"/>
          <w:rtl/>
        </w:rPr>
        <w:instrText xml:space="preserve"> </w:instrText>
      </w:r>
      <w:r w:rsidRPr="00C2547F">
        <w:rPr>
          <w:i w:val="0"/>
          <w:iCs w:val="0"/>
          <w:color w:val="auto"/>
          <w:sz w:val="20"/>
          <w:szCs w:val="20"/>
          <w:rtl/>
        </w:rPr>
        <w:fldChar w:fldCharType="separate"/>
      </w:r>
      <w:r w:rsidRPr="00C2547F">
        <w:rPr>
          <w:i w:val="0"/>
          <w:iCs w:val="0"/>
          <w:noProof/>
          <w:color w:val="auto"/>
          <w:sz w:val="20"/>
          <w:szCs w:val="20"/>
          <w:rtl/>
        </w:rPr>
        <w:t>1</w:t>
      </w:r>
      <w:r w:rsidRPr="00C2547F">
        <w:rPr>
          <w:i w:val="0"/>
          <w:iCs w:val="0"/>
          <w:color w:val="auto"/>
          <w:sz w:val="20"/>
          <w:szCs w:val="20"/>
          <w:rtl/>
        </w:rPr>
        <w:fldChar w:fldCharType="end"/>
      </w:r>
      <w:r w:rsidRPr="00C2547F">
        <w:rPr>
          <w:i w:val="0"/>
          <w:iCs w:val="0"/>
          <w:noProof/>
          <w:color w:val="auto"/>
          <w:sz w:val="20"/>
          <w:szCs w:val="20"/>
          <w:rtl/>
        </w:rPr>
        <w:t xml:space="preserve"> </w:t>
      </w:r>
      <w:r w:rsidRPr="00C2547F">
        <w:rPr>
          <w:rFonts w:hint="cs"/>
          <w:i w:val="0"/>
          <w:iCs w:val="0"/>
          <w:noProof/>
          <w:color w:val="auto"/>
          <w:sz w:val="20"/>
          <w:szCs w:val="20"/>
          <w:rtl/>
        </w:rPr>
        <w:t>:</w:t>
      </w:r>
      <w:r w:rsidRPr="00C2547F">
        <w:rPr>
          <w:i w:val="0"/>
          <w:iCs w:val="0"/>
          <w:noProof/>
          <w:color w:val="auto"/>
          <w:sz w:val="20"/>
          <w:szCs w:val="20"/>
          <w:rtl/>
        </w:rPr>
        <w:t xml:space="preserve">שינוי בהיקף הנכסים המנוהלים על ידי </w:t>
      </w:r>
      <w:r w:rsidRPr="00C2547F">
        <w:rPr>
          <w:rFonts w:hint="cs"/>
          <w:i w:val="0"/>
          <w:iCs w:val="0"/>
          <w:noProof/>
          <w:color w:val="auto"/>
          <w:sz w:val="20"/>
          <w:szCs w:val="20"/>
          <w:rtl/>
        </w:rPr>
        <w:t>קרנות הפנסיה החדשות</w:t>
      </w:r>
    </w:p>
    <w:p w14:paraId="13FE39DF" w14:textId="7DFD6942" w:rsidR="009B263E" w:rsidRPr="00B35B6B" w:rsidRDefault="009F38D3" w:rsidP="009B263E">
      <w:pPr>
        <w:spacing w:line="360" w:lineRule="auto"/>
        <w:rPr>
          <w:rtl/>
        </w:rPr>
      </w:pPr>
      <w:r>
        <w:rPr>
          <w:noProof/>
        </w:rPr>
        <w:drawing>
          <wp:inline distT="0" distB="0" distL="0" distR="0" wp14:anchorId="2E9E8CE4" wp14:editId="7E62C733">
            <wp:extent cx="5598000" cy="3657600"/>
            <wp:effectExtent l="0" t="0" r="3175" b="0"/>
            <wp:docPr id="1" name="תמונה 1" descr="שינוי בהיקף הנכסים המנוהלים על ידי קרנות הפנסיה החדשות" title="שינוי בהיקף הנכסים המנוהלים על ידי קרנות הפנסיה החד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8000" cy="3657600"/>
                    </a:xfrm>
                    <a:prstGeom prst="rect">
                      <a:avLst/>
                    </a:prstGeom>
                    <a:noFill/>
                  </pic:spPr>
                </pic:pic>
              </a:graphicData>
            </a:graphic>
          </wp:inline>
        </w:drawing>
      </w:r>
    </w:p>
    <w:p w14:paraId="1AFEECE4" w14:textId="77777777" w:rsidR="009B263E" w:rsidRPr="00C2547F" w:rsidRDefault="009B263E" w:rsidP="00C2547F">
      <w:pPr>
        <w:pStyle w:val="ae"/>
        <w:spacing w:line="360" w:lineRule="auto"/>
        <w:jc w:val="center"/>
        <w:rPr>
          <w:i w:val="0"/>
          <w:iCs w:val="0"/>
          <w:noProof/>
          <w:color w:val="auto"/>
          <w:sz w:val="20"/>
          <w:szCs w:val="20"/>
          <w:rtl/>
        </w:rPr>
      </w:pPr>
      <w:r w:rsidRPr="00C2547F">
        <w:rPr>
          <w:i w:val="0"/>
          <w:iCs w:val="0"/>
          <w:noProof/>
          <w:color w:val="auto"/>
          <w:sz w:val="20"/>
          <w:szCs w:val="20"/>
          <w:rtl/>
        </w:rPr>
        <w:t xml:space="preserve">איור </w:t>
      </w:r>
      <w:r w:rsidRPr="00C2547F">
        <w:rPr>
          <w:i w:val="0"/>
          <w:iCs w:val="0"/>
          <w:noProof/>
          <w:color w:val="auto"/>
          <w:sz w:val="20"/>
          <w:szCs w:val="20"/>
          <w:rtl/>
        </w:rPr>
        <w:fldChar w:fldCharType="begin"/>
      </w:r>
      <w:r w:rsidRPr="00C2547F">
        <w:rPr>
          <w:i w:val="0"/>
          <w:iCs w:val="0"/>
          <w:noProof/>
          <w:color w:val="auto"/>
          <w:sz w:val="20"/>
          <w:szCs w:val="20"/>
          <w:rtl/>
        </w:rPr>
        <w:instrText xml:space="preserve"> </w:instrText>
      </w:r>
      <w:r w:rsidRPr="00C2547F">
        <w:rPr>
          <w:i w:val="0"/>
          <w:iCs w:val="0"/>
          <w:noProof/>
          <w:color w:val="auto"/>
          <w:sz w:val="20"/>
          <w:szCs w:val="20"/>
        </w:rPr>
        <w:instrText>SEQ</w:instrText>
      </w:r>
      <w:r w:rsidRPr="00C2547F">
        <w:rPr>
          <w:i w:val="0"/>
          <w:iCs w:val="0"/>
          <w:noProof/>
          <w:color w:val="auto"/>
          <w:sz w:val="20"/>
          <w:szCs w:val="20"/>
          <w:rtl/>
        </w:rPr>
        <w:instrText xml:space="preserve"> איור \* </w:instrText>
      </w:r>
      <w:r w:rsidRPr="00C2547F">
        <w:rPr>
          <w:i w:val="0"/>
          <w:iCs w:val="0"/>
          <w:noProof/>
          <w:color w:val="auto"/>
          <w:sz w:val="20"/>
          <w:szCs w:val="20"/>
        </w:rPr>
        <w:instrText>ARABIC</w:instrText>
      </w:r>
      <w:r w:rsidRPr="00C2547F">
        <w:rPr>
          <w:i w:val="0"/>
          <w:iCs w:val="0"/>
          <w:noProof/>
          <w:color w:val="auto"/>
          <w:sz w:val="20"/>
          <w:szCs w:val="20"/>
          <w:rtl/>
        </w:rPr>
        <w:instrText xml:space="preserve"> </w:instrText>
      </w:r>
      <w:r w:rsidRPr="00C2547F">
        <w:rPr>
          <w:i w:val="0"/>
          <w:iCs w:val="0"/>
          <w:noProof/>
          <w:color w:val="auto"/>
          <w:sz w:val="20"/>
          <w:szCs w:val="20"/>
          <w:rtl/>
        </w:rPr>
        <w:fldChar w:fldCharType="separate"/>
      </w:r>
      <w:r w:rsidRPr="00C2547F">
        <w:rPr>
          <w:i w:val="0"/>
          <w:iCs w:val="0"/>
          <w:noProof/>
          <w:color w:val="auto"/>
          <w:sz w:val="20"/>
          <w:szCs w:val="20"/>
          <w:rtl/>
        </w:rPr>
        <w:t>2</w:t>
      </w:r>
      <w:r w:rsidRPr="00C2547F">
        <w:rPr>
          <w:i w:val="0"/>
          <w:iCs w:val="0"/>
          <w:noProof/>
          <w:color w:val="auto"/>
          <w:sz w:val="20"/>
          <w:szCs w:val="20"/>
          <w:rtl/>
        </w:rPr>
        <w:fldChar w:fldCharType="end"/>
      </w:r>
      <w:r w:rsidRPr="00C2547F">
        <w:rPr>
          <w:rFonts w:hint="cs"/>
          <w:i w:val="0"/>
          <w:iCs w:val="0"/>
          <w:noProof/>
          <w:color w:val="auto"/>
          <w:sz w:val="20"/>
          <w:szCs w:val="20"/>
          <w:rtl/>
        </w:rPr>
        <w:t>: שיעור הנכסים הזרים בתיק הנכסים של קרנות הפנסיה</w:t>
      </w:r>
    </w:p>
    <w:p w14:paraId="40D2A83E" w14:textId="53B1568D" w:rsidR="009B263E" w:rsidRPr="00B35B6B" w:rsidRDefault="009F38D3" w:rsidP="009B263E">
      <w:r>
        <w:rPr>
          <w:noProof/>
        </w:rPr>
        <w:drawing>
          <wp:inline distT="0" distB="0" distL="0" distR="0" wp14:anchorId="38C9505C" wp14:editId="18F233E1">
            <wp:extent cx="5598000" cy="3657600"/>
            <wp:effectExtent l="0" t="0" r="3175" b="0"/>
            <wp:docPr id="3" name="תמונה 3" descr="שיעור הנכסים הזרים בתיק הנכסים של קרנות הפנסיה" title="שיעור הנכסים הזרים בתיק הנכסים של קרנות הפנס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8000" cy="3657600"/>
                    </a:xfrm>
                    <a:prstGeom prst="rect">
                      <a:avLst/>
                    </a:prstGeom>
                    <a:noFill/>
                  </pic:spPr>
                </pic:pic>
              </a:graphicData>
            </a:graphic>
          </wp:inline>
        </w:drawing>
      </w:r>
    </w:p>
    <w:p w14:paraId="6C8D1BF3" w14:textId="77777777" w:rsidR="009B263E" w:rsidRPr="00B35B6B" w:rsidRDefault="009B263E" w:rsidP="009B263E">
      <w:pPr>
        <w:spacing w:line="360" w:lineRule="auto"/>
        <w:rPr>
          <w:rtl/>
        </w:rPr>
      </w:pPr>
    </w:p>
    <w:p w14:paraId="7C7639C7" w14:textId="77777777" w:rsidR="009B263E" w:rsidRPr="00B35B6B" w:rsidRDefault="009B263E" w:rsidP="009B263E">
      <w:pPr>
        <w:bidi w:val="0"/>
        <w:rPr>
          <w:rFonts w:asciiTheme="majorHAnsi" w:eastAsiaTheme="majorEastAsia" w:hAnsiTheme="majorHAnsi" w:cstheme="majorBidi"/>
          <w:color w:val="2F5496" w:themeColor="accent1" w:themeShade="BF"/>
          <w:sz w:val="32"/>
          <w:szCs w:val="32"/>
          <w:rtl/>
        </w:rPr>
      </w:pPr>
      <w:r w:rsidRPr="00B35B6B">
        <w:rPr>
          <w:rtl/>
        </w:rPr>
        <w:br w:type="page"/>
      </w:r>
    </w:p>
    <w:p w14:paraId="5E9374E9" w14:textId="29835B7A" w:rsidR="009B263E" w:rsidRPr="00C2547F" w:rsidRDefault="009B263E" w:rsidP="00C2547F">
      <w:pPr>
        <w:pStyle w:val="1"/>
        <w:spacing w:after="240"/>
        <w:jc w:val="both"/>
        <w:rPr>
          <w:rFonts w:ascii="David" w:hAnsi="David" w:cs="David"/>
          <w:b/>
          <w:bCs/>
          <w:color w:val="auto"/>
          <w:sz w:val="24"/>
          <w:szCs w:val="24"/>
          <w:rtl/>
        </w:rPr>
      </w:pPr>
      <w:r w:rsidRPr="00C2547F">
        <w:rPr>
          <w:rFonts w:ascii="David" w:hAnsi="David" w:cs="David" w:hint="cs"/>
          <w:b/>
          <w:bCs/>
          <w:color w:val="auto"/>
          <w:sz w:val="24"/>
          <w:szCs w:val="24"/>
          <w:rtl/>
        </w:rPr>
        <w:lastRenderedPageBreak/>
        <w:t xml:space="preserve">היקף הנכסים של </w:t>
      </w:r>
      <w:r w:rsidR="00AE537D" w:rsidRPr="00C2547F">
        <w:rPr>
          <w:rFonts w:ascii="David" w:hAnsi="David" w:cs="David" w:hint="cs"/>
          <w:b/>
          <w:bCs/>
          <w:color w:val="auto"/>
          <w:sz w:val="24"/>
          <w:szCs w:val="24"/>
          <w:rtl/>
        </w:rPr>
        <w:t>קרנות הפנסיה החדשות</w:t>
      </w:r>
      <w:r w:rsidRPr="00C2547F">
        <w:rPr>
          <w:rFonts w:ascii="David" w:hAnsi="David" w:cs="David" w:hint="cs"/>
          <w:b/>
          <w:bCs/>
          <w:color w:val="auto"/>
          <w:sz w:val="24"/>
          <w:szCs w:val="24"/>
          <w:rtl/>
        </w:rPr>
        <w:t xml:space="preserve"> ביחס להיקף השוק המקומי וגיוסי </w:t>
      </w:r>
      <w:r w:rsidR="00C759AD" w:rsidRPr="00C2547F">
        <w:rPr>
          <w:rFonts w:ascii="David" w:hAnsi="David" w:cs="David" w:hint="cs"/>
          <w:b/>
          <w:bCs/>
          <w:color w:val="auto"/>
          <w:sz w:val="24"/>
          <w:szCs w:val="24"/>
          <w:rtl/>
        </w:rPr>
        <w:t>ה</w:t>
      </w:r>
      <w:r w:rsidRPr="00C2547F">
        <w:rPr>
          <w:rFonts w:ascii="David" w:hAnsi="David" w:cs="David" w:hint="cs"/>
          <w:b/>
          <w:bCs/>
          <w:color w:val="auto"/>
          <w:sz w:val="24"/>
          <w:szCs w:val="24"/>
          <w:rtl/>
        </w:rPr>
        <w:t>הון</w:t>
      </w:r>
    </w:p>
    <w:p w14:paraId="59F904F4" w14:textId="4065FDB4" w:rsidR="009B263E" w:rsidRPr="00B35B6B" w:rsidRDefault="009B263E" w:rsidP="00C2547F">
      <w:pPr>
        <w:spacing w:line="360" w:lineRule="auto"/>
        <w:jc w:val="both"/>
        <w:rPr>
          <w:rtl/>
        </w:rPr>
      </w:pPr>
      <w:r w:rsidRPr="00B35B6B">
        <w:rPr>
          <w:rFonts w:hint="cs"/>
          <w:rtl/>
        </w:rPr>
        <w:t xml:space="preserve">כשבוחנים את </w:t>
      </w:r>
      <w:r w:rsidR="00DB3476" w:rsidRPr="00B35B6B">
        <w:rPr>
          <w:rFonts w:hint="cs"/>
          <w:rtl/>
        </w:rPr>
        <w:t xml:space="preserve">שווי </w:t>
      </w:r>
      <w:r w:rsidRPr="00B35B6B">
        <w:rPr>
          <w:rFonts w:hint="cs"/>
          <w:rtl/>
        </w:rPr>
        <w:t xml:space="preserve">הנכסים </w:t>
      </w:r>
      <w:r w:rsidR="00C759AD" w:rsidRPr="00B35B6B">
        <w:rPr>
          <w:rFonts w:hint="cs"/>
          <w:rtl/>
        </w:rPr>
        <w:t>שמנהלות</w:t>
      </w:r>
      <w:r w:rsidRPr="00B35B6B">
        <w:rPr>
          <w:rFonts w:hint="cs"/>
          <w:rtl/>
        </w:rPr>
        <w:t xml:space="preserve"> קרנות הפנסיה החדשות </w:t>
      </w:r>
      <w:r w:rsidR="00C759AD" w:rsidRPr="00B35B6B">
        <w:rPr>
          <w:rFonts w:hint="cs"/>
          <w:rtl/>
        </w:rPr>
        <w:t xml:space="preserve">בשוק ההון המקומי </w:t>
      </w:r>
      <w:r w:rsidRPr="00B35B6B">
        <w:rPr>
          <w:rFonts w:hint="cs"/>
          <w:rtl/>
        </w:rPr>
        <w:t xml:space="preserve">ביחס לשווי השוק של </w:t>
      </w:r>
      <w:r w:rsidR="00F40E3F" w:rsidRPr="00B35B6B">
        <w:rPr>
          <w:rFonts w:hint="cs"/>
          <w:rtl/>
        </w:rPr>
        <w:t>ה</w:t>
      </w:r>
      <w:r w:rsidRPr="00B35B6B">
        <w:rPr>
          <w:rFonts w:hint="cs"/>
          <w:rtl/>
        </w:rPr>
        <w:t>מניות, אג"</w:t>
      </w:r>
      <w:r w:rsidR="002311C3" w:rsidRPr="00B35B6B">
        <w:rPr>
          <w:rFonts w:hint="cs"/>
          <w:rtl/>
        </w:rPr>
        <w:t>ח ה</w:t>
      </w:r>
      <w:r w:rsidRPr="00B35B6B">
        <w:rPr>
          <w:rFonts w:hint="cs"/>
          <w:rtl/>
        </w:rPr>
        <w:t xml:space="preserve">חברות </w:t>
      </w:r>
      <w:proofErr w:type="spellStart"/>
      <w:r w:rsidRPr="00B35B6B">
        <w:rPr>
          <w:rFonts w:hint="cs"/>
          <w:rtl/>
        </w:rPr>
        <w:t>ו</w:t>
      </w:r>
      <w:r w:rsidR="00F40E3F" w:rsidRPr="00B35B6B">
        <w:rPr>
          <w:rFonts w:hint="cs"/>
          <w:rtl/>
        </w:rPr>
        <w:t>ה</w:t>
      </w:r>
      <w:r w:rsidRPr="00B35B6B">
        <w:rPr>
          <w:rFonts w:hint="cs"/>
          <w:rtl/>
        </w:rPr>
        <w:t>אג"ח</w:t>
      </w:r>
      <w:proofErr w:type="spellEnd"/>
      <w:r w:rsidRPr="00B35B6B">
        <w:rPr>
          <w:rFonts w:hint="cs"/>
          <w:rtl/>
        </w:rPr>
        <w:t xml:space="preserve"> </w:t>
      </w:r>
      <w:r w:rsidR="00F40E3F" w:rsidRPr="00B35B6B">
        <w:rPr>
          <w:rFonts w:hint="cs"/>
          <w:rtl/>
        </w:rPr>
        <w:t>ה</w:t>
      </w:r>
      <w:r w:rsidRPr="00B35B6B">
        <w:rPr>
          <w:rFonts w:hint="cs"/>
          <w:rtl/>
        </w:rPr>
        <w:t>ממשלתי</w:t>
      </w:r>
      <w:r w:rsidR="00094646" w:rsidRPr="00B35B6B">
        <w:rPr>
          <w:rFonts w:hint="cs"/>
          <w:rtl/>
        </w:rPr>
        <w:t>ות</w:t>
      </w:r>
      <w:r w:rsidRPr="00B35B6B">
        <w:rPr>
          <w:rFonts w:hint="cs"/>
          <w:rtl/>
        </w:rPr>
        <w:t xml:space="preserve"> </w:t>
      </w:r>
      <w:r w:rsidR="002311C3" w:rsidRPr="00B35B6B">
        <w:rPr>
          <w:rFonts w:hint="eastAsia"/>
          <w:rtl/>
        </w:rPr>
        <w:t>יחד</w:t>
      </w:r>
      <w:r w:rsidR="002311C3" w:rsidRPr="00B35B6B">
        <w:rPr>
          <w:rFonts w:hint="cs"/>
          <w:rtl/>
        </w:rPr>
        <w:t xml:space="preserve"> רואים</w:t>
      </w:r>
      <w:r w:rsidRPr="00B35B6B">
        <w:rPr>
          <w:rFonts w:hint="cs"/>
          <w:rtl/>
        </w:rPr>
        <w:t xml:space="preserve"> </w:t>
      </w:r>
      <w:r w:rsidR="00094646" w:rsidRPr="00B35B6B">
        <w:rPr>
          <w:rFonts w:hint="cs"/>
          <w:rtl/>
        </w:rPr>
        <w:t>ש</w:t>
      </w:r>
      <w:r w:rsidRPr="00B35B6B">
        <w:rPr>
          <w:rFonts w:hint="cs"/>
          <w:rtl/>
        </w:rPr>
        <w:t xml:space="preserve">היחס </w:t>
      </w:r>
      <w:r w:rsidR="00094646" w:rsidRPr="00B35B6B">
        <w:rPr>
          <w:rFonts w:hint="cs"/>
          <w:rtl/>
        </w:rPr>
        <w:t>הולך ועולה</w:t>
      </w:r>
      <w:r w:rsidRPr="00B35B6B">
        <w:rPr>
          <w:rFonts w:hint="cs"/>
          <w:rtl/>
        </w:rPr>
        <w:t xml:space="preserve"> מאז 2010</w:t>
      </w:r>
      <w:r w:rsidR="00094646" w:rsidRPr="00B35B6B">
        <w:rPr>
          <w:rFonts w:hint="cs"/>
          <w:rtl/>
        </w:rPr>
        <w:t xml:space="preserve">. </w:t>
      </w:r>
      <w:r w:rsidRPr="00B35B6B">
        <w:rPr>
          <w:rFonts w:hint="cs"/>
          <w:rtl/>
        </w:rPr>
        <w:t>בשנת 2020</w:t>
      </w:r>
      <w:r w:rsidRPr="00B35B6B">
        <w:t xml:space="preserve"> </w:t>
      </w:r>
      <w:r w:rsidRPr="00B35B6B">
        <w:rPr>
          <w:rFonts w:hint="cs"/>
          <w:rtl/>
        </w:rPr>
        <w:t xml:space="preserve">היקף הנכסים המנוהלים </w:t>
      </w:r>
      <w:r w:rsidR="00094646" w:rsidRPr="00B35B6B">
        <w:rPr>
          <w:rFonts w:hint="cs"/>
          <w:rtl/>
        </w:rPr>
        <w:t>ב</w:t>
      </w:r>
      <w:r w:rsidRPr="00B35B6B">
        <w:rPr>
          <w:rFonts w:hint="cs"/>
          <w:rtl/>
        </w:rPr>
        <w:t xml:space="preserve">ידי קרנות הפנסיה החדשות הגיע </w:t>
      </w:r>
      <w:r w:rsidR="00F40E3F" w:rsidRPr="00B35B6B">
        <w:rPr>
          <w:rFonts w:hint="cs"/>
          <w:rtl/>
        </w:rPr>
        <w:t>ל-</w:t>
      </w:r>
      <w:r w:rsidRPr="00B35B6B">
        <w:rPr>
          <w:rFonts w:hint="cs"/>
          <w:rtl/>
        </w:rPr>
        <w:t>24% משווי הנכסים הנסחרים בבורסה בתל אביב</w:t>
      </w:r>
      <w:r w:rsidR="00094646" w:rsidRPr="00B35B6B">
        <w:rPr>
          <w:rFonts w:hint="cs"/>
          <w:rtl/>
        </w:rPr>
        <w:t>.</w:t>
      </w:r>
      <w:r w:rsidRPr="00B35B6B">
        <w:rPr>
          <w:rFonts w:hint="cs"/>
          <w:rtl/>
        </w:rPr>
        <w:t xml:space="preserve"> (סך הנכסים של כל הגופים המוסדיים, למעט קרנות </w:t>
      </w:r>
      <w:r w:rsidR="00094646" w:rsidRPr="00B35B6B">
        <w:rPr>
          <w:rFonts w:hint="cs"/>
          <w:rtl/>
        </w:rPr>
        <w:t>ה</w:t>
      </w:r>
      <w:r w:rsidRPr="00B35B6B">
        <w:rPr>
          <w:rFonts w:hint="cs"/>
          <w:rtl/>
        </w:rPr>
        <w:t xml:space="preserve">נאמנות הגיע </w:t>
      </w:r>
      <w:r w:rsidR="00F40E3F" w:rsidRPr="00B35B6B">
        <w:rPr>
          <w:rFonts w:hint="cs"/>
          <w:rtl/>
        </w:rPr>
        <w:t>ל-</w:t>
      </w:r>
      <w:r w:rsidRPr="00B35B6B">
        <w:rPr>
          <w:rFonts w:hint="cs"/>
          <w:rtl/>
        </w:rPr>
        <w:t>99%</w:t>
      </w:r>
      <w:r w:rsidR="00094646" w:rsidRPr="00B35B6B">
        <w:rPr>
          <w:rFonts w:hint="cs"/>
          <w:rtl/>
        </w:rPr>
        <w:t>.</w:t>
      </w:r>
      <w:r w:rsidRPr="00B35B6B">
        <w:rPr>
          <w:rFonts w:hint="cs"/>
          <w:rtl/>
        </w:rPr>
        <w:t>)</w:t>
      </w:r>
      <w:bookmarkStart w:id="5" w:name="_Hlk97663279"/>
      <w:r w:rsidR="003B3668" w:rsidRPr="00B35B6B">
        <w:t xml:space="preserve"> </w:t>
      </w:r>
      <w:r w:rsidR="003B3668" w:rsidRPr="00B35B6B">
        <w:rPr>
          <w:rFonts w:hint="cs"/>
          <w:rtl/>
        </w:rPr>
        <w:t xml:space="preserve"> ראו </w:t>
      </w:r>
      <w:r w:rsidR="00036DBD" w:rsidRPr="00B35B6B">
        <w:rPr>
          <w:rtl/>
        </w:rPr>
        <w:fldChar w:fldCharType="begin"/>
      </w:r>
      <w:r w:rsidR="00036DBD" w:rsidRPr="00B35B6B">
        <w:rPr>
          <w:rtl/>
        </w:rPr>
        <w:instrText xml:space="preserve"> </w:instrText>
      </w:r>
      <w:r w:rsidR="00036DBD" w:rsidRPr="00B35B6B">
        <w:rPr>
          <w:rFonts w:hint="cs"/>
        </w:rPr>
        <w:instrText>REF</w:instrText>
      </w:r>
      <w:r w:rsidR="00036DBD" w:rsidRPr="00B35B6B">
        <w:rPr>
          <w:rFonts w:hint="cs"/>
          <w:rtl/>
        </w:rPr>
        <w:instrText xml:space="preserve"> _</w:instrText>
      </w:r>
      <w:r w:rsidR="00036DBD" w:rsidRPr="00B35B6B">
        <w:rPr>
          <w:rFonts w:hint="cs"/>
        </w:rPr>
        <w:instrText>Ref92298433 \h</w:instrText>
      </w:r>
      <w:r w:rsidR="00036DBD" w:rsidRPr="00B35B6B">
        <w:rPr>
          <w:rtl/>
        </w:rPr>
        <w:instrText xml:space="preserve"> </w:instrText>
      </w:r>
      <w:r w:rsidR="00B35B6B">
        <w:rPr>
          <w:rtl/>
        </w:rPr>
        <w:instrText xml:space="preserve"> \* </w:instrText>
      </w:r>
      <w:r w:rsidR="00B35B6B">
        <w:instrText>MERGEFORMAT</w:instrText>
      </w:r>
      <w:r w:rsidR="00B35B6B">
        <w:rPr>
          <w:rtl/>
        </w:rPr>
        <w:instrText xml:space="preserve"> </w:instrText>
      </w:r>
      <w:r w:rsidR="00036DBD" w:rsidRPr="00B35B6B">
        <w:rPr>
          <w:rtl/>
        </w:rPr>
      </w:r>
      <w:r w:rsidR="00036DBD" w:rsidRPr="00B35B6B">
        <w:rPr>
          <w:rtl/>
        </w:rPr>
        <w:fldChar w:fldCharType="separate"/>
      </w:r>
      <w:r w:rsidR="00036DBD" w:rsidRPr="00B35B6B">
        <w:rPr>
          <w:rtl/>
        </w:rPr>
        <w:t xml:space="preserve">איור </w:t>
      </w:r>
      <w:r w:rsidR="00036DBD" w:rsidRPr="00B35B6B">
        <w:rPr>
          <w:noProof/>
          <w:rtl/>
        </w:rPr>
        <w:t>3</w:t>
      </w:r>
      <w:r w:rsidR="00036DBD" w:rsidRPr="00B35B6B">
        <w:rPr>
          <w:rtl/>
        </w:rPr>
        <w:fldChar w:fldCharType="end"/>
      </w:r>
      <w:r w:rsidR="00036DBD" w:rsidRPr="00B35B6B">
        <w:rPr>
          <w:rFonts w:hint="cs"/>
          <w:rtl/>
        </w:rPr>
        <w:t xml:space="preserve">. </w:t>
      </w:r>
      <w:r w:rsidRPr="00B35B6B">
        <w:rPr>
          <w:rtl/>
        </w:rPr>
        <w:t xml:space="preserve"> </w:t>
      </w:r>
      <w:r w:rsidRPr="00B35B6B">
        <w:rPr>
          <w:rFonts w:hint="cs"/>
          <w:rtl/>
        </w:rPr>
        <w:t>השוואה של היקף גיוסי ההון (</w:t>
      </w:r>
      <w:r w:rsidR="00827BC3" w:rsidRPr="00B35B6B">
        <w:rPr>
          <w:rFonts w:hint="cs"/>
          <w:rtl/>
        </w:rPr>
        <w:t>ה</w:t>
      </w:r>
      <w:r w:rsidRPr="00B35B6B">
        <w:rPr>
          <w:rFonts w:hint="cs"/>
          <w:rtl/>
        </w:rPr>
        <w:t xml:space="preserve">מניות </w:t>
      </w:r>
      <w:proofErr w:type="spellStart"/>
      <w:r w:rsidRPr="00B35B6B">
        <w:rPr>
          <w:rFonts w:hint="cs"/>
          <w:rtl/>
        </w:rPr>
        <w:t>ו</w:t>
      </w:r>
      <w:r w:rsidR="00827BC3" w:rsidRPr="00B35B6B">
        <w:rPr>
          <w:rFonts w:hint="cs"/>
          <w:rtl/>
        </w:rPr>
        <w:t>ה</w:t>
      </w:r>
      <w:r w:rsidRPr="00B35B6B">
        <w:rPr>
          <w:rFonts w:hint="cs"/>
          <w:rtl/>
        </w:rPr>
        <w:t>אג"ח</w:t>
      </w:r>
      <w:proofErr w:type="spellEnd"/>
      <w:r w:rsidRPr="00B35B6B">
        <w:rPr>
          <w:rFonts w:hint="cs"/>
          <w:rtl/>
        </w:rPr>
        <w:t xml:space="preserve"> </w:t>
      </w:r>
      <w:r w:rsidRPr="00B35B6B">
        <w:rPr>
          <w:rFonts w:hint="eastAsia"/>
          <w:rtl/>
        </w:rPr>
        <w:t>נטו</w:t>
      </w:r>
      <w:r w:rsidRPr="00B35B6B">
        <w:rPr>
          <w:rFonts w:hint="cs"/>
          <w:rtl/>
        </w:rPr>
        <w:t>) בשוק לצבירות נטו של קרנות הפנסיה החדשות</w:t>
      </w:r>
      <w:r w:rsidR="00953862" w:rsidRPr="00B35B6B">
        <w:rPr>
          <w:rFonts w:hint="cs"/>
          <w:rtl/>
        </w:rPr>
        <w:t xml:space="preserve"> בתקופה 2018</w:t>
      </w:r>
      <w:r w:rsidR="00F061E5" w:rsidRPr="00B35B6B">
        <w:rPr>
          <w:rFonts w:hint="eastAsia"/>
          <w:rtl/>
        </w:rPr>
        <w:t>–</w:t>
      </w:r>
      <w:r w:rsidR="00953862" w:rsidRPr="00B35B6B">
        <w:rPr>
          <w:rFonts w:hint="cs"/>
          <w:rtl/>
        </w:rPr>
        <w:t>2021</w:t>
      </w:r>
      <w:r w:rsidR="00CC087B" w:rsidRPr="00B35B6B">
        <w:rPr>
          <w:rFonts w:hint="cs"/>
          <w:rtl/>
        </w:rPr>
        <w:t xml:space="preserve"> </w:t>
      </w:r>
      <w:r w:rsidR="00827BC3" w:rsidRPr="00B35B6B">
        <w:rPr>
          <w:rFonts w:hint="cs"/>
          <w:rtl/>
        </w:rPr>
        <w:t xml:space="preserve"> מלמדת </w:t>
      </w:r>
      <w:r w:rsidR="00F40E3F" w:rsidRPr="00B35B6B">
        <w:rPr>
          <w:rFonts w:hint="cs"/>
          <w:rtl/>
        </w:rPr>
        <w:t>ש</w:t>
      </w:r>
      <w:r w:rsidRPr="00B35B6B">
        <w:rPr>
          <w:rFonts w:hint="cs"/>
          <w:rtl/>
        </w:rPr>
        <w:t xml:space="preserve">היקף </w:t>
      </w:r>
      <w:r w:rsidR="00F40E3F" w:rsidRPr="00B35B6B">
        <w:rPr>
          <w:rFonts w:hint="cs"/>
          <w:rtl/>
        </w:rPr>
        <w:t>ה</w:t>
      </w:r>
      <w:r w:rsidRPr="00B35B6B">
        <w:rPr>
          <w:rFonts w:hint="cs"/>
          <w:rtl/>
        </w:rPr>
        <w:t>הנפקות המקומי</w:t>
      </w:r>
      <w:r w:rsidR="004E53CF" w:rsidRPr="00B35B6B">
        <w:rPr>
          <w:rFonts w:hint="cs"/>
          <w:rtl/>
        </w:rPr>
        <w:t xml:space="preserve"> של אג"ח ומניות</w:t>
      </w:r>
      <w:r w:rsidRPr="00B35B6B">
        <w:rPr>
          <w:rFonts w:hint="cs"/>
          <w:rtl/>
        </w:rPr>
        <w:t xml:space="preserve"> היה דומה להיקף הצבירות</w:t>
      </w:r>
      <w:r w:rsidRPr="00B35B6B">
        <w:t xml:space="preserve"> </w:t>
      </w:r>
      <w:r w:rsidRPr="00B35B6B">
        <w:rPr>
          <w:rFonts w:hint="cs"/>
          <w:rtl/>
        </w:rPr>
        <w:t xml:space="preserve">בקרנות </w:t>
      </w:r>
      <w:r w:rsidR="00F40E3F" w:rsidRPr="00B35B6B">
        <w:rPr>
          <w:rFonts w:hint="cs"/>
          <w:rtl/>
        </w:rPr>
        <w:t>אלה,</w:t>
      </w:r>
      <w:r w:rsidRPr="00B35B6B">
        <w:rPr>
          <w:rFonts w:hint="cs"/>
          <w:rtl/>
        </w:rPr>
        <w:t xml:space="preserve"> </w:t>
      </w:r>
      <w:r w:rsidR="00F40E3F" w:rsidRPr="00B35B6B">
        <w:rPr>
          <w:rFonts w:hint="cs"/>
          <w:rtl/>
        </w:rPr>
        <w:t>ו</w:t>
      </w:r>
      <w:r w:rsidRPr="00B35B6B">
        <w:rPr>
          <w:rFonts w:hint="cs"/>
          <w:rtl/>
        </w:rPr>
        <w:t xml:space="preserve">היקף </w:t>
      </w:r>
      <w:r w:rsidR="00F40E3F" w:rsidRPr="00B35B6B">
        <w:rPr>
          <w:rFonts w:hint="cs"/>
          <w:rtl/>
        </w:rPr>
        <w:t>ה</w:t>
      </w:r>
      <w:r w:rsidRPr="00B35B6B">
        <w:rPr>
          <w:rFonts w:hint="cs"/>
          <w:rtl/>
        </w:rPr>
        <w:t xml:space="preserve">הנפקות </w:t>
      </w:r>
      <w:r w:rsidR="00F40E3F" w:rsidRPr="00B35B6B">
        <w:rPr>
          <w:rFonts w:hint="cs"/>
          <w:rtl/>
        </w:rPr>
        <w:t xml:space="preserve">של </w:t>
      </w:r>
      <w:r w:rsidRPr="00B35B6B">
        <w:rPr>
          <w:rFonts w:hint="cs"/>
          <w:rtl/>
        </w:rPr>
        <w:t xml:space="preserve">המניות </w:t>
      </w:r>
      <w:r w:rsidRPr="00B35B6B">
        <w:rPr>
          <w:rFonts w:hint="eastAsia"/>
          <w:rtl/>
        </w:rPr>
        <w:t>בלבד</w:t>
      </w:r>
      <w:r w:rsidRPr="00B35B6B">
        <w:rPr>
          <w:rFonts w:hint="cs"/>
          <w:rtl/>
        </w:rPr>
        <w:t xml:space="preserve"> היה קטן מהיקף הצבירות</w:t>
      </w:r>
      <w:r w:rsidR="00827BC3" w:rsidRPr="00B35B6B">
        <w:rPr>
          <w:rFonts w:hint="cs"/>
          <w:rtl/>
        </w:rPr>
        <w:t xml:space="preserve"> בהן</w:t>
      </w:r>
      <w:r w:rsidRPr="00B35B6B">
        <w:rPr>
          <w:rFonts w:hint="cs"/>
          <w:rtl/>
        </w:rPr>
        <w:t xml:space="preserve"> בכל אחת מעשר השנים האחרונות</w:t>
      </w:r>
      <w:bookmarkEnd w:id="5"/>
      <w:r w:rsidRPr="00B35B6B">
        <w:rPr>
          <w:rFonts w:hint="cs"/>
          <w:rtl/>
        </w:rPr>
        <w:t xml:space="preserve">. </w:t>
      </w:r>
    </w:p>
    <w:p w14:paraId="413FFD93" w14:textId="32AB6E7A" w:rsidR="009B263E" w:rsidRPr="00B35B6B" w:rsidRDefault="009B263E" w:rsidP="00C2547F">
      <w:pPr>
        <w:spacing w:line="360" w:lineRule="auto"/>
        <w:jc w:val="both"/>
        <w:rPr>
          <w:rtl/>
        </w:rPr>
      </w:pPr>
      <w:r w:rsidRPr="00B35B6B">
        <w:rPr>
          <w:rFonts w:hint="cs"/>
          <w:rtl/>
        </w:rPr>
        <w:t xml:space="preserve">כאשר בוחנים את המגבלות </w:t>
      </w:r>
      <w:r w:rsidR="00CC087B" w:rsidRPr="00B35B6B">
        <w:rPr>
          <w:rFonts w:hint="cs"/>
          <w:rtl/>
        </w:rPr>
        <w:t xml:space="preserve">החלות על  ההשקעה של </w:t>
      </w:r>
      <w:r w:rsidRPr="00B35B6B">
        <w:rPr>
          <w:rFonts w:hint="cs"/>
          <w:rtl/>
        </w:rPr>
        <w:t>קרנות הפנסיה בשוק המקומי לא מוצאים עדויות למגבלות רגולטוריות כובלות</w:t>
      </w:r>
      <w:r w:rsidR="00CC087B" w:rsidRPr="00B35B6B">
        <w:rPr>
          <w:rFonts w:hint="cs"/>
          <w:rtl/>
        </w:rPr>
        <w:t>,</w:t>
      </w:r>
      <w:r w:rsidRPr="00B35B6B">
        <w:rPr>
          <w:rFonts w:hint="cs"/>
          <w:rtl/>
        </w:rPr>
        <w:t xml:space="preserve"> </w:t>
      </w:r>
      <w:r w:rsidR="005847B2" w:rsidRPr="00B35B6B">
        <w:rPr>
          <w:rFonts w:hint="cs"/>
          <w:rtl/>
        </w:rPr>
        <w:t xml:space="preserve">המונעות </w:t>
      </w:r>
      <w:r w:rsidR="00CC087B" w:rsidRPr="00B35B6B">
        <w:rPr>
          <w:rFonts w:hint="cs"/>
          <w:rtl/>
        </w:rPr>
        <w:t xml:space="preserve">מהן </w:t>
      </w:r>
      <w:r w:rsidRPr="00B35B6B">
        <w:rPr>
          <w:rFonts w:hint="cs"/>
          <w:rtl/>
        </w:rPr>
        <w:t xml:space="preserve"> להשקיע </w:t>
      </w:r>
      <w:r w:rsidR="00CC087B" w:rsidRPr="00B35B6B">
        <w:rPr>
          <w:rFonts w:hint="cs"/>
          <w:rtl/>
        </w:rPr>
        <w:t>בו יותר.</w:t>
      </w:r>
      <w:r w:rsidR="005847B2" w:rsidRPr="00B35B6B">
        <w:rPr>
          <w:rFonts w:hint="cs"/>
          <w:rtl/>
        </w:rPr>
        <w:t xml:space="preserve"> </w:t>
      </w:r>
      <w:r w:rsidRPr="00B35B6B">
        <w:rPr>
          <w:rFonts w:hint="cs"/>
          <w:rtl/>
        </w:rPr>
        <w:t xml:space="preserve"> </w:t>
      </w:r>
      <w:r w:rsidR="00F061E5" w:rsidRPr="00B35B6B">
        <w:rPr>
          <w:rFonts w:hint="cs"/>
          <w:rtl/>
        </w:rPr>
        <w:t xml:space="preserve">עם </w:t>
      </w:r>
      <w:r w:rsidRPr="00B35B6B">
        <w:rPr>
          <w:rFonts w:hint="cs"/>
          <w:rtl/>
        </w:rPr>
        <w:t xml:space="preserve">זאת נראה </w:t>
      </w:r>
      <w:r w:rsidR="005847B2" w:rsidRPr="00B35B6B">
        <w:rPr>
          <w:rFonts w:hint="cs"/>
          <w:rtl/>
        </w:rPr>
        <w:t>שהיקף</w:t>
      </w:r>
      <w:r w:rsidRPr="00B35B6B">
        <w:rPr>
          <w:rFonts w:hint="cs"/>
          <w:rtl/>
        </w:rPr>
        <w:t xml:space="preserve"> השוק המקומי קטן ביחס </w:t>
      </w:r>
      <w:r w:rsidR="005847B2" w:rsidRPr="00B35B6B">
        <w:rPr>
          <w:rFonts w:hint="cs"/>
          <w:rtl/>
        </w:rPr>
        <w:t xml:space="preserve">לגודלו של </w:t>
      </w:r>
      <w:r w:rsidRPr="00B35B6B">
        <w:rPr>
          <w:rFonts w:hint="cs"/>
          <w:rtl/>
        </w:rPr>
        <w:t xml:space="preserve">תיק הפנסיה (והמוסדיים בכלל) ולהיקף </w:t>
      </w:r>
      <w:r w:rsidR="00F061E5" w:rsidRPr="00B35B6B">
        <w:rPr>
          <w:rFonts w:hint="cs"/>
          <w:rtl/>
        </w:rPr>
        <w:t xml:space="preserve">ההפקדות </w:t>
      </w:r>
      <w:r w:rsidR="00F061E5" w:rsidRPr="00B35B6B">
        <w:rPr>
          <w:rFonts w:hint="eastAsia"/>
          <w:rtl/>
        </w:rPr>
        <w:t>נטו</w:t>
      </w:r>
      <w:r w:rsidR="00F061E5" w:rsidRPr="00B35B6B">
        <w:rPr>
          <w:rtl/>
        </w:rPr>
        <w:t>,</w:t>
      </w:r>
      <w:r w:rsidR="00A94694" w:rsidRPr="00B35B6B">
        <w:rPr>
          <w:rtl/>
        </w:rPr>
        <w:t xml:space="preserve"> </w:t>
      </w:r>
      <w:r w:rsidR="00A94694" w:rsidRPr="00B35B6B">
        <w:rPr>
          <w:rFonts w:hint="eastAsia"/>
          <w:rtl/>
        </w:rPr>
        <w:t>ומה</w:t>
      </w:r>
      <w:r w:rsidR="00A94694" w:rsidRPr="00B35B6B">
        <w:rPr>
          <w:rtl/>
        </w:rPr>
        <w:t xml:space="preserve"> </w:t>
      </w:r>
      <w:r w:rsidR="00A94694" w:rsidRPr="00B35B6B">
        <w:rPr>
          <w:rFonts w:hint="eastAsia"/>
          <w:rtl/>
        </w:rPr>
        <w:t>עוד</w:t>
      </w:r>
      <w:r w:rsidRPr="00B35B6B">
        <w:rPr>
          <w:rtl/>
        </w:rPr>
        <w:t xml:space="preserve"> </w:t>
      </w:r>
      <w:r w:rsidR="00C45E35" w:rsidRPr="00B35B6B">
        <w:rPr>
          <w:rFonts w:hint="eastAsia"/>
          <w:rtl/>
        </w:rPr>
        <w:t>שבשוק</w:t>
      </w:r>
      <w:r w:rsidR="00C45E35" w:rsidRPr="00B35B6B">
        <w:rPr>
          <w:rtl/>
        </w:rPr>
        <w:t xml:space="preserve"> פועלים  </w:t>
      </w:r>
      <w:r w:rsidRPr="00B35B6B">
        <w:rPr>
          <w:rFonts w:hint="eastAsia"/>
          <w:rtl/>
        </w:rPr>
        <w:t>משקיעים</w:t>
      </w:r>
      <w:r w:rsidRPr="00B35B6B">
        <w:rPr>
          <w:rtl/>
        </w:rPr>
        <w:t xml:space="preserve"> נוספים, לטווח ארוך </w:t>
      </w:r>
      <w:r w:rsidRPr="00B35B6B">
        <w:rPr>
          <w:rFonts w:hint="eastAsia"/>
          <w:rtl/>
        </w:rPr>
        <w:t>וקצר</w:t>
      </w:r>
      <w:r w:rsidRPr="00B35B6B">
        <w:rPr>
          <w:rtl/>
        </w:rPr>
        <w:t xml:space="preserve">. </w:t>
      </w:r>
    </w:p>
    <w:p w14:paraId="4EEFD0AF" w14:textId="43D7B4BC" w:rsidR="009B263E" w:rsidRPr="00B35B6B" w:rsidRDefault="009B263E" w:rsidP="00C2547F">
      <w:pPr>
        <w:spacing w:line="360" w:lineRule="auto"/>
        <w:jc w:val="both"/>
        <w:rPr>
          <w:rtl/>
        </w:rPr>
      </w:pPr>
      <w:r w:rsidRPr="00B35B6B">
        <w:rPr>
          <w:rFonts w:hint="cs"/>
          <w:rtl/>
        </w:rPr>
        <w:t>ב</w:t>
      </w:r>
      <w:r w:rsidR="00A94694" w:rsidRPr="00B35B6B">
        <w:rPr>
          <w:rFonts w:hint="cs"/>
          <w:rtl/>
        </w:rPr>
        <w:t xml:space="preserve">צד היתרונות </w:t>
      </w:r>
      <w:r w:rsidR="005847B2" w:rsidRPr="00B35B6B">
        <w:rPr>
          <w:rFonts w:hint="cs"/>
          <w:rtl/>
        </w:rPr>
        <w:t xml:space="preserve">של </w:t>
      </w:r>
      <w:r w:rsidR="00F061E5" w:rsidRPr="00B35B6B">
        <w:rPr>
          <w:rFonts w:hint="cs"/>
          <w:rtl/>
        </w:rPr>
        <w:t xml:space="preserve">השקעת </w:t>
      </w:r>
      <w:r w:rsidRPr="00B35B6B">
        <w:rPr>
          <w:rFonts w:hint="cs"/>
          <w:rtl/>
        </w:rPr>
        <w:t>קרנות הפנסיה בשוק המקומי</w:t>
      </w:r>
      <w:r w:rsidR="00440198" w:rsidRPr="00B35B6B">
        <w:rPr>
          <w:rFonts w:hint="cs"/>
          <w:rtl/>
        </w:rPr>
        <w:t>,</w:t>
      </w:r>
      <w:r w:rsidRPr="00B35B6B">
        <w:rPr>
          <w:rFonts w:hint="cs"/>
          <w:rtl/>
        </w:rPr>
        <w:t xml:space="preserve"> </w:t>
      </w:r>
      <w:r w:rsidR="00A94694" w:rsidRPr="00B35B6B">
        <w:rPr>
          <w:rFonts w:hint="eastAsia"/>
          <w:rtl/>
        </w:rPr>
        <w:t>ובראשם</w:t>
      </w:r>
      <w:r w:rsidR="00A94694" w:rsidRPr="00B35B6B">
        <w:rPr>
          <w:rFonts w:hint="cs"/>
          <w:rtl/>
        </w:rPr>
        <w:t xml:space="preserve"> </w:t>
      </w:r>
      <w:r w:rsidRPr="00B35B6B">
        <w:rPr>
          <w:rFonts w:hint="cs"/>
          <w:rtl/>
        </w:rPr>
        <w:t xml:space="preserve">הרחבת היצע </w:t>
      </w:r>
      <w:r w:rsidR="00440198" w:rsidRPr="00B35B6B">
        <w:rPr>
          <w:rFonts w:hint="cs"/>
          <w:rtl/>
        </w:rPr>
        <w:t>ה</w:t>
      </w:r>
      <w:r w:rsidRPr="00B35B6B">
        <w:rPr>
          <w:rFonts w:hint="cs"/>
          <w:rtl/>
        </w:rPr>
        <w:t>הון למימון הפעילות העסקית</w:t>
      </w:r>
      <w:r w:rsidR="00440198" w:rsidRPr="00B35B6B">
        <w:rPr>
          <w:rFonts w:hint="cs"/>
          <w:rtl/>
        </w:rPr>
        <w:t>,</w:t>
      </w:r>
      <w:r w:rsidRPr="00B35B6B">
        <w:rPr>
          <w:rFonts w:hint="cs"/>
          <w:rtl/>
        </w:rPr>
        <w:t xml:space="preserve"> </w:t>
      </w:r>
      <w:r w:rsidR="00A94694" w:rsidRPr="00B35B6B">
        <w:rPr>
          <w:rFonts w:hint="eastAsia"/>
          <w:rtl/>
        </w:rPr>
        <w:t>כרוכות</w:t>
      </w:r>
      <w:r w:rsidR="00A94694" w:rsidRPr="00B35B6B">
        <w:rPr>
          <w:rtl/>
        </w:rPr>
        <w:t xml:space="preserve"> </w:t>
      </w:r>
      <w:r w:rsidR="00A94694" w:rsidRPr="00B35B6B">
        <w:rPr>
          <w:rFonts w:hint="eastAsia"/>
          <w:rtl/>
        </w:rPr>
        <w:t>בה</w:t>
      </w:r>
      <w:r w:rsidR="00A94694" w:rsidRPr="00B35B6B">
        <w:rPr>
          <w:rtl/>
        </w:rPr>
        <w:t xml:space="preserve">, לפחות בפוטנציה, </w:t>
      </w:r>
      <w:r w:rsidRPr="00B35B6B">
        <w:rPr>
          <w:rFonts w:hint="eastAsia"/>
          <w:rtl/>
        </w:rPr>
        <w:t>גם</w:t>
      </w:r>
      <w:r w:rsidRPr="00B35B6B">
        <w:rPr>
          <w:rFonts w:hint="cs"/>
          <w:rtl/>
        </w:rPr>
        <w:t xml:space="preserve"> השלכות שליליות. </w:t>
      </w:r>
      <w:r w:rsidR="00440198" w:rsidRPr="00B35B6B">
        <w:rPr>
          <w:rFonts w:hint="cs"/>
          <w:rtl/>
        </w:rPr>
        <w:t>ה</w:t>
      </w:r>
      <w:r w:rsidRPr="00B35B6B">
        <w:rPr>
          <w:rFonts w:hint="cs"/>
          <w:rtl/>
        </w:rPr>
        <w:t>החזקה של קרנות הפנסיה בנכסים שונים עלולה</w:t>
      </w:r>
      <w:r w:rsidR="00440198" w:rsidRPr="00B35B6B">
        <w:rPr>
          <w:rFonts w:hint="cs"/>
          <w:rtl/>
        </w:rPr>
        <w:t>,</w:t>
      </w:r>
      <w:r w:rsidRPr="00B35B6B">
        <w:rPr>
          <w:rFonts w:hint="cs"/>
          <w:rtl/>
        </w:rPr>
        <w:t xml:space="preserve"> בזמני משבר</w:t>
      </w:r>
      <w:r w:rsidR="00F061E5" w:rsidRPr="00B35B6B">
        <w:rPr>
          <w:rFonts w:hint="cs"/>
          <w:rtl/>
        </w:rPr>
        <w:t>,</w:t>
      </w:r>
      <w:r w:rsidRPr="00B35B6B">
        <w:rPr>
          <w:rFonts w:hint="cs"/>
          <w:rtl/>
        </w:rPr>
        <w:t xml:space="preserve"> </w:t>
      </w:r>
      <w:r w:rsidR="00440198" w:rsidRPr="00B35B6B">
        <w:rPr>
          <w:rFonts w:hint="cs"/>
          <w:rtl/>
        </w:rPr>
        <w:t xml:space="preserve">להשפיע </w:t>
      </w:r>
      <w:r w:rsidRPr="00B35B6B">
        <w:rPr>
          <w:rFonts w:hint="cs"/>
          <w:rtl/>
        </w:rPr>
        <w:t>על שווי הנכסים</w:t>
      </w:r>
      <w:r w:rsidR="00440198" w:rsidRPr="00B35B6B">
        <w:rPr>
          <w:rFonts w:hint="cs"/>
          <w:rtl/>
        </w:rPr>
        <w:t>,</w:t>
      </w:r>
      <w:r w:rsidRPr="00B35B6B">
        <w:rPr>
          <w:rFonts w:hint="cs"/>
          <w:rtl/>
        </w:rPr>
        <w:t xml:space="preserve"> בעיקר </w:t>
      </w:r>
      <w:r w:rsidR="00440198" w:rsidRPr="00B35B6B">
        <w:rPr>
          <w:rFonts w:hint="cs"/>
          <w:rtl/>
        </w:rPr>
        <w:t>כשה</w:t>
      </w:r>
      <w:r w:rsidRPr="00B35B6B">
        <w:rPr>
          <w:rFonts w:hint="cs"/>
          <w:rtl/>
        </w:rPr>
        <w:t xml:space="preserve">תנודתיות </w:t>
      </w:r>
      <w:r w:rsidR="00440198" w:rsidRPr="00B35B6B">
        <w:rPr>
          <w:rFonts w:hint="cs"/>
          <w:rtl/>
        </w:rPr>
        <w:t xml:space="preserve">בשווקים </w:t>
      </w:r>
      <w:r w:rsidRPr="00B35B6B">
        <w:rPr>
          <w:rFonts w:hint="cs"/>
          <w:rtl/>
        </w:rPr>
        <w:t>גבוהה</w:t>
      </w:r>
      <w:r w:rsidR="00440198" w:rsidRPr="00B35B6B">
        <w:rPr>
          <w:rFonts w:hint="cs"/>
          <w:rtl/>
        </w:rPr>
        <w:t xml:space="preserve">, </w:t>
      </w:r>
      <w:r w:rsidR="00984BE7" w:rsidRPr="00B35B6B">
        <w:rPr>
          <w:rFonts w:hint="cs"/>
          <w:rtl/>
        </w:rPr>
        <w:t>מה אכן אירע</w:t>
      </w:r>
      <w:r w:rsidRPr="00B35B6B">
        <w:rPr>
          <w:rFonts w:hint="cs"/>
          <w:rtl/>
        </w:rPr>
        <w:t xml:space="preserve"> </w:t>
      </w:r>
      <w:r w:rsidR="00440198" w:rsidRPr="00B35B6B">
        <w:rPr>
          <w:rFonts w:hint="cs"/>
          <w:rtl/>
        </w:rPr>
        <w:t>ב</w:t>
      </w:r>
      <w:r w:rsidRPr="00B35B6B">
        <w:rPr>
          <w:rFonts w:hint="cs"/>
          <w:rtl/>
        </w:rPr>
        <w:t>משבר הקורונה</w:t>
      </w:r>
      <w:r w:rsidR="00984BE7" w:rsidRPr="00B35B6B">
        <w:rPr>
          <w:rFonts w:hint="cs"/>
          <w:rtl/>
        </w:rPr>
        <w:t>,</w:t>
      </w:r>
      <w:r w:rsidRPr="00B35B6B">
        <w:rPr>
          <w:rFonts w:hint="cs"/>
          <w:rtl/>
        </w:rPr>
        <w:t xml:space="preserve"> במרץ 2020</w:t>
      </w:r>
      <w:r w:rsidR="00984BE7" w:rsidRPr="00B35B6B">
        <w:rPr>
          <w:rFonts w:hint="cs"/>
          <w:rtl/>
        </w:rPr>
        <w:t>.</w:t>
      </w:r>
      <w:r w:rsidR="00440198" w:rsidRPr="00B35B6B">
        <w:rPr>
          <w:rFonts w:hint="cs"/>
          <w:rtl/>
        </w:rPr>
        <w:t xml:space="preserve"> </w:t>
      </w:r>
      <w:r w:rsidRPr="00B35B6B">
        <w:rPr>
          <w:rFonts w:hint="cs"/>
          <w:rtl/>
        </w:rPr>
        <w:t>(להרחבה ראו תיבה 3 בדוח היציבות הפיננסית למחצית השנייה של 2020</w:t>
      </w:r>
      <w:r w:rsidR="00984BE7" w:rsidRPr="00B35B6B">
        <w:rPr>
          <w:rFonts w:hint="cs"/>
          <w:rtl/>
        </w:rPr>
        <w:t>.)</w:t>
      </w:r>
      <w:r w:rsidRPr="00B35B6B">
        <w:rPr>
          <w:rFonts w:hint="cs"/>
          <w:rtl/>
        </w:rPr>
        <w:t xml:space="preserve"> </w:t>
      </w:r>
      <w:r w:rsidR="00C759AD" w:rsidRPr="00B35B6B">
        <w:rPr>
          <w:rFonts w:hint="cs"/>
          <w:rtl/>
        </w:rPr>
        <w:t xml:space="preserve">בימי שגרה החזקה משמעותית של קרנות הפנסיה  עלולה  לצמצם את נזילות </w:t>
      </w:r>
      <w:r w:rsidRPr="00B35B6B">
        <w:rPr>
          <w:rFonts w:hint="cs"/>
          <w:rtl/>
        </w:rPr>
        <w:t>המסחר</w:t>
      </w:r>
      <w:r w:rsidR="00984BE7" w:rsidRPr="00B35B6B">
        <w:rPr>
          <w:rFonts w:hint="cs"/>
          <w:rtl/>
        </w:rPr>
        <w:t>.</w:t>
      </w:r>
      <w:r w:rsidRPr="00B35B6B">
        <w:rPr>
          <w:rFonts w:hint="cs"/>
          <w:rtl/>
        </w:rPr>
        <w:t xml:space="preserve"> (</w:t>
      </w:r>
      <w:r w:rsidRPr="00027B00">
        <w:rPr>
          <w:rFonts w:hint="cs"/>
          <w:rtl/>
        </w:rPr>
        <w:t>ראו "</w:t>
      </w:r>
      <w:r w:rsidRPr="00027B00">
        <w:rPr>
          <w:rtl/>
        </w:rPr>
        <w:t>התפתחויות בניהול כספי הציבור בישראל בעשור האחרון והשלכותיהן על שוק ההון</w:t>
      </w:r>
      <w:r w:rsidRPr="00027B00">
        <w:rPr>
          <w:rFonts w:hint="cs"/>
          <w:rtl/>
        </w:rPr>
        <w:t>"</w:t>
      </w:r>
      <w:r w:rsidR="00E65BAB" w:rsidRPr="00027B00">
        <w:rPr>
          <w:rStyle w:val="ad"/>
          <w:rtl/>
        </w:rPr>
        <w:footnoteReference w:id="5"/>
      </w:r>
      <w:r w:rsidRPr="00027B00">
        <w:rPr>
          <w:rFonts w:hint="cs"/>
          <w:rtl/>
        </w:rPr>
        <w:t xml:space="preserve"> נייר עבודה של </w:t>
      </w:r>
      <w:r w:rsidR="00373C5B" w:rsidRPr="00027B00">
        <w:rPr>
          <w:rFonts w:hint="cs"/>
          <w:rtl/>
        </w:rPr>
        <w:t>ה</w:t>
      </w:r>
      <w:r w:rsidRPr="00027B00">
        <w:rPr>
          <w:rFonts w:hint="cs"/>
          <w:rtl/>
        </w:rPr>
        <w:t>רשות לניירות ערך</w:t>
      </w:r>
      <w:r w:rsidR="00984BE7" w:rsidRPr="00027B00">
        <w:rPr>
          <w:rFonts w:hint="cs"/>
          <w:rtl/>
        </w:rPr>
        <w:t>.</w:t>
      </w:r>
      <w:r w:rsidRPr="00027B00">
        <w:rPr>
          <w:rFonts w:hint="cs"/>
          <w:rtl/>
        </w:rPr>
        <w:t>)</w:t>
      </w:r>
      <w:r w:rsidR="00984BE7" w:rsidRPr="00027B00">
        <w:rPr>
          <w:rFonts w:hint="cs"/>
          <w:rtl/>
        </w:rPr>
        <w:t xml:space="preserve"> </w:t>
      </w:r>
      <w:r w:rsidR="00984BE7" w:rsidRPr="00B35B6B">
        <w:rPr>
          <w:rFonts w:hint="cs"/>
          <w:rtl/>
        </w:rPr>
        <w:t>זאת</w:t>
      </w:r>
      <w:r w:rsidR="00C759AD" w:rsidRPr="00B35B6B">
        <w:rPr>
          <w:rFonts w:hint="cs"/>
          <w:rtl/>
        </w:rPr>
        <w:t xml:space="preserve"> משום שעמיתיהן הם</w:t>
      </w:r>
      <w:r w:rsidRPr="00B35B6B">
        <w:rPr>
          <w:rFonts w:hint="cs"/>
          <w:rtl/>
        </w:rPr>
        <w:t xml:space="preserve"> משקיעים לטווח ארוך</w:t>
      </w:r>
      <w:r w:rsidR="00C759AD" w:rsidRPr="00B35B6B">
        <w:rPr>
          <w:rFonts w:hint="cs"/>
          <w:rtl/>
        </w:rPr>
        <w:t>,</w:t>
      </w:r>
      <w:r w:rsidRPr="00B35B6B">
        <w:rPr>
          <w:rFonts w:hint="cs"/>
          <w:rtl/>
        </w:rPr>
        <w:t xml:space="preserve"> </w:t>
      </w:r>
      <w:r w:rsidR="00984BE7" w:rsidRPr="00B35B6B">
        <w:rPr>
          <w:rFonts w:hint="cs"/>
          <w:rtl/>
        </w:rPr>
        <w:t>אשר</w:t>
      </w:r>
      <w:r w:rsidR="00E15DAD" w:rsidRPr="00B35B6B">
        <w:rPr>
          <w:rFonts w:hint="cs"/>
          <w:rtl/>
        </w:rPr>
        <w:t xml:space="preserve"> </w:t>
      </w:r>
      <w:r w:rsidR="00C759AD" w:rsidRPr="00B35B6B">
        <w:rPr>
          <w:rFonts w:hint="cs"/>
          <w:rtl/>
        </w:rPr>
        <w:t>אינם</w:t>
      </w:r>
      <w:r w:rsidRPr="00B35B6B">
        <w:rPr>
          <w:rFonts w:hint="cs"/>
          <w:rtl/>
        </w:rPr>
        <w:t xml:space="preserve"> מעוניינים במסחר תדיר. </w:t>
      </w:r>
    </w:p>
    <w:p w14:paraId="6125B312" w14:textId="047A65BB" w:rsidR="009B263E" w:rsidRPr="00B35B6B" w:rsidRDefault="009B263E" w:rsidP="00C2547F">
      <w:pPr>
        <w:spacing w:line="360" w:lineRule="auto"/>
        <w:jc w:val="both"/>
        <w:rPr>
          <w:i/>
          <w:iCs/>
          <w:color w:val="44546A" w:themeColor="text2"/>
          <w:sz w:val="18"/>
          <w:szCs w:val="18"/>
          <w:rtl/>
        </w:rPr>
      </w:pPr>
      <w:r w:rsidRPr="00B35B6B">
        <w:rPr>
          <w:rFonts w:hint="eastAsia"/>
          <w:rtl/>
        </w:rPr>
        <w:t>המוסדיים</w:t>
      </w:r>
      <w:r w:rsidR="000F361F" w:rsidRPr="00B35B6B">
        <w:rPr>
          <w:rtl/>
        </w:rPr>
        <w:t xml:space="preserve"> משקיעים, כאמור, גם </w:t>
      </w:r>
      <w:r w:rsidR="000F361F" w:rsidRPr="00B35B6B">
        <w:rPr>
          <w:rFonts w:hint="eastAsia"/>
          <w:rtl/>
        </w:rPr>
        <w:t>במט</w:t>
      </w:r>
      <w:r w:rsidR="000F361F" w:rsidRPr="00B35B6B">
        <w:rPr>
          <w:rtl/>
        </w:rPr>
        <w:t xml:space="preserve">"ח </w:t>
      </w:r>
      <w:r w:rsidR="000F361F" w:rsidRPr="00B35B6B">
        <w:rPr>
          <w:rFonts w:hint="cs"/>
          <w:rtl/>
        </w:rPr>
        <w:t>בחו"ל,</w:t>
      </w:r>
      <w:r w:rsidR="006A5AA6" w:rsidRPr="00B35B6B">
        <w:rPr>
          <w:rFonts w:hint="cs"/>
          <w:rtl/>
        </w:rPr>
        <w:t xml:space="preserve"> </w:t>
      </w:r>
      <w:r w:rsidR="000F361F" w:rsidRPr="00B35B6B">
        <w:rPr>
          <w:rFonts w:hint="cs"/>
          <w:rtl/>
        </w:rPr>
        <w:t xml:space="preserve">ובכך </w:t>
      </w:r>
      <w:r w:rsidR="000F361F" w:rsidRPr="00B35B6B">
        <w:rPr>
          <w:rFonts w:hint="eastAsia"/>
          <w:rtl/>
        </w:rPr>
        <w:t>הם</w:t>
      </w:r>
      <w:r w:rsidR="000F361F" w:rsidRPr="00B35B6B">
        <w:rPr>
          <w:rtl/>
        </w:rPr>
        <w:t xml:space="preserve"> </w:t>
      </w:r>
      <w:r w:rsidR="000F361F" w:rsidRPr="00B35B6B">
        <w:rPr>
          <w:rFonts w:hint="eastAsia"/>
          <w:rtl/>
        </w:rPr>
        <w:t>משפיעים</w:t>
      </w:r>
      <w:r w:rsidR="00984BE7" w:rsidRPr="00B35B6B">
        <w:rPr>
          <w:rtl/>
        </w:rPr>
        <w:t xml:space="preserve"> </w:t>
      </w:r>
      <w:r w:rsidR="00C45E35" w:rsidRPr="00B35B6B">
        <w:rPr>
          <w:rtl/>
        </w:rPr>
        <w:t xml:space="preserve"> </w:t>
      </w:r>
      <w:r w:rsidRPr="00B35B6B">
        <w:rPr>
          <w:rFonts w:hint="cs"/>
          <w:rtl/>
        </w:rPr>
        <w:t xml:space="preserve">על שוק </w:t>
      </w:r>
      <w:proofErr w:type="spellStart"/>
      <w:r w:rsidRPr="00B35B6B">
        <w:rPr>
          <w:rFonts w:hint="cs"/>
          <w:rtl/>
        </w:rPr>
        <w:t>המט"ח</w:t>
      </w:r>
      <w:proofErr w:type="spellEnd"/>
      <w:r w:rsidRPr="00B35B6B">
        <w:rPr>
          <w:rFonts w:hint="cs"/>
          <w:rtl/>
        </w:rPr>
        <w:t xml:space="preserve">. אסטרטגיות ההשקעה של המוסדיים </w:t>
      </w:r>
      <w:r w:rsidR="00984BE7" w:rsidRPr="00B35B6B">
        <w:rPr>
          <w:rFonts w:hint="cs"/>
          <w:rtl/>
        </w:rPr>
        <w:t xml:space="preserve">יכולות </w:t>
      </w:r>
      <w:r w:rsidR="00041670" w:rsidRPr="00B35B6B">
        <w:rPr>
          <w:rFonts w:hint="cs"/>
          <w:rtl/>
        </w:rPr>
        <w:t xml:space="preserve">אפוא </w:t>
      </w:r>
      <w:r w:rsidRPr="00B35B6B">
        <w:rPr>
          <w:rFonts w:hint="cs"/>
          <w:rtl/>
        </w:rPr>
        <w:t>להביא למכירות (או רכישות)</w:t>
      </w:r>
      <w:r w:rsidRPr="00B35B6B">
        <w:rPr>
          <w:rFonts w:hint="cs"/>
        </w:rPr>
        <w:t xml:space="preserve"> </w:t>
      </w:r>
      <w:r w:rsidRPr="00B35B6B">
        <w:rPr>
          <w:rFonts w:hint="cs"/>
          <w:rtl/>
        </w:rPr>
        <w:t xml:space="preserve">מט"ח בהיקף משמעותי. </w:t>
      </w:r>
      <w:r w:rsidR="00041670" w:rsidRPr="00B35B6B">
        <w:rPr>
          <w:rFonts w:hint="cs"/>
          <w:rtl/>
        </w:rPr>
        <w:t xml:space="preserve">כך </w:t>
      </w:r>
      <w:r w:rsidRPr="00B35B6B">
        <w:rPr>
          <w:rFonts w:hint="cs"/>
          <w:rtl/>
        </w:rPr>
        <w:t xml:space="preserve">במהלך </w:t>
      </w:r>
      <w:bookmarkStart w:id="6" w:name="_Hlk97642281"/>
      <w:r w:rsidR="00B471D8" w:rsidRPr="00B35B6B">
        <w:rPr>
          <w:rFonts w:hint="cs"/>
          <w:rtl/>
        </w:rPr>
        <w:t>ירידות חדות של מחירי המניות בחו"ל</w:t>
      </w:r>
      <w:r w:rsidRPr="00B35B6B">
        <w:rPr>
          <w:rFonts w:hint="cs"/>
          <w:rtl/>
        </w:rPr>
        <w:t xml:space="preserve"> </w:t>
      </w:r>
      <w:bookmarkEnd w:id="6"/>
      <w:r w:rsidRPr="00B35B6B">
        <w:rPr>
          <w:rFonts w:hint="cs"/>
          <w:rtl/>
        </w:rPr>
        <w:t xml:space="preserve">הפוזיציות של </w:t>
      </w:r>
      <w:r w:rsidR="001A62C9" w:rsidRPr="00B35B6B">
        <w:rPr>
          <w:rFonts w:hint="cs"/>
          <w:rtl/>
        </w:rPr>
        <w:t>ה</w:t>
      </w:r>
      <w:r w:rsidRPr="00B35B6B">
        <w:rPr>
          <w:rFonts w:hint="cs"/>
          <w:rtl/>
        </w:rPr>
        <w:t xml:space="preserve">מוסדיים </w:t>
      </w:r>
      <w:r w:rsidR="00C45E35" w:rsidRPr="00B35B6B">
        <w:rPr>
          <w:rFonts w:hint="cs"/>
          <w:rtl/>
        </w:rPr>
        <w:t>שם</w:t>
      </w:r>
      <w:r w:rsidRPr="00B35B6B">
        <w:rPr>
          <w:rFonts w:hint="cs"/>
          <w:rtl/>
        </w:rPr>
        <w:t xml:space="preserve"> (במיוחד בחוזים עתידיים) הביאו לדרישת ב</w:t>
      </w:r>
      <w:r w:rsidR="00C45E35" w:rsidRPr="00B35B6B">
        <w:rPr>
          <w:rFonts w:hint="cs"/>
          <w:rtl/>
        </w:rPr>
        <w:t>י</w:t>
      </w:r>
      <w:r w:rsidRPr="00B35B6B">
        <w:rPr>
          <w:rFonts w:hint="cs"/>
          <w:rtl/>
        </w:rPr>
        <w:t>טחונות גבוהים</w:t>
      </w:r>
      <w:r w:rsidR="00C45E35" w:rsidRPr="00B35B6B">
        <w:rPr>
          <w:rFonts w:hint="cs"/>
          <w:rtl/>
        </w:rPr>
        <w:t>,</w:t>
      </w:r>
      <w:r w:rsidRPr="00B35B6B">
        <w:rPr>
          <w:rFonts w:hint="cs"/>
          <w:rtl/>
        </w:rPr>
        <w:t xml:space="preserve"> </w:t>
      </w:r>
      <w:r w:rsidR="00C45E35" w:rsidRPr="00B35B6B">
        <w:rPr>
          <w:rFonts w:hint="cs"/>
          <w:rtl/>
        </w:rPr>
        <w:t>שהתבטאה</w:t>
      </w:r>
      <w:r w:rsidRPr="00B35B6B">
        <w:rPr>
          <w:rFonts w:hint="cs"/>
          <w:rtl/>
        </w:rPr>
        <w:t xml:space="preserve"> </w:t>
      </w:r>
      <w:r w:rsidR="00C656CC" w:rsidRPr="00B35B6B">
        <w:rPr>
          <w:rFonts w:hint="cs"/>
          <w:rtl/>
        </w:rPr>
        <w:t xml:space="preserve">בעלייה של </w:t>
      </w:r>
      <w:r w:rsidR="00C45E35" w:rsidRPr="00B35B6B">
        <w:rPr>
          <w:rFonts w:hint="cs"/>
          <w:rtl/>
        </w:rPr>
        <w:t>ה</w:t>
      </w:r>
      <w:r w:rsidRPr="00B35B6B">
        <w:rPr>
          <w:rFonts w:hint="cs"/>
          <w:rtl/>
        </w:rPr>
        <w:t xml:space="preserve">ביקוש לדולרים </w:t>
      </w:r>
      <w:r w:rsidR="00C656CC" w:rsidRPr="00B35B6B">
        <w:rPr>
          <w:rFonts w:hint="cs"/>
          <w:rtl/>
        </w:rPr>
        <w:t xml:space="preserve">ושל רכישתם </w:t>
      </w:r>
      <w:r w:rsidRPr="00B35B6B">
        <w:rPr>
          <w:rFonts w:hint="cs"/>
          <w:rtl/>
        </w:rPr>
        <w:t xml:space="preserve">לצורך הצגת </w:t>
      </w:r>
      <w:r w:rsidR="00C656CC" w:rsidRPr="00B35B6B">
        <w:rPr>
          <w:rFonts w:hint="cs"/>
          <w:rtl/>
        </w:rPr>
        <w:t>ה</w:t>
      </w:r>
      <w:r w:rsidRPr="00B35B6B">
        <w:rPr>
          <w:rFonts w:hint="cs"/>
          <w:rtl/>
        </w:rPr>
        <w:t>ב</w:t>
      </w:r>
      <w:r w:rsidR="00C656CC" w:rsidRPr="00B35B6B">
        <w:rPr>
          <w:rFonts w:hint="cs"/>
          <w:rtl/>
        </w:rPr>
        <w:t>י</w:t>
      </w:r>
      <w:r w:rsidRPr="00B35B6B">
        <w:rPr>
          <w:rFonts w:hint="cs"/>
          <w:rtl/>
        </w:rPr>
        <w:t xml:space="preserve">טחונות. להרחבה ראו פרק ג' בדוח בנק ישראל </w:t>
      </w:r>
      <w:r w:rsidR="00C656CC" w:rsidRPr="00B35B6B">
        <w:rPr>
          <w:rFonts w:hint="cs"/>
          <w:rtl/>
        </w:rPr>
        <w:t xml:space="preserve">לשנת </w:t>
      </w:r>
      <w:r w:rsidRPr="00B35B6B">
        <w:rPr>
          <w:rFonts w:hint="cs"/>
          <w:rtl/>
        </w:rPr>
        <w:t xml:space="preserve">2020 ותיבה </w:t>
      </w:r>
      <w:r w:rsidR="00524F28">
        <w:rPr>
          <w:rFonts w:hint="cs"/>
          <w:rtl/>
        </w:rPr>
        <w:t xml:space="preserve">3 </w:t>
      </w:r>
      <w:r w:rsidRPr="00B35B6B">
        <w:rPr>
          <w:rFonts w:hint="cs"/>
          <w:rtl/>
        </w:rPr>
        <w:t xml:space="preserve">בדוח היציבות הפיננסית למחצית השנייה של 2020. </w:t>
      </w:r>
    </w:p>
    <w:p w14:paraId="4A2265FB" w14:textId="77777777" w:rsidR="00C2547F" w:rsidRDefault="00C2547F" w:rsidP="00C2547F">
      <w:pPr>
        <w:pStyle w:val="ae"/>
        <w:spacing w:line="360" w:lineRule="auto"/>
        <w:jc w:val="center"/>
        <w:rPr>
          <w:i w:val="0"/>
          <w:iCs w:val="0"/>
          <w:noProof/>
          <w:color w:val="auto"/>
          <w:sz w:val="20"/>
          <w:szCs w:val="20"/>
          <w:rtl/>
        </w:rPr>
      </w:pPr>
    </w:p>
    <w:p w14:paraId="51D730D9" w14:textId="77777777" w:rsidR="00C2547F" w:rsidRDefault="00C2547F" w:rsidP="00C2547F">
      <w:pPr>
        <w:pStyle w:val="ae"/>
        <w:spacing w:line="360" w:lineRule="auto"/>
        <w:jc w:val="center"/>
        <w:rPr>
          <w:i w:val="0"/>
          <w:iCs w:val="0"/>
          <w:noProof/>
          <w:color w:val="auto"/>
          <w:sz w:val="20"/>
          <w:szCs w:val="20"/>
          <w:rtl/>
        </w:rPr>
      </w:pPr>
    </w:p>
    <w:p w14:paraId="18F58D8C" w14:textId="77777777" w:rsidR="00C2547F" w:rsidRDefault="00C2547F" w:rsidP="00C2547F">
      <w:pPr>
        <w:pStyle w:val="ae"/>
        <w:spacing w:line="360" w:lineRule="auto"/>
        <w:jc w:val="center"/>
        <w:rPr>
          <w:i w:val="0"/>
          <w:iCs w:val="0"/>
          <w:noProof/>
          <w:color w:val="auto"/>
          <w:sz w:val="20"/>
          <w:szCs w:val="20"/>
          <w:rtl/>
        </w:rPr>
      </w:pPr>
    </w:p>
    <w:p w14:paraId="46C01A85" w14:textId="77777777" w:rsidR="00C2547F" w:rsidRDefault="00C2547F" w:rsidP="00C2547F">
      <w:pPr>
        <w:pStyle w:val="ae"/>
        <w:spacing w:line="360" w:lineRule="auto"/>
        <w:jc w:val="center"/>
        <w:rPr>
          <w:i w:val="0"/>
          <w:iCs w:val="0"/>
          <w:noProof/>
          <w:color w:val="auto"/>
          <w:sz w:val="20"/>
          <w:szCs w:val="20"/>
          <w:rtl/>
        </w:rPr>
      </w:pPr>
    </w:p>
    <w:p w14:paraId="0D5AEDE8" w14:textId="77777777" w:rsidR="00C2547F" w:rsidRDefault="00C2547F" w:rsidP="00C2547F">
      <w:pPr>
        <w:pStyle w:val="ae"/>
        <w:spacing w:line="360" w:lineRule="auto"/>
        <w:jc w:val="center"/>
        <w:rPr>
          <w:i w:val="0"/>
          <w:iCs w:val="0"/>
          <w:noProof/>
          <w:color w:val="auto"/>
          <w:sz w:val="20"/>
          <w:szCs w:val="20"/>
          <w:rtl/>
        </w:rPr>
      </w:pPr>
    </w:p>
    <w:p w14:paraId="3F53D608" w14:textId="77777777" w:rsidR="00C2547F" w:rsidRDefault="00C2547F" w:rsidP="00C2547F">
      <w:pPr>
        <w:pStyle w:val="ae"/>
        <w:spacing w:line="360" w:lineRule="auto"/>
        <w:jc w:val="center"/>
        <w:rPr>
          <w:i w:val="0"/>
          <w:iCs w:val="0"/>
          <w:noProof/>
          <w:color w:val="auto"/>
          <w:sz w:val="20"/>
          <w:szCs w:val="20"/>
          <w:rtl/>
        </w:rPr>
      </w:pPr>
    </w:p>
    <w:p w14:paraId="2BD6C95B" w14:textId="77777777" w:rsidR="00C2547F" w:rsidRDefault="00C2547F" w:rsidP="00C2547F">
      <w:pPr>
        <w:pStyle w:val="ae"/>
        <w:spacing w:line="360" w:lineRule="auto"/>
        <w:jc w:val="center"/>
        <w:rPr>
          <w:i w:val="0"/>
          <w:iCs w:val="0"/>
          <w:noProof/>
          <w:color w:val="auto"/>
          <w:sz w:val="20"/>
          <w:szCs w:val="20"/>
          <w:rtl/>
        </w:rPr>
      </w:pPr>
    </w:p>
    <w:p w14:paraId="71E8F768" w14:textId="77777777" w:rsidR="00C2547F" w:rsidRDefault="00C2547F" w:rsidP="00C2547F">
      <w:pPr>
        <w:pStyle w:val="ae"/>
        <w:spacing w:line="360" w:lineRule="auto"/>
        <w:jc w:val="center"/>
        <w:rPr>
          <w:i w:val="0"/>
          <w:iCs w:val="0"/>
          <w:noProof/>
          <w:color w:val="auto"/>
          <w:sz w:val="20"/>
          <w:szCs w:val="20"/>
          <w:rtl/>
        </w:rPr>
      </w:pPr>
    </w:p>
    <w:p w14:paraId="7E53B026" w14:textId="6F17AEDA" w:rsidR="009B263E" w:rsidRPr="00C2547F" w:rsidRDefault="009B263E" w:rsidP="00C2547F">
      <w:pPr>
        <w:pStyle w:val="ae"/>
        <w:spacing w:line="360" w:lineRule="auto"/>
        <w:jc w:val="center"/>
        <w:rPr>
          <w:i w:val="0"/>
          <w:iCs w:val="0"/>
          <w:noProof/>
          <w:color w:val="auto"/>
          <w:sz w:val="20"/>
          <w:szCs w:val="20"/>
        </w:rPr>
      </w:pPr>
      <w:r w:rsidRPr="00C2547F">
        <w:rPr>
          <w:i w:val="0"/>
          <w:iCs w:val="0"/>
          <w:noProof/>
          <w:color w:val="auto"/>
          <w:sz w:val="20"/>
          <w:szCs w:val="20"/>
          <w:rtl/>
        </w:rPr>
        <w:lastRenderedPageBreak/>
        <w:t xml:space="preserve">איור </w:t>
      </w:r>
      <w:r w:rsidRPr="00C2547F">
        <w:rPr>
          <w:i w:val="0"/>
          <w:iCs w:val="0"/>
          <w:noProof/>
          <w:color w:val="auto"/>
          <w:sz w:val="20"/>
          <w:szCs w:val="20"/>
          <w:rtl/>
        </w:rPr>
        <w:fldChar w:fldCharType="begin"/>
      </w:r>
      <w:r w:rsidRPr="00C2547F">
        <w:rPr>
          <w:i w:val="0"/>
          <w:iCs w:val="0"/>
          <w:noProof/>
          <w:color w:val="auto"/>
          <w:sz w:val="20"/>
          <w:szCs w:val="20"/>
          <w:rtl/>
        </w:rPr>
        <w:instrText xml:space="preserve"> </w:instrText>
      </w:r>
      <w:r w:rsidRPr="00C2547F">
        <w:rPr>
          <w:i w:val="0"/>
          <w:iCs w:val="0"/>
          <w:noProof/>
          <w:color w:val="auto"/>
          <w:sz w:val="20"/>
          <w:szCs w:val="20"/>
        </w:rPr>
        <w:instrText>SEQ</w:instrText>
      </w:r>
      <w:r w:rsidRPr="00C2547F">
        <w:rPr>
          <w:i w:val="0"/>
          <w:iCs w:val="0"/>
          <w:noProof/>
          <w:color w:val="auto"/>
          <w:sz w:val="20"/>
          <w:szCs w:val="20"/>
          <w:rtl/>
        </w:rPr>
        <w:instrText xml:space="preserve"> איור \* </w:instrText>
      </w:r>
      <w:r w:rsidRPr="00C2547F">
        <w:rPr>
          <w:i w:val="0"/>
          <w:iCs w:val="0"/>
          <w:noProof/>
          <w:color w:val="auto"/>
          <w:sz w:val="20"/>
          <w:szCs w:val="20"/>
        </w:rPr>
        <w:instrText>ARABIC</w:instrText>
      </w:r>
      <w:r w:rsidRPr="00C2547F">
        <w:rPr>
          <w:i w:val="0"/>
          <w:iCs w:val="0"/>
          <w:noProof/>
          <w:color w:val="auto"/>
          <w:sz w:val="20"/>
          <w:szCs w:val="20"/>
          <w:rtl/>
        </w:rPr>
        <w:instrText xml:space="preserve"> </w:instrText>
      </w:r>
      <w:r w:rsidRPr="00C2547F">
        <w:rPr>
          <w:i w:val="0"/>
          <w:iCs w:val="0"/>
          <w:noProof/>
          <w:color w:val="auto"/>
          <w:sz w:val="20"/>
          <w:szCs w:val="20"/>
          <w:rtl/>
        </w:rPr>
        <w:fldChar w:fldCharType="separate"/>
      </w:r>
      <w:r w:rsidRPr="00C2547F">
        <w:rPr>
          <w:i w:val="0"/>
          <w:iCs w:val="0"/>
          <w:noProof/>
          <w:color w:val="auto"/>
          <w:sz w:val="20"/>
          <w:szCs w:val="20"/>
          <w:rtl/>
        </w:rPr>
        <w:t>3</w:t>
      </w:r>
      <w:r w:rsidRPr="00C2547F">
        <w:rPr>
          <w:i w:val="0"/>
          <w:iCs w:val="0"/>
          <w:noProof/>
          <w:color w:val="auto"/>
          <w:sz w:val="20"/>
          <w:szCs w:val="20"/>
          <w:rtl/>
        </w:rPr>
        <w:fldChar w:fldCharType="end"/>
      </w:r>
      <w:r w:rsidRPr="00C2547F">
        <w:rPr>
          <w:rFonts w:hint="cs"/>
          <w:i w:val="0"/>
          <w:iCs w:val="0"/>
          <w:noProof/>
          <w:color w:val="auto"/>
          <w:sz w:val="20"/>
          <w:szCs w:val="20"/>
          <w:rtl/>
        </w:rPr>
        <w:t xml:space="preserve">: </w:t>
      </w:r>
      <w:r w:rsidR="003B3668" w:rsidRPr="00C2547F">
        <w:rPr>
          <w:i w:val="0"/>
          <w:iCs w:val="0"/>
          <w:noProof/>
          <w:color w:val="auto"/>
          <w:sz w:val="20"/>
          <w:szCs w:val="20"/>
          <w:rtl/>
        </w:rPr>
        <w:t>היקף נכסים של המשקיעים המוסדיים כשיעור מהיקף הנכסים הנסחרים בבורסה בתל אביב</w:t>
      </w:r>
    </w:p>
    <w:p w14:paraId="6B99903F" w14:textId="064FCE40" w:rsidR="009B263E" w:rsidRPr="00B35B6B" w:rsidRDefault="003B3668" w:rsidP="009B263E">
      <w:pPr>
        <w:spacing w:line="360" w:lineRule="auto"/>
        <w:rPr>
          <w:rtl/>
        </w:rPr>
      </w:pPr>
      <w:r w:rsidRPr="00B35B6B">
        <w:rPr>
          <w:noProof/>
        </w:rPr>
        <w:drawing>
          <wp:inline distT="0" distB="0" distL="0" distR="0" wp14:anchorId="584C8AA8" wp14:editId="799B0FC0">
            <wp:extent cx="5583600" cy="3650400"/>
            <wp:effectExtent l="0" t="0" r="0" b="7620"/>
            <wp:docPr id="8" name="Picture 8" descr="היקף נכסים של המשקיעים המוסדיים כשיעור מהיקף הנכסים הנסחרים בבורסה בתל אביב" title="היקף נכסים של המשקיעים המוסדיים כשיעור מהיקף הנכסים הנסחרים בבורסה ב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3600" cy="3650400"/>
                    </a:xfrm>
                    <a:prstGeom prst="rect">
                      <a:avLst/>
                    </a:prstGeom>
                    <a:noFill/>
                  </pic:spPr>
                </pic:pic>
              </a:graphicData>
            </a:graphic>
          </wp:inline>
        </w:drawing>
      </w:r>
    </w:p>
    <w:p w14:paraId="7D3FB732" w14:textId="113B8A09" w:rsidR="009B263E" w:rsidRPr="00C2547F" w:rsidRDefault="009B263E" w:rsidP="00C2547F">
      <w:pPr>
        <w:pStyle w:val="1"/>
        <w:spacing w:after="240"/>
        <w:jc w:val="both"/>
        <w:rPr>
          <w:rFonts w:ascii="David" w:hAnsi="David" w:cs="David"/>
          <w:b/>
          <w:bCs/>
          <w:color w:val="auto"/>
          <w:sz w:val="24"/>
          <w:szCs w:val="24"/>
          <w:rtl/>
        </w:rPr>
      </w:pPr>
      <w:r w:rsidRPr="00C2547F">
        <w:rPr>
          <w:rFonts w:ascii="David" w:hAnsi="David" w:cs="David" w:hint="cs"/>
          <w:b/>
          <w:bCs/>
          <w:color w:val="auto"/>
          <w:sz w:val="24"/>
          <w:szCs w:val="24"/>
          <w:rtl/>
        </w:rPr>
        <w:t>השפעת ביטול</w:t>
      </w:r>
      <w:r w:rsidR="00C656CC" w:rsidRPr="00C2547F">
        <w:rPr>
          <w:rFonts w:ascii="David" w:hAnsi="David" w:cs="David" w:hint="cs"/>
          <w:b/>
          <w:bCs/>
          <w:color w:val="auto"/>
          <w:sz w:val="24"/>
          <w:szCs w:val="24"/>
          <w:rtl/>
        </w:rPr>
        <w:t>ן של איגרות החוב</w:t>
      </w:r>
      <w:r w:rsidRPr="00C2547F">
        <w:rPr>
          <w:rFonts w:ascii="David" w:hAnsi="David" w:cs="David" w:hint="cs"/>
          <w:b/>
          <w:bCs/>
          <w:color w:val="auto"/>
          <w:sz w:val="24"/>
          <w:szCs w:val="24"/>
          <w:rtl/>
        </w:rPr>
        <w:t xml:space="preserve"> </w:t>
      </w:r>
      <w:r w:rsidR="00C656CC" w:rsidRPr="00C2547F">
        <w:rPr>
          <w:rFonts w:ascii="David" w:hAnsi="David" w:cs="David" w:hint="cs"/>
          <w:b/>
          <w:bCs/>
          <w:color w:val="auto"/>
          <w:sz w:val="24"/>
          <w:szCs w:val="24"/>
          <w:rtl/>
        </w:rPr>
        <w:t>ה</w:t>
      </w:r>
      <w:r w:rsidRPr="00C2547F">
        <w:rPr>
          <w:rFonts w:ascii="David" w:hAnsi="David" w:cs="David" w:hint="cs"/>
          <w:b/>
          <w:bCs/>
          <w:color w:val="auto"/>
          <w:sz w:val="24"/>
          <w:szCs w:val="24"/>
          <w:rtl/>
        </w:rPr>
        <w:t>מיועדות על תמהיל הנכסים של קרנות הפנסיה</w:t>
      </w:r>
    </w:p>
    <w:p w14:paraId="1063F22D" w14:textId="5E9A45E8" w:rsidR="009B263E" w:rsidRPr="00B35B6B" w:rsidRDefault="009B263E" w:rsidP="00C2547F">
      <w:pPr>
        <w:spacing w:line="360" w:lineRule="auto"/>
        <w:jc w:val="both"/>
        <w:rPr>
          <w:rtl/>
        </w:rPr>
      </w:pPr>
      <w:r w:rsidRPr="00B35B6B">
        <w:rPr>
          <w:rFonts w:hint="cs"/>
          <w:rtl/>
        </w:rPr>
        <w:t xml:space="preserve">כתוצאה מביטול </w:t>
      </w:r>
      <w:r w:rsidR="00E944C4" w:rsidRPr="00B35B6B">
        <w:rPr>
          <w:rFonts w:hint="cs"/>
          <w:rtl/>
        </w:rPr>
        <w:t>ה</w:t>
      </w:r>
      <w:r w:rsidRPr="00B35B6B">
        <w:rPr>
          <w:rFonts w:hint="cs"/>
          <w:rtl/>
        </w:rPr>
        <w:t xml:space="preserve">אג"ח מיועדות </w:t>
      </w:r>
      <w:r w:rsidRPr="00B35B6B">
        <w:rPr>
          <w:rFonts w:hint="eastAsia"/>
          <w:rtl/>
        </w:rPr>
        <w:t>גידול</w:t>
      </w:r>
      <w:r w:rsidRPr="00B35B6B">
        <w:rPr>
          <w:rtl/>
        </w:rPr>
        <w:t xml:space="preserve"> </w:t>
      </w:r>
      <w:r w:rsidRPr="00B35B6B">
        <w:rPr>
          <w:rFonts w:hint="eastAsia"/>
          <w:rtl/>
        </w:rPr>
        <w:t>בנכסים</w:t>
      </w:r>
      <w:r w:rsidRPr="00B35B6B">
        <w:rPr>
          <w:rtl/>
        </w:rPr>
        <w:t xml:space="preserve"> </w:t>
      </w:r>
      <w:r w:rsidRPr="00B35B6B">
        <w:rPr>
          <w:rFonts w:hint="eastAsia"/>
          <w:rtl/>
        </w:rPr>
        <w:t>המנוהלים</w:t>
      </w:r>
      <w:r w:rsidR="001A62C9" w:rsidRPr="00B35B6B">
        <w:rPr>
          <w:rtl/>
        </w:rPr>
        <w:t xml:space="preserve"> </w:t>
      </w:r>
      <w:r w:rsidR="00E944C4" w:rsidRPr="00B35B6B">
        <w:rPr>
          <w:rFonts w:hint="cs"/>
          <w:rtl/>
        </w:rPr>
        <w:t xml:space="preserve">ועמו </w:t>
      </w:r>
      <w:r w:rsidRPr="00B35B6B">
        <w:rPr>
          <w:rFonts w:hint="cs"/>
          <w:rtl/>
        </w:rPr>
        <w:t xml:space="preserve">פדיונות של </w:t>
      </w:r>
      <w:r w:rsidR="00E944C4" w:rsidRPr="00B35B6B">
        <w:rPr>
          <w:rFonts w:hint="cs"/>
          <w:rtl/>
        </w:rPr>
        <w:t>ה</w:t>
      </w:r>
      <w:r w:rsidRPr="00B35B6B">
        <w:rPr>
          <w:rFonts w:hint="cs"/>
          <w:rtl/>
        </w:rPr>
        <w:t xml:space="preserve">אג"ח </w:t>
      </w:r>
      <w:r w:rsidR="001A62C9" w:rsidRPr="00B35B6B">
        <w:rPr>
          <w:rFonts w:hint="cs"/>
          <w:rtl/>
        </w:rPr>
        <w:t>ה</w:t>
      </w:r>
      <w:r w:rsidRPr="00B35B6B">
        <w:rPr>
          <w:rFonts w:hint="cs"/>
          <w:rtl/>
        </w:rPr>
        <w:t>מיועדות</w:t>
      </w:r>
      <w:r w:rsidR="00E944C4" w:rsidRPr="00B35B6B">
        <w:rPr>
          <w:rFonts w:hint="cs"/>
          <w:rtl/>
        </w:rPr>
        <w:t xml:space="preserve">, יופנו </w:t>
      </w:r>
      <w:r w:rsidRPr="00B35B6B">
        <w:rPr>
          <w:rFonts w:hint="cs"/>
          <w:rtl/>
        </w:rPr>
        <w:t>להשקעה באפיקים אחרים</w:t>
      </w:r>
      <w:r w:rsidR="00E944C4" w:rsidRPr="00B35B6B">
        <w:rPr>
          <w:rFonts w:hint="cs"/>
          <w:rtl/>
        </w:rPr>
        <w:t>,</w:t>
      </w:r>
      <w:r w:rsidRPr="00B35B6B">
        <w:rPr>
          <w:rFonts w:hint="cs"/>
          <w:rtl/>
        </w:rPr>
        <w:t xml:space="preserve"> חופשיים</w:t>
      </w:r>
      <w:r w:rsidR="00E944C4" w:rsidRPr="00B35B6B">
        <w:rPr>
          <w:rFonts w:hint="cs"/>
          <w:rtl/>
        </w:rPr>
        <w:t>,</w:t>
      </w:r>
      <w:r w:rsidRPr="00B35B6B">
        <w:rPr>
          <w:rFonts w:hint="cs"/>
          <w:rtl/>
        </w:rPr>
        <w:t xml:space="preserve"> אשר יחליפו בהדרגה את ההשקעה באג"ח </w:t>
      </w:r>
      <w:r w:rsidR="00E944C4" w:rsidRPr="00B35B6B">
        <w:rPr>
          <w:rFonts w:hint="cs"/>
          <w:rtl/>
        </w:rPr>
        <w:t>ה</w:t>
      </w:r>
      <w:r w:rsidRPr="00B35B6B">
        <w:rPr>
          <w:rFonts w:hint="cs"/>
          <w:rtl/>
        </w:rPr>
        <w:t xml:space="preserve">מיועדות. הרפורמה קובעת </w:t>
      </w:r>
      <w:r w:rsidR="00E944C4" w:rsidRPr="00B35B6B">
        <w:rPr>
          <w:rFonts w:hint="eastAsia"/>
          <w:rtl/>
        </w:rPr>
        <w:t>שעל</w:t>
      </w:r>
      <w:r w:rsidR="00E944C4" w:rsidRPr="00B35B6B">
        <w:rPr>
          <w:rtl/>
        </w:rPr>
        <w:t xml:space="preserve"> </w:t>
      </w:r>
      <w:r w:rsidR="00E944C4" w:rsidRPr="00B35B6B">
        <w:rPr>
          <w:rFonts w:hint="eastAsia"/>
          <w:rtl/>
        </w:rPr>
        <w:t>קרנות</w:t>
      </w:r>
      <w:r w:rsidR="00E944C4" w:rsidRPr="00B35B6B">
        <w:rPr>
          <w:rtl/>
        </w:rPr>
        <w:t xml:space="preserve"> </w:t>
      </w:r>
      <w:r w:rsidR="00E944C4" w:rsidRPr="00B35B6B">
        <w:rPr>
          <w:rFonts w:hint="eastAsia"/>
          <w:rtl/>
        </w:rPr>
        <w:t>הפנסיה</w:t>
      </w:r>
      <w:r w:rsidR="00E944C4" w:rsidRPr="00B35B6B">
        <w:rPr>
          <w:rFonts w:hint="cs"/>
          <w:rtl/>
        </w:rPr>
        <w:t xml:space="preserve"> </w:t>
      </w:r>
      <w:r w:rsidRPr="00B35B6B">
        <w:rPr>
          <w:rFonts w:hint="cs"/>
          <w:rtl/>
        </w:rPr>
        <w:t xml:space="preserve">להשקיע את הנכסים </w:t>
      </w:r>
      <w:r w:rsidR="00E944C4" w:rsidRPr="00B35B6B">
        <w:rPr>
          <w:rFonts w:hint="cs"/>
          <w:rtl/>
        </w:rPr>
        <w:t xml:space="preserve">אשר היו </w:t>
      </w:r>
      <w:r w:rsidRPr="00B35B6B">
        <w:rPr>
          <w:rFonts w:hint="cs"/>
          <w:rtl/>
        </w:rPr>
        <w:t xml:space="preserve">מושקעים באג"ח מיועדות בהתאם לתמהיל הנכסים של המסלול העיקרי </w:t>
      </w:r>
      <w:r w:rsidR="00041670" w:rsidRPr="00B35B6B">
        <w:rPr>
          <w:rFonts w:hint="eastAsia"/>
          <w:rtl/>
        </w:rPr>
        <w:t>בקרן</w:t>
      </w:r>
      <w:r w:rsidR="00E944C4" w:rsidRPr="00B35B6B">
        <w:rPr>
          <w:rtl/>
        </w:rPr>
        <w:t xml:space="preserve">. </w:t>
      </w:r>
      <w:r w:rsidRPr="00B35B6B">
        <w:rPr>
          <w:rFonts w:hint="cs"/>
          <w:rtl/>
        </w:rPr>
        <w:t xml:space="preserve">בחינה של תחזית פדיונות </w:t>
      </w:r>
      <w:r w:rsidR="00E944C4" w:rsidRPr="00B35B6B">
        <w:rPr>
          <w:rFonts w:hint="cs"/>
          <w:rtl/>
        </w:rPr>
        <w:t>ה</w:t>
      </w:r>
      <w:r w:rsidRPr="00B35B6B">
        <w:rPr>
          <w:rFonts w:hint="cs"/>
          <w:rtl/>
        </w:rPr>
        <w:t xml:space="preserve">אג"ח </w:t>
      </w:r>
      <w:r w:rsidR="00E944C4" w:rsidRPr="00B35B6B">
        <w:rPr>
          <w:rFonts w:hint="cs"/>
          <w:rtl/>
        </w:rPr>
        <w:t>ה</w:t>
      </w:r>
      <w:r w:rsidRPr="00B35B6B">
        <w:rPr>
          <w:rFonts w:hint="cs"/>
          <w:rtl/>
        </w:rPr>
        <w:t xml:space="preserve">מיועדות מראה </w:t>
      </w:r>
      <w:r w:rsidR="00E944C4" w:rsidRPr="00B35B6B">
        <w:rPr>
          <w:rFonts w:hint="cs"/>
          <w:rtl/>
        </w:rPr>
        <w:t>ש</w:t>
      </w:r>
      <w:r w:rsidRPr="00B35B6B">
        <w:rPr>
          <w:rFonts w:hint="cs"/>
          <w:rtl/>
        </w:rPr>
        <w:t xml:space="preserve">קרנות הפנסיה החדשות מחזיקות אג"ח מיועדות בהיקף של כ 135 מיליארד </w:t>
      </w:r>
      <w:r w:rsidR="00E944C4" w:rsidRPr="00B35B6B">
        <w:rPr>
          <w:rFonts w:hint="cs"/>
          <w:rtl/>
        </w:rPr>
        <w:t xml:space="preserve">ש"ח, </w:t>
      </w:r>
      <w:r w:rsidRPr="00B35B6B">
        <w:rPr>
          <w:rFonts w:hint="cs"/>
          <w:rtl/>
        </w:rPr>
        <w:t xml:space="preserve">יתרה </w:t>
      </w:r>
      <w:r w:rsidR="004926C5" w:rsidRPr="00B35B6B">
        <w:rPr>
          <w:rFonts w:hint="cs"/>
          <w:rtl/>
        </w:rPr>
        <w:t>ה</w:t>
      </w:r>
      <w:r w:rsidRPr="00B35B6B">
        <w:rPr>
          <w:rFonts w:hint="cs"/>
          <w:rtl/>
        </w:rPr>
        <w:t xml:space="preserve">צפויה להיפדות בהדרגה ולהתאפס בשנת 2036. </w:t>
      </w:r>
    </w:p>
    <w:p w14:paraId="654E694F" w14:textId="2A0A6DC3" w:rsidR="009B263E" w:rsidRPr="00B35B6B" w:rsidRDefault="00041670" w:rsidP="00C2547F">
      <w:pPr>
        <w:spacing w:line="360" w:lineRule="auto"/>
        <w:jc w:val="both"/>
        <w:rPr>
          <w:rtl/>
        </w:rPr>
      </w:pPr>
      <w:r w:rsidRPr="00B35B6B">
        <w:rPr>
          <w:rFonts w:hint="cs"/>
          <w:rtl/>
        </w:rPr>
        <w:t>סביר ש</w:t>
      </w:r>
      <w:r w:rsidR="009B263E" w:rsidRPr="00B35B6B">
        <w:rPr>
          <w:rFonts w:hint="cs"/>
          <w:rtl/>
        </w:rPr>
        <w:t xml:space="preserve">אופן הקצאת הנכסים </w:t>
      </w:r>
      <w:r w:rsidRPr="00B35B6B">
        <w:rPr>
          <w:rFonts w:hint="cs"/>
          <w:rtl/>
        </w:rPr>
        <w:t xml:space="preserve">אשר הושקעו </w:t>
      </w:r>
      <w:r w:rsidR="009B263E" w:rsidRPr="00B35B6B">
        <w:rPr>
          <w:rFonts w:hint="cs"/>
          <w:rtl/>
        </w:rPr>
        <w:t xml:space="preserve">באג"ח </w:t>
      </w:r>
      <w:r w:rsidR="004926C5" w:rsidRPr="00B35B6B">
        <w:rPr>
          <w:rFonts w:hint="cs"/>
          <w:rtl/>
        </w:rPr>
        <w:t>ה</w:t>
      </w:r>
      <w:r w:rsidR="009B263E" w:rsidRPr="00B35B6B">
        <w:rPr>
          <w:rFonts w:hint="cs"/>
          <w:rtl/>
        </w:rPr>
        <w:t xml:space="preserve">מיועדות </w:t>
      </w:r>
      <w:r w:rsidRPr="00B35B6B">
        <w:rPr>
          <w:rFonts w:hint="cs"/>
          <w:rtl/>
        </w:rPr>
        <w:t xml:space="preserve">יתבסס </w:t>
      </w:r>
      <w:r w:rsidR="009B263E" w:rsidRPr="00B35B6B">
        <w:rPr>
          <w:rFonts w:hint="cs"/>
          <w:rtl/>
        </w:rPr>
        <w:t>על הרכב התיק החופשי ללא מיועדות ובחלוקה פרופורציונלי</w:t>
      </w:r>
      <w:r w:rsidR="009B263E" w:rsidRPr="00B35B6B">
        <w:rPr>
          <w:rFonts w:hint="eastAsia"/>
          <w:rtl/>
        </w:rPr>
        <w:t>ת</w:t>
      </w:r>
      <w:r w:rsidR="009B263E" w:rsidRPr="00B35B6B">
        <w:rPr>
          <w:rFonts w:hint="cs"/>
          <w:rtl/>
        </w:rPr>
        <w:t xml:space="preserve">. </w:t>
      </w:r>
      <w:r w:rsidR="004926C5" w:rsidRPr="00B35B6B">
        <w:rPr>
          <w:rFonts w:hint="cs"/>
          <w:rtl/>
        </w:rPr>
        <w:t xml:space="preserve">עם </w:t>
      </w:r>
      <w:r w:rsidR="009B263E" w:rsidRPr="00B35B6B">
        <w:rPr>
          <w:rFonts w:hint="cs"/>
          <w:rtl/>
        </w:rPr>
        <w:t xml:space="preserve">זאת, לא ניתן לשלול השפעות של מגמות עתידיות בשווקים, </w:t>
      </w:r>
      <w:r w:rsidR="004926C5" w:rsidRPr="00B35B6B">
        <w:rPr>
          <w:rFonts w:hint="cs"/>
          <w:rtl/>
        </w:rPr>
        <w:t xml:space="preserve">של </w:t>
      </w:r>
      <w:r w:rsidR="009B263E" w:rsidRPr="00B35B6B">
        <w:rPr>
          <w:rFonts w:hint="cs"/>
          <w:rtl/>
        </w:rPr>
        <w:t>צעדים רגולטוריים ו</w:t>
      </w:r>
      <w:r w:rsidR="004926C5" w:rsidRPr="00B35B6B">
        <w:rPr>
          <w:rFonts w:hint="cs"/>
          <w:rtl/>
        </w:rPr>
        <w:t xml:space="preserve">של </w:t>
      </w:r>
      <w:r w:rsidR="009B263E" w:rsidRPr="00B35B6B">
        <w:rPr>
          <w:rFonts w:hint="cs"/>
          <w:rtl/>
        </w:rPr>
        <w:t>גורמים אחרים על קצב השינוי ועל הרכב</w:t>
      </w:r>
      <w:r w:rsidR="004926C5" w:rsidRPr="00B35B6B">
        <w:rPr>
          <w:rFonts w:hint="cs"/>
          <w:rtl/>
        </w:rPr>
        <w:t>ו של</w:t>
      </w:r>
      <w:r w:rsidR="009B263E" w:rsidRPr="00B35B6B">
        <w:rPr>
          <w:rFonts w:hint="cs"/>
          <w:rtl/>
        </w:rPr>
        <w:t xml:space="preserve"> התיק</w:t>
      </w:r>
      <w:r w:rsidR="004926C5" w:rsidRPr="00B35B6B">
        <w:rPr>
          <w:rFonts w:hint="cs"/>
          <w:rtl/>
        </w:rPr>
        <w:t>.</w:t>
      </w:r>
      <w:r w:rsidR="00E46B8C" w:rsidRPr="00B35B6B">
        <w:rPr>
          <w:rFonts w:hint="cs"/>
          <w:rtl/>
        </w:rPr>
        <w:t xml:space="preserve"> </w:t>
      </w:r>
      <w:r w:rsidR="009B263E" w:rsidRPr="00B35B6B">
        <w:rPr>
          <w:rFonts w:hint="cs"/>
          <w:rtl/>
        </w:rPr>
        <w:t>ייתכנו גם שינויים מבניים שקשה להעריך את כ</w:t>
      </w:r>
      <w:r w:rsidR="00373C5B" w:rsidRPr="00B35B6B">
        <w:rPr>
          <w:rFonts w:hint="cs"/>
          <w:rtl/>
        </w:rPr>
        <w:t>י</w:t>
      </w:r>
      <w:r w:rsidR="009B263E" w:rsidRPr="00B35B6B">
        <w:rPr>
          <w:rFonts w:hint="cs"/>
          <w:rtl/>
        </w:rPr>
        <w:t xml:space="preserve">וון השפעתם. </w:t>
      </w:r>
    </w:p>
    <w:p w14:paraId="0C2AE80D" w14:textId="79D04441" w:rsidR="009B263E" w:rsidRPr="00B35B6B" w:rsidRDefault="009B263E" w:rsidP="00C2547F">
      <w:pPr>
        <w:spacing w:line="360" w:lineRule="auto"/>
        <w:jc w:val="both"/>
        <w:rPr>
          <w:rtl/>
        </w:rPr>
      </w:pPr>
      <w:r w:rsidRPr="00B35B6B">
        <w:rPr>
          <w:rFonts w:hint="cs"/>
          <w:rtl/>
        </w:rPr>
        <w:t>הניתוח</w:t>
      </w:r>
      <w:r w:rsidR="00E46B8C" w:rsidRPr="00B35B6B">
        <w:rPr>
          <w:rFonts w:hint="cs"/>
          <w:rtl/>
        </w:rPr>
        <w:t xml:space="preserve"> </w:t>
      </w:r>
      <w:r w:rsidR="004926C5" w:rsidRPr="00B35B6B">
        <w:rPr>
          <w:rFonts w:hint="cs"/>
          <w:rtl/>
        </w:rPr>
        <w:t xml:space="preserve">להלן </w:t>
      </w:r>
      <w:r w:rsidRPr="00B35B6B">
        <w:rPr>
          <w:rFonts w:hint="cs"/>
          <w:rtl/>
        </w:rPr>
        <w:t xml:space="preserve">יעסוק במספר </w:t>
      </w:r>
      <w:proofErr w:type="spellStart"/>
      <w:r w:rsidRPr="00B35B6B">
        <w:rPr>
          <w:rFonts w:hint="cs"/>
          <w:rtl/>
        </w:rPr>
        <w:t>בנצ'מרקים</w:t>
      </w:r>
      <w:proofErr w:type="spellEnd"/>
      <w:r w:rsidRPr="00B35B6B">
        <w:rPr>
          <w:rFonts w:hint="cs"/>
          <w:rtl/>
        </w:rPr>
        <w:t xml:space="preserve"> לתמהיל סוגי הנכסים בקרנות</w:t>
      </w:r>
      <w:r w:rsidR="004926C5" w:rsidRPr="00B35B6B">
        <w:rPr>
          <w:rFonts w:hint="cs"/>
          <w:rtl/>
        </w:rPr>
        <w:t>.</w:t>
      </w:r>
      <w:r w:rsidRPr="00B35B6B">
        <w:rPr>
          <w:rFonts w:hint="cs"/>
          <w:rtl/>
        </w:rPr>
        <w:t xml:space="preserve"> </w:t>
      </w:r>
      <w:r w:rsidR="004926C5" w:rsidRPr="00B35B6B">
        <w:rPr>
          <w:rFonts w:hint="cs"/>
          <w:rtl/>
        </w:rPr>
        <w:t xml:space="preserve">תחילה </w:t>
      </w:r>
      <w:r w:rsidRPr="00B35B6B">
        <w:rPr>
          <w:rFonts w:hint="cs"/>
          <w:rtl/>
        </w:rPr>
        <w:t xml:space="preserve"> יש לשים לב לתובנות הבאות: שינוי </w:t>
      </w:r>
      <w:r w:rsidR="00E46B8C" w:rsidRPr="00B35B6B">
        <w:rPr>
          <w:rFonts w:hint="cs"/>
          <w:rtl/>
        </w:rPr>
        <w:t>ה</w:t>
      </w:r>
      <w:r w:rsidRPr="00B35B6B">
        <w:rPr>
          <w:rFonts w:hint="cs"/>
          <w:rtl/>
        </w:rPr>
        <w:t>מנגנון להבטחת תשואה מאג"ח מיועדות ל"מלאי הבטחת תשואה" אינו משנה את פרופיל הסיכון של התיק עבור העמית</w:t>
      </w:r>
      <w:r w:rsidR="004926C5" w:rsidRPr="00B35B6B">
        <w:rPr>
          <w:rFonts w:hint="cs"/>
          <w:rtl/>
        </w:rPr>
        <w:t xml:space="preserve">: </w:t>
      </w:r>
      <w:r w:rsidRPr="00B35B6B">
        <w:rPr>
          <w:rFonts w:hint="cs"/>
          <w:rtl/>
        </w:rPr>
        <w:t xml:space="preserve">30% מהתיק </w:t>
      </w:r>
      <w:r w:rsidR="004926C5" w:rsidRPr="00B35B6B">
        <w:rPr>
          <w:rFonts w:hint="cs"/>
          <w:rtl/>
        </w:rPr>
        <w:t xml:space="preserve">ימשיכו להקנות לו </w:t>
      </w:r>
      <w:r w:rsidR="00E46B8C" w:rsidRPr="00B35B6B">
        <w:rPr>
          <w:rFonts w:hint="cs"/>
          <w:rtl/>
        </w:rPr>
        <w:t>ת</w:t>
      </w:r>
      <w:r w:rsidRPr="00B35B6B">
        <w:rPr>
          <w:rFonts w:hint="cs"/>
          <w:rtl/>
        </w:rPr>
        <w:t xml:space="preserve">שואה </w:t>
      </w:r>
      <w:r w:rsidR="004926C5" w:rsidRPr="00B35B6B">
        <w:rPr>
          <w:rFonts w:hint="cs"/>
          <w:rtl/>
        </w:rPr>
        <w:t xml:space="preserve">מובטחת </w:t>
      </w:r>
      <w:r w:rsidRPr="00B35B6B">
        <w:rPr>
          <w:rFonts w:hint="cs"/>
          <w:rtl/>
        </w:rPr>
        <w:t xml:space="preserve">קבועה (5.15% במקום </w:t>
      </w:r>
      <w:r w:rsidR="008C69E0" w:rsidRPr="00B35B6B">
        <w:rPr>
          <w:rFonts w:hint="cs"/>
          <w:rtl/>
        </w:rPr>
        <w:t>4.86%</w:t>
      </w:r>
      <w:r w:rsidRPr="00B35B6B">
        <w:rPr>
          <w:rFonts w:hint="cs"/>
          <w:rtl/>
        </w:rPr>
        <w:t>)</w:t>
      </w:r>
      <w:r w:rsidR="008C69E0" w:rsidRPr="00B35B6B">
        <w:rPr>
          <w:rFonts w:hint="cs"/>
          <w:rtl/>
        </w:rPr>
        <w:t xml:space="preserve">. </w:t>
      </w:r>
      <w:r w:rsidRPr="00B35B6B">
        <w:rPr>
          <w:rFonts w:hint="eastAsia"/>
          <w:rtl/>
        </w:rPr>
        <w:t>כמו</w:t>
      </w:r>
      <w:r w:rsidRPr="00B35B6B">
        <w:rPr>
          <w:rtl/>
        </w:rPr>
        <w:t xml:space="preserve"> כן </w:t>
      </w:r>
      <w:r w:rsidR="008C69E0" w:rsidRPr="00B35B6B">
        <w:rPr>
          <w:rFonts w:hint="cs"/>
          <w:rtl/>
        </w:rPr>
        <w:t>נדרש</w:t>
      </w:r>
      <w:r w:rsidRPr="00B35B6B">
        <w:rPr>
          <w:rFonts w:hint="cs"/>
          <w:rtl/>
        </w:rPr>
        <w:t xml:space="preserve"> לנהל את "</w:t>
      </w:r>
      <w:r w:rsidR="008C69E0" w:rsidRPr="00B35B6B">
        <w:rPr>
          <w:rFonts w:hint="cs"/>
          <w:rtl/>
        </w:rPr>
        <w:t>ה</w:t>
      </w:r>
      <w:r w:rsidRPr="00B35B6B">
        <w:rPr>
          <w:rFonts w:hint="cs"/>
          <w:rtl/>
        </w:rPr>
        <w:t xml:space="preserve">מלאי מובטח התשואה" באופן הקצאה זהה </w:t>
      </w:r>
      <w:r w:rsidR="008C69E0" w:rsidRPr="00B35B6B">
        <w:rPr>
          <w:rFonts w:hint="cs"/>
          <w:rtl/>
        </w:rPr>
        <w:t>לזה</w:t>
      </w:r>
      <w:r w:rsidRPr="00B35B6B">
        <w:rPr>
          <w:rFonts w:hint="cs"/>
          <w:rtl/>
        </w:rPr>
        <w:t xml:space="preserve"> של הנכסים הלא מ</w:t>
      </w:r>
      <w:r w:rsidR="000B17DF" w:rsidRPr="00B35B6B">
        <w:rPr>
          <w:rFonts w:hint="cs"/>
          <w:rtl/>
        </w:rPr>
        <w:t>ו</w:t>
      </w:r>
      <w:r w:rsidRPr="00B35B6B">
        <w:rPr>
          <w:rFonts w:hint="cs"/>
          <w:rtl/>
        </w:rPr>
        <w:t>בטחים</w:t>
      </w:r>
      <w:r w:rsidR="00A37B27">
        <w:rPr>
          <w:rFonts w:hint="cs"/>
          <w:rtl/>
        </w:rPr>
        <w:t xml:space="preserve"> במסלול הכי גדול בקרן</w:t>
      </w:r>
      <w:r w:rsidR="000B17DF" w:rsidRPr="00B35B6B">
        <w:rPr>
          <w:rFonts w:hint="cs"/>
          <w:rtl/>
        </w:rPr>
        <w:t>.</w:t>
      </w:r>
      <w:r w:rsidR="000C3337" w:rsidRPr="00B35B6B">
        <w:rPr>
          <w:rFonts w:hint="cs"/>
          <w:rtl/>
        </w:rPr>
        <w:t xml:space="preserve"> </w:t>
      </w:r>
      <w:r w:rsidRPr="00B35B6B">
        <w:rPr>
          <w:rFonts w:hint="cs"/>
          <w:rtl/>
        </w:rPr>
        <w:t xml:space="preserve">כיום הגוף המוסדי </w:t>
      </w:r>
      <w:r w:rsidR="008C69E0" w:rsidRPr="00B35B6B">
        <w:rPr>
          <w:rFonts w:hint="cs"/>
          <w:rtl/>
        </w:rPr>
        <w:t>מקצה את</w:t>
      </w:r>
      <w:r w:rsidRPr="00B35B6B">
        <w:rPr>
          <w:rFonts w:hint="cs"/>
          <w:rtl/>
        </w:rPr>
        <w:t xml:space="preserve"> </w:t>
      </w:r>
      <w:r w:rsidR="008C69E0" w:rsidRPr="00B35B6B">
        <w:rPr>
          <w:rFonts w:hint="cs"/>
          <w:rtl/>
        </w:rPr>
        <w:t>ה</w:t>
      </w:r>
      <w:r w:rsidRPr="00B35B6B">
        <w:rPr>
          <w:rFonts w:hint="cs"/>
          <w:rtl/>
        </w:rPr>
        <w:t xml:space="preserve">נכסים במטרה </w:t>
      </w:r>
      <w:r w:rsidR="008C69E0" w:rsidRPr="00B35B6B">
        <w:rPr>
          <w:rFonts w:hint="cs"/>
          <w:rtl/>
        </w:rPr>
        <w:t>להביא למקסימום</w:t>
      </w:r>
      <w:r w:rsidR="000B17DF" w:rsidRPr="00B35B6B">
        <w:rPr>
          <w:rFonts w:hint="cs"/>
          <w:rtl/>
        </w:rPr>
        <w:t xml:space="preserve"> </w:t>
      </w:r>
      <w:r w:rsidRPr="00B35B6B">
        <w:rPr>
          <w:rFonts w:hint="cs"/>
          <w:rtl/>
        </w:rPr>
        <w:t xml:space="preserve">את פרופיל </w:t>
      </w:r>
      <w:r w:rsidR="008C69E0" w:rsidRPr="00B35B6B">
        <w:rPr>
          <w:rFonts w:hint="cs"/>
          <w:rtl/>
        </w:rPr>
        <w:t>ה</w:t>
      </w:r>
      <w:r w:rsidRPr="00B35B6B">
        <w:rPr>
          <w:rFonts w:hint="cs"/>
          <w:rtl/>
        </w:rPr>
        <w:t>תשואה</w:t>
      </w:r>
      <w:r w:rsidR="000C3337" w:rsidRPr="00B35B6B">
        <w:rPr>
          <w:rFonts w:hint="cs"/>
          <w:rtl/>
        </w:rPr>
        <w:t>-סיכון.</w:t>
      </w:r>
      <w:r w:rsidR="000B17DF" w:rsidRPr="00B35B6B">
        <w:rPr>
          <w:rFonts w:hint="cs"/>
          <w:rtl/>
        </w:rPr>
        <w:t xml:space="preserve"> </w:t>
      </w:r>
      <w:r w:rsidRPr="00B35B6B">
        <w:rPr>
          <w:rFonts w:hint="cs"/>
          <w:rtl/>
        </w:rPr>
        <w:t>הוא צפוי לשמור על הקצאת נכסים דומה גם אחרי הרפורמה</w:t>
      </w:r>
      <w:r w:rsidR="001F6536" w:rsidRPr="00B35B6B">
        <w:rPr>
          <w:rFonts w:hint="cs"/>
          <w:rtl/>
        </w:rPr>
        <w:t xml:space="preserve">, במצב של תשואה מובטחת </w:t>
      </w:r>
      <w:r w:rsidR="008B42EE" w:rsidRPr="00B35B6B">
        <w:rPr>
          <w:rFonts w:hint="cs"/>
          <w:rtl/>
        </w:rPr>
        <w:t>על</w:t>
      </w:r>
      <w:r w:rsidR="009547D3" w:rsidRPr="00B35B6B">
        <w:rPr>
          <w:rFonts w:hint="cs"/>
          <w:rtl/>
        </w:rPr>
        <w:t xml:space="preserve"> </w:t>
      </w:r>
      <w:r w:rsidR="001F6536" w:rsidRPr="00B35B6B">
        <w:rPr>
          <w:rFonts w:hint="cs"/>
          <w:rtl/>
        </w:rPr>
        <w:t>30%</w:t>
      </w:r>
      <w:r w:rsidR="009547D3" w:rsidRPr="00B35B6B">
        <w:rPr>
          <w:rFonts w:hint="cs"/>
          <w:rtl/>
        </w:rPr>
        <w:t xml:space="preserve"> מהתיק</w:t>
      </w:r>
      <w:r w:rsidR="001F6536" w:rsidRPr="00B35B6B">
        <w:rPr>
          <w:rFonts w:hint="cs"/>
          <w:rtl/>
        </w:rPr>
        <w:t>. לפיכך</w:t>
      </w:r>
      <w:r w:rsidRPr="00B35B6B">
        <w:rPr>
          <w:rFonts w:hint="cs"/>
          <w:rtl/>
        </w:rPr>
        <w:t xml:space="preserve"> נראה שהתרחיש הסביר </w:t>
      </w:r>
      <w:r w:rsidR="001F6536" w:rsidRPr="00B35B6B">
        <w:rPr>
          <w:rFonts w:hint="cs"/>
          <w:rtl/>
        </w:rPr>
        <w:t xml:space="preserve">הוא </w:t>
      </w:r>
      <w:r w:rsidRPr="00B35B6B">
        <w:rPr>
          <w:rFonts w:hint="cs"/>
          <w:rtl/>
        </w:rPr>
        <w:t xml:space="preserve">ניהול בהתאם להקצאת </w:t>
      </w:r>
      <w:r w:rsidR="001F6536" w:rsidRPr="00B35B6B">
        <w:rPr>
          <w:rFonts w:hint="cs"/>
          <w:rtl/>
        </w:rPr>
        <w:t>ה</w:t>
      </w:r>
      <w:r w:rsidRPr="00B35B6B">
        <w:rPr>
          <w:rFonts w:hint="cs"/>
          <w:rtl/>
        </w:rPr>
        <w:t>נכסים בתיק ה</w:t>
      </w:r>
      <w:r w:rsidR="001F6536" w:rsidRPr="00B35B6B">
        <w:rPr>
          <w:rFonts w:hint="cs"/>
          <w:rtl/>
        </w:rPr>
        <w:t>"</w:t>
      </w:r>
      <w:r w:rsidRPr="00B35B6B">
        <w:rPr>
          <w:rFonts w:hint="cs"/>
          <w:rtl/>
        </w:rPr>
        <w:t xml:space="preserve">חופשי" של קרנות הפנסיה המקיפות </w:t>
      </w:r>
      <w:r w:rsidR="001F6536" w:rsidRPr="00B35B6B">
        <w:rPr>
          <w:rFonts w:hint="cs"/>
          <w:rtl/>
        </w:rPr>
        <w:t xml:space="preserve"> – </w:t>
      </w:r>
      <w:r w:rsidRPr="00B35B6B">
        <w:rPr>
          <w:rFonts w:hint="cs"/>
          <w:rtl/>
        </w:rPr>
        <w:t xml:space="preserve"> תמהיל האפיקים ה"לא </w:t>
      </w:r>
      <w:r w:rsidR="000B17DF" w:rsidRPr="00B35B6B">
        <w:rPr>
          <w:rFonts w:hint="cs"/>
          <w:rtl/>
        </w:rPr>
        <w:t>מובטחים</w:t>
      </w:r>
      <w:r w:rsidRPr="00B35B6B">
        <w:rPr>
          <w:rFonts w:hint="cs"/>
          <w:rtl/>
        </w:rPr>
        <w:t>"</w:t>
      </w:r>
      <w:r w:rsidR="001F6536" w:rsidRPr="00B35B6B">
        <w:rPr>
          <w:rFonts w:hint="cs"/>
          <w:rtl/>
        </w:rPr>
        <w:t xml:space="preserve"> – </w:t>
      </w:r>
      <w:r w:rsidRPr="00B35B6B">
        <w:rPr>
          <w:rFonts w:hint="cs"/>
          <w:rtl/>
        </w:rPr>
        <w:t xml:space="preserve"> ולכן תמהיל זה נבחר </w:t>
      </w:r>
      <w:r w:rsidRPr="00B35B6B">
        <w:rPr>
          <w:rFonts w:hint="cs"/>
          <w:rtl/>
        </w:rPr>
        <w:lastRenderedPageBreak/>
        <w:t xml:space="preserve">להיות </w:t>
      </w:r>
      <w:proofErr w:type="spellStart"/>
      <w:r w:rsidRPr="00B35B6B">
        <w:rPr>
          <w:rFonts w:hint="cs"/>
          <w:rtl/>
        </w:rPr>
        <w:t>הבנצ'מרק</w:t>
      </w:r>
      <w:proofErr w:type="spellEnd"/>
      <w:r w:rsidRPr="00B35B6B">
        <w:rPr>
          <w:rFonts w:hint="cs"/>
          <w:rtl/>
        </w:rPr>
        <w:t xml:space="preserve"> העיקרי. יחד עם </w:t>
      </w:r>
      <w:r w:rsidR="001F6536" w:rsidRPr="00B35B6B">
        <w:rPr>
          <w:rFonts w:hint="cs"/>
          <w:rtl/>
        </w:rPr>
        <w:t xml:space="preserve">זאת, אם בעתיד </w:t>
      </w:r>
      <w:r w:rsidRPr="00B35B6B">
        <w:rPr>
          <w:rFonts w:hint="cs"/>
          <w:rtl/>
        </w:rPr>
        <w:t xml:space="preserve">תנאי השוק (וגורמים אחרים) </w:t>
      </w:r>
      <w:r w:rsidR="001F6536" w:rsidRPr="00B35B6B">
        <w:rPr>
          <w:rFonts w:hint="cs"/>
          <w:rtl/>
        </w:rPr>
        <w:t xml:space="preserve">ישתנו, </w:t>
      </w:r>
      <w:r w:rsidRPr="00B35B6B">
        <w:rPr>
          <w:rFonts w:hint="cs"/>
          <w:rtl/>
        </w:rPr>
        <w:t xml:space="preserve">ייתכן שינוי בהקצאת </w:t>
      </w:r>
      <w:r w:rsidR="001F6536" w:rsidRPr="00B35B6B">
        <w:rPr>
          <w:rFonts w:hint="cs"/>
          <w:rtl/>
        </w:rPr>
        <w:t>ה</w:t>
      </w:r>
      <w:r w:rsidRPr="00B35B6B">
        <w:rPr>
          <w:rFonts w:hint="cs"/>
          <w:rtl/>
        </w:rPr>
        <w:t>נכסים בכל התיק. קשה מא</w:t>
      </w:r>
      <w:r w:rsidR="001F6536" w:rsidRPr="00B35B6B">
        <w:rPr>
          <w:rFonts w:hint="cs"/>
          <w:rtl/>
        </w:rPr>
        <w:t>ו</w:t>
      </w:r>
      <w:r w:rsidRPr="00B35B6B">
        <w:rPr>
          <w:rFonts w:hint="cs"/>
          <w:rtl/>
        </w:rPr>
        <w:t>ד להעריך כיום מגמות עתידיות</w:t>
      </w:r>
      <w:r w:rsidR="001F6536" w:rsidRPr="00B35B6B">
        <w:rPr>
          <w:rFonts w:hint="cs"/>
          <w:rtl/>
        </w:rPr>
        <w:t>,</w:t>
      </w:r>
      <w:r w:rsidRPr="00B35B6B">
        <w:rPr>
          <w:rFonts w:hint="cs"/>
          <w:rtl/>
        </w:rPr>
        <w:t xml:space="preserve"> אבל כבדיקת רגישות לתרחיש המרכזי ניתן להתייחס לשני תרחישים נוספים</w:t>
      </w:r>
      <w:r w:rsidR="001F6536" w:rsidRPr="00B35B6B">
        <w:rPr>
          <w:rFonts w:hint="cs"/>
          <w:rtl/>
        </w:rPr>
        <w:t>,</w:t>
      </w:r>
      <w:r w:rsidRPr="00B35B6B">
        <w:rPr>
          <w:rFonts w:hint="cs"/>
          <w:rtl/>
        </w:rPr>
        <w:t xml:space="preserve"> </w:t>
      </w:r>
      <w:r w:rsidR="001F6536" w:rsidRPr="00B35B6B">
        <w:rPr>
          <w:rFonts w:hint="cs"/>
          <w:rtl/>
        </w:rPr>
        <w:t xml:space="preserve">הבוחנים </w:t>
      </w:r>
      <w:r w:rsidRPr="00B35B6B">
        <w:rPr>
          <w:rFonts w:hint="cs"/>
          <w:rtl/>
        </w:rPr>
        <w:t xml:space="preserve">את הקצאת הנכסים בגופים </w:t>
      </w:r>
      <w:r w:rsidR="001F6536" w:rsidRPr="00B35B6B">
        <w:rPr>
          <w:rFonts w:hint="cs"/>
          <w:rtl/>
        </w:rPr>
        <w:t xml:space="preserve">בעלי </w:t>
      </w:r>
      <w:r w:rsidRPr="00B35B6B">
        <w:rPr>
          <w:rFonts w:hint="cs"/>
          <w:rtl/>
        </w:rPr>
        <w:t xml:space="preserve">מטרות השקעה דומות שאינם משקיעים כיום באג"ח מיועדות: קרנות הפנסיה הכלליות וקופות הגמל. </w:t>
      </w:r>
      <w:r w:rsidR="004436C2" w:rsidRPr="00B35B6B">
        <w:rPr>
          <w:rFonts w:hint="cs"/>
          <w:rtl/>
        </w:rPr>
        <w:t>לכן</w:t>
      </w:r>
      <w:r w:rsidRPr="00B35B6B">
        <w:rPr>
          <w:rFonts w:hint="cs"/>
          <w:rtl/>
        </w:rPr>
        <w:t xml:space="preserve"> שלושת </w:t>
      </w:r>
      <w:proofErr w:type="spellStart"/>
      <w:r w:rsidRPr="00B35B6B">
        <w:rPr>
          <w:rFonts w:hint="cs"/>
          <w:rtl/>
        </w:rPr>
        <w:t>הבנצ'מרקים</w:t>
      </w:r>
      <w:proofErr w:type="spellEnd"/>
      <w:r w:rsidRPr="00B35B6B">
        <w:rPr>
          <w:rFonts w:hint="cs"/>
          <w:rtl/>
        </w:rPr>
        <w:t xml:space="preserve"> שנבחנו </w:t>
      </w:r>
      <w:r w:rsidR="004436C2" w:rsidRPr="00B35B6B">
        <w:rPr>
          <w:rFonts w:hint="cs"/>
          <w:rtl/>
        </w:rPr>
        <w:t>הם</w:t>
      </w:r>
      <w:r w:rsidRPr="00B35B6B">
        <w:rPr>
          <w:rFonts w:hint="cs"/>
          <w:rtl/>
        </w:rPr>
        <w:t>:</w:t>
      </w:r>
    </w:p>
    <w:p w14:paraId="6514E0DC" w14:textId="28605352" w:rsidR="009B263E" w:rsidRPr="00B35B6B" w:rsidRDefault="009B263E" w:rsidP="00C2547F">
      <w:pPr>
        <w:pStyle w:val="a5"/>
        <w:numPr>
          <w:ilvl w:val="0"/>
          <w:numId w:val="8"/>
        </w:numPr>
        <w:spacing w:line="360" w:lineRule="auto"/>
        <w:jc w:val="both"/>
      </w:pPr>
      <w:r w:rsidRPr="00B35B6B">
        <w:rPr>
          <w:rFonts w:hint="eastAsia"/>
          <w:b/>
          <w:bCs/>
          <w:rtl/>
        </w:rPr>
        <w:t>התיק</w:t>
      </w:r>
      <w:r w:rsidRPr="00B35B6B">
        <w:rPr>
          <w:b/>
          <w:bCs/>
          <w:rtl/>
        </w:rPr>
        <w:t xml:space="preserve"> "החופשי" </w:t>
      </w:r>
      <w:r w:rsidRPr="00B35B6B">
        <w:rPr>
          <w:rFonts w:hint="eastAsia"/>
          <w:b/>
          <w:bCs/>
          <w:rtl/>
        </w:rPr>
        <w:t>של</w:t>
      </w:r>
      <w:r w:rsidRPr="00B35B6B">
        <w:rPr>
          <w:b/>
          <w:bCs/>
          <w:rtl/>
        </w:rPr>
        <w:t xml:space="preserve"> </w:t>
      </w:r>
      <w:r w:rsidRPr="00B35B6B">
        <w:rPr>
          <w:rFonts w:hint="eastAsia"/>
          <w:b/>
          <w:bCs/>
          <w:rtl/>
        </w:rPr>
        <w:t>קרנות</w:t>
      </w:r>
      <w:r w:rsidRPr="00B35B6B">
        <w:rPr>
          <w:b/>
          <w:bCs/>
          <w:rtl/>
        </w:rPr>
        <w:t xml:space="preserve"> </w:t>
      </w:r>
      <w:r w:rsidRPr="00B35B6B">
        <w:rPr>
          <w:rFonts w:hint="eastAsia"/>
          <w:b/>
          <w:bCs/>
          <w:rtl/>
        </w:rPr>
        <w:t>הפנסיה</w:t>
      </w:r>
      <w:r w:rsidRPr="00B35B6B">
        <w:rPr>
          <w:b/>
          <w:bCs/>
          <w:rtl/>
        </w:rPr>
        <w:t xml:space="preserve"> </w:t>
      </w:r>
      <w:r w:rsidRPr="00B35B6B">
        <w:rPr>
          <w:rFonts w:hint="eastAsia"/>
          <w:b/>
          <w:bCs/>
          <w:rtl/>
        </w:rPr>
        <w:t>המקיפות</w:t>
      </w:r>
      <w:r w:rsidRPr="00B35B6B">
        <w:rPr>
          <w:rFonts w:hint="cs"/>
          <w:rtl/>
        </w:rPr>
        <w:t xml:space="preserve"> </w:t>
      </w:r>
      <w:r w:rsidR="004436C2" w:rsidRPr="00B35B6B">
        <w:rPr>
          <w:rFonts w:hint="eastAsia"/>
          <w:rtl/>
        </w:rPr>
        <w:t>–</w:t>
      </w:r>
      <w:r w:rsidR="004436C2" w:rsidRPr="00B35B6B">
        <w:rPr>
          <w:rFonts w:hint="cs"/>
          <w:rtl/>
        </w:rPr>
        <w:t xml:space="preserve"> </w:t>
      </w:r>
      <w:r w:rsidRPr="00B35B6B">
        <w:rPr>
          <w:rFonts w:hint="cs"/>
          <w:rtl/>
        </w:rPr>
        <w:t xml:space="preserve">תמהיל האפיקים ה"לא </w:t>
      </w:r>
      <w:r w:rsidR="00F46570" w:rsidRPr="00B35B6B">
        <w:rPr>
          <w:rFonts w:hint="cs"/>
          <w:rtl/>
        </w:rPr>
        <w:t>מובטחים</w:t>
      </w:r>
      <w:r w:rsidRPr="00B35B6B">
        <w:rPr>
          <w:rFonts w:hint="cs"/>
          <w:rtl/>
        </w:rPr>
        <w:t xml:space="preserve">" (התפלגות אפיקי ההשקעה למעט </w:t>
      </w:r>
      <w:r w:rsidR="004436C2" w:rsidRPr="00B35B6B">
        <w:rPr>
          <w:rFonts w:hint="cs"/>
          <w:rtl/>
        </w:rPr>
        <w:t>ה</w:t>
      </w:r>
      <w:r w:rsidRPr="00B35B6B">
        <w:rPr>
          <w:rFonts w:hint="cs"/>
          <w:rtl/>
        </w:rPr>
        <w:t xml:space="preserve">אג"ח </w:t>
      </w:r>
      <w:r w:rsidR="004436C2" w:rsidRPr="00B35B6B">
        <w:rPr>
          <w:rFonts w:hint="cs"/>
          <w:rtl/>
        </w:rPr>
        <w:t>ה</w:t>
      </w:r>
      <w:r w:rsidRPr="00B35B6B">
        <w:rPr>
          <w:rFonts w:hint="cs"/>
          <w:rtl/>
        </w:rPr>
        <w:t xml:space="preserve">מיועדות בקרנות החדשות). </w:t>
      </w:r>
      <w:proofErr w:type="spellStart"/>
      <w:r w:rsidRPr="00B35B6B">
        <w:rPr>
          <w:rFonts w:hint="cs"/>
          <w:rtl/>
        </w:rPr>
        <w:t>הבנצ'מרק</w:t>
      </w:r>
      <w:proofErr w:type="spellEnd"/>
      <w:r w:rsidRPr="00B35B6B">
        <w:rPr>
          <w:rFonts w:hint="cs"/>
          <w:rtl/>
        </w:rPr>
        <w:t xml:space="preserve"> הזה מסתמך על התובנה שפרופיל הסיכון של תיק הנכסים</w:t>
      </w:r>
      <w:r w:rsidR="00B471D8" w:rsidRPr="00B35B6B">
        <w:rPr>
          <w:rFonts w:hint="cs"/>
          <w:rtl/>
        </w:rPr>
        <w:t xml:space="preserve"> עבור העמית</w:t>
      </w:r>
      <w:r w:rsidRPr="00B35B6B">
        <w:rPr>
          <w:rFonts w:hint="cs"/>
          <w:rtl/>
        </w:rPr>
        <w:t xml:space="preserve"> אינו משתנה כתוצאה מהרפורמה. המצב כיום הוא </w:t>
      </w:r>
      <w:r w:rsidR="004436C2" w:rsidRPr="00B35B6B">
        <w:rPr>
          <w:rFonts w:hint="cs"/>
          <w:rtl/>
        </w:rPr>
        <w:t>ש-</w:t>
      </w:r>
      <w:r w:rsidRPr="00B35B6B">
        <w:rPr>
          <w:rFonts w:hint="cs"/>
          <w:rtl/>
        </w:rPr>
        <w:t xml:space="preserve">30% מהתיק </w:t>
      </w:r>
      <w:r w:rsidR="004436C2" w:rsidRPr="00B35B6B">
        <w:rPr>
          <w:rFonts w:hint="cs"/>
          <w:rtl/>
        </w:rPr>
        <w:t xml:space="preserve">מקנים </w:t>
      </w:r>
      <w:r w:rsidRPr="00B35B6B">
        <w:rPr>
          <w:rFonts w:hint="cs"/>
          <w:rtl/>
        </w:rPr>
        <w:t>תשואה מובטחת</w:t>
      </w:r>
      <w:r w:rsidR="004436C2" w:rsidRPr="00B35B6B">
        <w:rPr>
          <w:rFonts w:hint="cs"/>
          <w:rtl/>
        </w:rPr>
        <w:t>,</w:t>
      </w:r>
      <w:r w:rsidRPr="00B35B6B">
        <w:rPr>
          <w:rFonts w:hint="cs"/>
          <w:rtl/>
        </w:rPr>
        <w:t xml:space="preserve"> ומצב זה יישאר גם לאחר שינוי מנגנון הבטחת התשואה</w:t>
      </w:r>
      <w:r w:rsidR="004436C2" w:rsidRPr="00B35B6B">
        <w:rPr>
          <w:rFonts w:hint="cs"/>
          <w:rtl/>
        </w:rPr>
        <w:t>.</w:t>
      </w:r>
      <w:r w:rsidRPr="00B35B6B">
        <w:rPr>
          <w:rStyle w:val="ad"/>
          <w:rtl/>
        </w:rPr>
        <w:footnoteReference w:id="6"/>
      </w:r>
      <w:r w:rsidRPr="00B35B6B">
        <w:rPr>
          <w:rFonts w:hint="cs"/>
          <w:rtl/>
        </w:rPr>
        <w:t xml:space="preserve"> </w:t>
      </w:r>
      <w:r w:rsidR="004436C2" w:rsidRPr="00B35B6B">
        <w:rPr>
          <w:rFonts w:hint="cs"/>
          <w:rtl/>
        </w:rPr>
        <w:t>לכן</w:t>
      </w:r>
      <w:r w:rsidR="00F46570" w:rsidRPr="00B35B6B">
        <w:rPr>
          <w:rFonts w:hint="cs"/>
          <w:rtl/>
        </w:rPr>
        <w:t xml:space="preserve">, </w:t>
      </w:r>
      <w:r w:rsidR="004436C2" w:rsidRPr="00B35B6B">
        <w:rPr>
          <w:rFonts w:hint="cs"/>
          <w:rtl/>
        </w:rPr>
        <w:t xml:space="preserve">כפי שכיום </w:t>
      </w:r>
      <w:r w:rsidR="00CF4CEA" w:rsidRPr="00B35B6B">
        <w:rPr>
          <w:rFonts w:hint="cs"/>
          <w:rtl/>
        </w:rPr>
        <w:t xml:space="preserve">הגוף </w:t>
      </w:r>
      <w:r w:rsidRPr="00B35B6B">
        <w:rPr>
          <w:rFonts w:hint="cs"/>
          <w:rtl/>
        </w:rPr>
        <w:t xml:space="preserve">המוסדי </w:t>
      </w:r>
      <w:r w:rsidR="004436C2" w:rsidRPr="00B35B6B">
        <w:rPr>
          <w:rFonts w:hint="cs"/>
          <w:rtl/>
        </w:rPr>
        <w:t>מקצה את הנכסים לאפיקים השונים</w:t>
      </w:r>
      <w:r w:rsidRPr="00B35B6B">
        <w:rPr>
          <w:rFonts w:hint="cs"/>
          <w:rtl/>
        </w:rPr>
        <w:t xml:space="preserve"> במטרה </w:t>
      </w:r>
      <w:r w:rsidR="004436C2" w:rsidRPr="00B35B6B">
        <w:rPr>
          <w:rFonts w:hint="cs"/>
          <w:rtl/>
        </w:rPr>
        <w:t xml:space="preserve">למרב </w:t>
      </w:r>
      <w:r w:rsidRPr="00B35B6B">
        <w:rPr>
          <w:rFonts w:hint="cs"/>
          <w:rtl/>
        </w:rPr>
        <w:t xml:space="preserve">את פרופיל </w:t>
      </w:r>
      <w:r w:rsidR="004436C2" w:rsidRPr="00B35B6B">
        <w:rPr>
          <w:rFonts w:hint="cs"/>
          <w:rtl/>
        </w:rPr>
        <w:t>ה</w:t>
      </w:r>
      <w:r w:rsidRPr="00B35B6B">
        <w:rPr>
          <w:rFonts w:hint="cs"/>
          <w:rtl/>
        </w:rPr>
        <w:t>תשואה</w:t>
      </w:r>
      <w:r w:rsidR="004436C2" w:rsidRPr="00B35B6B">
        <w:rPr>
          <w:rFonts w:hint="cs"/>
          <w:rtl/>
        </w:rPr>
        <w:t xml:space="preserve">-סיכון </w:t>
      </w:r>
      <w:r w:rsidR="00F46570" w:rsidRPr="00B35B6B">
        <w:rPr>
          <w:rFonts w:hint="cs"/>
          <w:rtl/>
        </w:rPr>
        <w:t>כש</w:t>
      </w:r>
      <w:r w:rsidR="004436C2" w:rsidRPr="00B35B6B">
        <w:rPr>
          <w:rFonts w:hint="cs"/>
          <w:rtl/>
        </w:rPr>
        <w:t>התשואה</w:t>
      </w:r>
      <w:r w:rsidR="00F46570" w:rsidRPr="00B35B6B">
        <w:rPr>
          <w:rFonts w:hint="cs"/>
          <w:rtl/>
        </w:rPr>
        <w:t xml:space="preserve"> </w:t>
      </w:r>
      <w:r w:rsidR="004436C2" w:rsidRPr="00B35B6B">
        <w:rPr>
          <w:rFonts w:hint="cs"/>
          <w:rtl/>
        </w:rPr>
        <w:t xml:space="preserve">על </w:t>
      </w:r>
      <w:r w:rsidRPr="00B35B6B">
        <w:rPr>
          <w:rFonts w:hint="cs"/>
          <w:rtl/>
        </w:rPr>
        <w:t xml:space="preserve">30% מהתיק </w:t>
      </w:r>
      <w:r w:rsidR="004436C2" w:rsidRPr="00B35B6B">
        <w:rPr>
          <w:rFonts w:hint="cs"/>
          <w:rtl/>
        </w:rPr>
        <w:t>מו</w:t>
      </w:r>
      <w:r w:rsidR="00F46570" w:rsidRPr="00B35B6B">
        <w:rPr>
          <w:rFonts w:hint="cs"/>
          <w:rtl/>
        </w:rPr>
        <w:t>ב</w:t>
      </w:r>
      <w:r w:rsidR="004436C2" w:rsidRPr="00B35B6B">
        <w:rPr>
          <w:rFonts w:hint="cs"/>
          <w:rtl/>
        </w:rPr>
        <w:t xml:space="preserve">טחת, </w:t>
      </w:r>
      <w:r w:rsidRPr="00B35B6B">
        <w:rPr>
          <w:rFonts w:hint="cs"/>
          <w:rtl/>
        </w:rPr>
        <w:t>הוא צפוי לשמור על הקצאת נכסים דומה אחרי הרפורמה.</w:t>
      </w:r>
    </w:p>
    <w:p w14:paraId="6D034337" w14:textId="7118179A" w:rsidR="009B263E" w:rsidRPr="00B35B6B" w:rsidRDefault="009B263E" w:rsidP="00C2547F">
      <w:pPr>
        <w:pStyle w:val="a5"/>
        <w:numPr>
          <w:ilvl w:val="0"/>
          <w:numId w:val="8"/>
        </w:numPr>
        <w:spacing w:line="360" w:lineRule="auto"/>
        <w:jc w:val="both"/>
      </w:pPr>
      <w:r w:rsidRPr="00B35B6B">
        <w:rPr>
          <w:rFonts w:hint="eastAsia"/>
          <w:b/>
          <w:bCs/>
          <w:rtl/>
        </w:rPr>
        <w:t>תמהיל</w:t>
      </w:r>
      <w:r w:rsidRPr="00B35B6B">
        <w:rPr>
          <w:b/>
          <w:bCs/>
          <w:rtl/>
        </w:rPr>
        <w:t xml:space="preserve"> </w:t>
      </w:r>
      <w:r w:rsidRPr="00B35B6B">
        <w:rPr>
          <w:rFonts w:hint="eastAsia"/>
          <w:b/>
          <w:bCs/>
          <w:rtl/>
        </w:rPr>
        <w:t>הנכסים</w:t>
      </w:r>
      <w:r w:rsidRPr="00B35B6B">
        <w:rPr>
          <w:b/>
          <w:bCs/>
          <w:rtl/>
        </w:rPr>
        <w:t xml:space="preserve"> </w:t>
      </w:r>
      <w:r w:rsidRPr="00B35B6B">
        <w:rPr>
          <w:rFonts w:hint="eastAsia"/>
          <w:b/>
          <w:bCs/>
          <w:rtl/>
        </w:rPr>
        <w:t>של</w:t>
      </w:r>
      <w:r w:rsidRPr="00B35B6B">
        <w:rPr>
          <w:b/>
          <w:bCs/>
          <w:rtl/>
        </w:rPr>
        <w:t xml:space="preserve"> </w:t>
      </w:r>
      <w:r w:rsidRPr="00B35B6B">
        <w:rPr>
          <w:rFonts w:hint="eastAsia"/>
          <w:b/>
          <w:bCs/>
          <w:rtl/>
        </w:rPr>
        <w:t>קרנות</w:t>
      </w:r>
      <w:r w:rsidRPr="00B35B6B">
        <w:rPr>
          <w:b/>
          <w:bCs/>
          <w:rtl/>
        </w:rPr>
        <w:t xml:space="preserve"> </w:t>
      </w:r>
      <w:r w:rsidRPr="00B35B6B">
        <w:rPr>
          <w:rFonts w:hint="eastAsia"/>
          <w:b/>
          <w:bCs/>
          <w:rtl/>
        </w:rPr>
        <w:t>הפנסיה</w:t>
      </w:r>
      <w:r w:rsidRPr="00B35B6B">
        <w:rPr>
          <w:b/>
          <w:bCs/>
          <w:rtl/>
        </w:rPr>
        <w:t xml:space="preserve"> </w:t>
      </w:r>
      <w:r w:rsidRPr="00B35B6B">
        <w:rPr>
          <w:rFonts w:hint="eastAsia"/>
          <w:b/>
          <w:bCs/>
          <w:rtl/>
        </w:rPr>
        <w:t>הכלליות</w:t>
      </w:r>
      <w:r w:rsidRPr="00B35B6B">
        <w:rPr>
          <w:b/>
          <w:bCs/>
          <w:rtl/>
        </w:rPr>
        <w:t xml:space="preserve"> </w:t>
      </w:r>
      <w:r w:rsidR="004436C2" w:rsidRPr="00B35B6B">
        <w:rPr>
          <w:b/>
          <w:bCs/>
          <w:rtl/>
        </w:rPr>
        <w:t xml:space="preserve"> </w:t>
      </w:r>
      <w:r w:rsidR="004436C2" w:rsidRPr="00B35B6B">
        <w:rPr>
          <w:rFonts w:hint="cs"/>
          <w:rtl/>
        </w:rPr>
        <w:t xml:space="preserve">–  </w:t>
      </w:r>
      <w:r w:rsidRPr="00B35B6B">
        <w:rPr>
          <w:rFonts w:hint="cs"/>
          <w:rtl/>
        </w:rPr>
        <w:t>קרנות אלה אינן משקיעות באג"ח מיועדות</w:t>
      </w:r>
      <w:r w:rsidR="00F46570" w:rsidRPr="00B35B6B">
        <w:rPr>
          <w:rFonts w:hint="cs"/>
          <w:rtl/>
        </w:rPr>
        <w:t>,</w:t>
      </w:r>
      <w:r w:rsidRPr="00B35B6B">
        <w:rPr>
          <w:rFonts w:hint="cs"/>
          <w:rtl/>
        </w:rPr>
        <w:t xml:space="preserve"> </w:t>
      </w:r>
      <w:r w:rsidR="00F46570" w:rsidRPr="00B35B6B">
        <w:rPr>
          <w:rFonts w:hint="cs"/>
          <w:rtl/>
        </w:rPr>
        <w:t xml:space="preserve">ולכן </w:t>
      </w:r>
      <w:r w:rsidR="004436C2" w:rsidRPr="00B35B6B">
        <w:rPr>
          <w:rFonts w:hint="cs"/>
          <w:rtl/>
        </w:rPr>
        <w:t xml:space="preserve">משמשות </w:t>
      </w:r>
      <w:r w:rsidRPr="00B35B6B">
        <w:rPr>
          <w:rFonts w:hint="cs"/>
          <w:rtl/>
        </w:rPr>
        <w:t xml:space="preserve">אינדיקציה לאופן השקעה של גוף </w:t>
      </w:r>
      <w:r w:rsidR="004436C2" w:rsidRPr="00B35B6B">
        <w:rPr>
          <w:rFonts w:hint="cs"/>
          <w:rtl/>
        </w:rPr>
        <w:t xml:space="preserve">בעל </w:t>
      </w:r>
      <w:r w:rsidRPr="00B35B6B">
        <w:rPr>
          <w:rFonts w:hint="cs"/>
          <w:rtl/>
        </w:rPr>
        <w:t>פונקציית מטרה של ח</w:t>
      </w:r>
      <w:r w:rsidR="004436C2" w:rsidRPr="00B35B6B">
        <w:rPr>
          <w:rFonts w:hint="cs"/>
          <w:rtl/>
        </w:rPr>
        <w:t>י</w:t>
      </w:r>
      <w:r w:rsidRPr="00B35B6B">
        <w:rPr>
          <w:rFonts w:hint="cs"/>
          <w:rtl/>
        </w:rPr>
        <w:t xml:space="preserve">סכון ארוך טווח </w:t>
      </w:r>
      <w:r w:rsidR="0060237D" w:rsidRPr="00B35B6B">
        <w:rPr>
          <w:rFonts w:hint="cs"/>
          <w:rtl/>
        </w:rPr>
        <w:t>שאין בו</w:t>
      </w:r>
      <w:r w:rsidRPr="00B35B6B">
        <w:rPr>
          <w:rFonts w:hint="cs"/>
          <w:rtl/>
        </w:rPr>
        <w:t xml:space="preserve"> מנגנון הבטחת התשואה. החיסרון </w:t>
      </w:r>
      <w:proofErr w:type="spellStart"/>
      <w:r w:rsidRPr="00B35B6B">
        <w:rPr>
          <w:rFonts w:hint="cs"/>
          <w:rtl/>
        </w:rPr>
        <w:t>בבנצ'מרק</w:t>
      </w:r>
      <w:proofErr w:type="spellEnd"/>
      <w:r w:rsidRPr="00B35B6B">
        <w:rPr>
          <w:rFonts w:hint="cs"/>
          <w:rtl/>
        </w:rPr>
        <w:t xml:space="preserve"> הזה הוא שהקרנות הכלליות מנהלות סכו</w:t>
      </w:r>
      <w:r w:rsidR="0060237D" w:rsidRPr="00B35B6B">
        <w:rPr>
          <w:rFonts w:hint="cs"/>
          <w:rtl/>
        </w:rPr>
        <w:t>מי</w:t>
      </w:r>
      <w:r w:rsidRPr="00B35B6B">
        <w:rPr>
          <w:rFonts w:hint="cs"/>
          <w:rtl/>
        </w:rPr>
        <w:t>ם קטנים יחסית</w:t>
      </w:r>
      <w:r w:rsidR="0060237D" w:rsidRPr="00B35B6B">
        <w:rPr>
          <w:rFonts w:hint="cs"/>
          <w:rtl/>
        </w:rPr>
        <w:t>,</w:t>
      </w:r>
      <w:r w:rsidRPr="00B35B6B">
        <w:rPr>
          <w:rFonts w:hint="cs"/>
          <w:rtl/>
        </w:rPr>
        <w:t xml:space="preserve"> </w:t>
      </w:r>
      <w:r w:rsidR="0060237D" w:rsidRPr="00B35B6B">
        <w:rPr>
          <w:rFonts w:hint="cs"/>
          <w:rtl/>
        </w:rPr>
        <w:t xml:space="preserve">והסקה </w:t>
      </w:r>
      <w:r w:rsidRPr="00B35B6B">
        <w:rPr>
          <w:rFonts w:hint="cs"/>
          <w:rtl/>
        </w:rPr>
        <w:t>מהתנהגות</w:t>
      </w:r>
      <w:r w:rsidR="0060237D" w:rsidRPr="00B35B6B">
        <w:rPr>
          <w:rFonts w:hint="cs"/>
          <w:rtl/>
        </w:rPr>
        <w:t>ן</w:t>
      </w:r>
      <w:r w:rsidRPr="00B35B6B">
        <w:rPr>
          <w:rFonts w:hint="cs"/>
          <w:rtl/>
        </w:rPr>
        <w:t xml:space="preserve"> </w:t>
      </w:r>
      <w:r w:rsidR="0060237D" w:rsidRPr="00B35B6B">
        <w:rPr>
          <w:rFonts w:hint="cs"/>
          <w:rtl/>
        </w:rPr>
        <w:t xml:space="preserve">לגבי </w:t>
      </w:r>
      <w:r w:rsidR="00F46570" w:rsidRPr="00B35B6B">
        <w:rPr>
          <w:rFonts w:hint="cs"/>
          <w:rtl/>
        </w:rPr>
        <w:t>ה</w:t>
      </w:r>
      <w:r w:rsidR="0060237D" w:rsidRPr="00B35B6B">
        <w:rPr>
          <w:rFonts w:hint="cs"/>
          <w:rtl/>
        </w:rPr>
        <w:t>טיפול</w:t>
      </w:r>
      <w:r w:rsidRPr="00B35B6B">
        <w:rPr>
          <w:rFonts w:hint="cs"/>
          <w:rtl/>
        </w:rPr>
        <w:t xml:space="preserve"> </w:t>
      </w:r>
      <w:r w:rsidR="0060237D" w:rsidRPr="00B35B6B">
        <w:rPr>
          <w:rFonts w:hint="cs"/>
          <w:rtl/>
        </w:rPr>
        <w:t>ב</w:t>
      </w:r>
      <w:r w:rsidRPr="00B35B6B">
        <w:rPr>
          <w:rFonts w:hint="cs"/>
          <w:rtl/>
        </w:rPr>
        <w:t>תיקים גדולים יותר</w:t>
      </w:r>
      <w:r w:rsidR="0060237D" w:rsidRPr="00B35B6B">
        <w:rPr>
          <w:rFonts w:hint="cs"/>
          <w:rtl/>
        </w:rPr>
        <w:t xml:space="preserve"> מוגבלת.</w:t>
      </w:r>
    </w:p>
    <w:p w14:paraId="31369961" w14:textId="21576953" w:rsidR="009B263E" w:rsidRPr="00B35B6B" w:rsidRDefault="009B263E" w:rsidP="00C2547F">
      <w:pPr>
        <w:pStyle w:val="a5"/>
        <w:numPr>
          <w:ilvl w:val="0"/>
          <w:numId w:val="8"/>
        </w:numPr>
        <w:spacing w:line="360" w:lineRule="auto"/>
        <w:jc w:val="both"/>
      </w:pPr>
      <w:r w:rsidRPr="00B35B6B">
        <w:rPr>
          <w:rFonts w:hint="cs"/>
          <w:rtl/>
        </w:rPr>
        <w:t xml:space="preserve">תמהיל הנכסים של קופות הגמל </w:t>
      </w:r>
      <w:r w:rsidRPr="00B35B6B">
        <w:rPr>
          <w:rtl/>
        </w:rPr>
        <w:t>–</w:t>
      </w:r>
      <w:r w:rsidRPr="00B35B6B">
        <w:rPr>
          <w:rFonts w:hint="cs"/>
          <w:rtl/>
        </w:rPr>
        <w:t xml:space="preserve"> </w:t>
      </w:r>
      <w:proofErr w:type="spellStart"/>
      <w:r w:rsidRPr="00B35B6B">
        <w:rPr>
          <w:rFonts w:hint="cs"/>
          <w:rtl/>
        </w:rPr>
        <w:t>הבנצ'מרק</w:t>
      </w:r>
      <w:proofErr w:type="spellEnd"/>
      <w:r w:rsidRPr="00B35B6B">
        <w:rPr>
          <w:rFonts w:hint="cs"/>
          <w:rtl/>
        </w:rPr>
        <w:t xml:space="preserve"> הזה נבחר לפי ה</w:t>
      </w:r>
      <w:r w:rsidR="0060237D" w:rsidRPr="00B35B6B">
        <w:rPr>
          <w:rFonts w:hint="cs"/>
          <w:rtl/>
        </w:rPr>
        <w:t>י</w:t>
      </w:r>
      <w:r w:rsidRPr="00B35B6B">
        <w:rPr>
          <w:rFonts w:hint="cs"/>
          <w:rtl/>
        </w:rPr>
        <w:t>גיון דומה ל</w:t>
      </w:r>
      <w:r w:rsidR="0060237D" w:rsidRPr="00B35B6B">
        <w:rPr>
          <w:rFonts w:hint="cs"/>
          <w:rtl/>
        </w:rPr>
        <w:t>זה של ה</w:t>
      </w:r>
      <w:r w:rsidRPr="00B35B6B">
        <w:rPr>
          <w:rFonts w:hint="cs"/>
          <w:rtl/>
        </w:rPr>
        <w:t>בחירה בקרנות הפנסיה הכלליות.</w:t>
      </w:r>
      <w:r w:rsidRPr="00B35B6B">
        <w:rPr>
          <w:rtl/>
        </w:rPr>
        <w:t xml:space="preserve"> </w:t>
      </w:r>
      <w:r w:rsidR="00F46570" w:rsidRPr="00B35B6B">
        <w:rPr>
          <w:rFonts w:hint="cs"/>
          <w:rtl/>
        </w:rPr>
        <w:t xml:space="preserve">ואולם  </w:t>
      </w:r>
      <w:r w:rsidR="00F46570" w:rsidRPr="00B35B6B">
        <w:rPr>
          <w:rtl/>
        </w:rPr>
        <w:t xml:space="preserve">מדיניות </w:t>
      </w:r>
      <w:r w:rsidRPr="00B35B6B">
        <w:rPr>
          <w:rtl/>
        </w:rPr>
        <w:t xml:space="preserve">ההשקעה של קופות הגמל שונה </w:t>
      </w:r>
      <w:r w:rsidR="00F46570" w:rsidRPr="00B35B6B">
        <w:rPr>
          <w:rtl/>
        </w:rPr>
        <w:t>מ</w:t>
      </w:r>
      <w:r w:rsidR="00F46570" w:rsidRPr="00B35B6B">
        <w:rPr>
          <w:rFonts w:hint="cs"/>
          <w:rtl/>
        </w:rPr>
        <w:t>זו</w:t>
      </w:r>
      <w:r w:rsidR="00F46570" w:rsidRPr="00B35B6B">
        <w:rPr>
          <w:rtl/>
        </w:rPr>
        <w:t xml:space="preserve"> </w:t>
      </w:r>
      <w:r w:rsidRPr="00B35B6B">
        <w:rPr>
          <w:rtl/>
        </w:rPr>
        <w:t xml:space="preserve">של קרנות </w:t>
      </w:r>
      <w:r w:rsidR="0060237D" w:rsidRPr="00B35B6B">
        <w:rPr>
          <w:rFonts w:hint="cs"/>
          <w:rtl/>
        </w:rPr>
        <w:t>ה</w:t>
      </w:r>
      <w:r w:rsidRPr="00B35B6B">
        <w:rPr>
          <w:rtl/>
        </w:rPr>
        <w:t>נאמנות</w:t>
      </w:r>
      <w:r w:rsidR="0060237D" w:rsidRPr="00B35B6B">
        <w:rPr>
          <w:rFonts w:hint="cs"/>
          <w:rtl/>
        </w:rPr>
        <w:t>,</w:t>
      </w:r>
      <w:r w:rsidRPr="00B35B6B">
        <w:rPr>
          <w:rtl/>
        </w:rPr>
        <w:t xml:space="preserve"> ולכן התרחיש פחות סביר</w:t>
      </w:r>
      <w:r w:rsidRPr="00B35B6B">
        <w:rPr>
          <w:rFonts w:hint="cs"/>
          <w:rtl/>
        </w:rPr>
        <w:t>.</w:t>
      </w:r>
    </w:p>
    <w:p w14:paraId="16A6F695" w14:textId="6FFAD5A9" w:rsidR="009B263E" w:rsidRPr="00B35B6B" w:rsidRDefault="009B263E" w:rsidP="00C2547F">
      <w:pPr>
        <w:spacing w:line="360" w:lineRule="auto"/>
        <w:jc w:val="both"/>
        <w:rPr>
          <w:rtl/>
        </w:rPr>
      </w:pPr>
      <w:r w:rsidRPr="00B35B6B">
        <w:rPr>
          <w:rFonts w:hint="cs"/>
          <w:rtl/>
        </w:rPr>
        <w:t>לצורך בניית התרחישים נבנתה תחזית של היקף הנכסים להשקעה ("</w:t>
      </w:r>
      <w:r w:rsidR="000814E6" w:rsidRPr="00B35B6B">
        <w:rPr>
          <w:rFonts w:hint="cs"/>
          <w:rtl/>
        </w:rPr>
        <w:t>ה</w:t>
      </w:r>
      <w:r w:rsidRPr="00B35B6B">
        <w:rPr>
          <w:rFonts w:hint="cs"/>
          <w:rtl/>
        </w:rPr>
        <w:t xml:space="preserve">מלאי </w:t>
      </w:r>
      <w:r w:rsidR="000814E6" w:rsidRPr="00B35B6B">
        <w:rPr>
          <w:rFonts w:hint="cs"/>
          <w:rtl/>
        </w:rPr>
        <w:t>ה</w:t>
      </w:r>
      <w:r w:rsidRPr="00B35B6B">
        <w:rPr>
          <w:rFonts w:hint="cs"/>
          <w:rtl/>
        </w:rPr>
        <w:t xml:space="preserve">מבטיח תשואה") </w:t>
      </w:r>
      <w:r w:rsidR="0060237D" w:rsidRPr="00B35B6B">
        <w:rPr>
          <w:rFonts w:hint="cs"/>
          <w:rtl/>
        </w:rPr>
        <w:t>ה</w:t>
      </w:r>
      <w:r w:rsidRPr="00B35B6B">
        <w:rPr>
          <w:rFonts w:hint="cs"/>
          <w:rtl/>
        </w:rPr>
        <w:t>צפויים להיות מושקעים באפיקים אחרים</w:t>
      </w:r>
      <w:r w:rsidR="0060237D" w:rsidRPr="00B35B6B">
        <w:rPr>
          <w:rFonts w:hint="cs"/>
          <w:rtl/>
        </w:rPr>
        <w:t xml:space="preserve">. </w:t>
      </w:r>
      <w:r w:rsidRPr="00B35B6B">
        <w:rPr>
          <w:rFonts w:hint="cs"/>
          <w:rtl/>
        </w:rPr>
        <w:t>תוצאות התרחיש העיקרי מוצגות ב</w:t>
      </w:r>
      <w:r w:rsidRPr="00B35B6B">
        <w:rPr>
          <w:rtl/>
        </w:rPr>
        <w:fldChar w:fldCharType="begin"/>
      </w:r>
      <w:r w:rsidRPr="00B35B6B">
        <w:rPr>
          <w:rtl/>
        </w:rPr>
        <w:instrText xml:space="preserve"> </w:instrText>
      </w:r>
      <w:r w:rsidRPr="00B35B6B">
        <w:rPr>
          <w:rFonts w:hint="cs"/>
        </w:rPr>
        <w:instrText>REF</w:instrText>
      </w:r>
      <w:r w:rsidRPr="00B35B6B">
        <w:rPr>
          <w:rFonts w:hint="cs"/>
          <w:rtl/>
        </w:rPr>
        <w:instrText xml:space="preserve"> _</w:instrText>
      </w:r>
      <w:r w:rsidRPr="00B35B6B">
        <w:rPr>
          <w:rFonts w:hint="cs"/>
        </w:rPr>
        <w:instrText>Ref96694307 \h</w:instrText>
      </w:r>
      <w:r w:rsidRPr="00B35B6B">
        <w:rPr>
          <w:rtl/>
        </w:rPr>
        <w:instrText xml:space="preserve"> </w:instrText>
      </w:r>
      <w:r w:rsidR="00B35B6B">
        <w:rPr>
          <w:rtl/>
        </w:rPr>
        <w:instrText xml:space="preserve"> \* </w:instrText>
      </w:r>
      <w:r w:rsidR="00B35B6B">
        <w:instrText>MERGEFORMAT</w:instrText>
      </w:r>
      <w:r w:rsidR="00B35B6B">
        <w:rPr>
          <w:rtl/>
        </w:rPr>
        <w:instrText xml:space="preserve"> </w:instrText>
      </w:r>
      <w:r w:rsidRPr="00B35B6B">
        <w:rPr>
          <w:rtl/>
        </w:rPr>
      </w:r>
      <w:r w:rsidRPr="00B35B6B">
        <w:rPr>
          <w:rtl/>
        </w:rPr>
        <w:fldChar w:fldCharType="separate"/>
      </w:r>
      <w:r w:rsidRPr="00B35B6B">
        <w:rPr>
          <w:rtl/>
        </w:rPr>
        <w:t xml:space="preserve">איור </w:t>
      </w:r>
      <w:r w:rsidRPr="00B35B6B">
        <w:rPr>
          <w:noProof/>
          <w:rtl/>
        </w:rPr>
        <w:t>4</w:t>
      </w:r>
      <w:r w:rsidRPr="00B35B6B">
        <w:rPr>
          <w:rtl/>
        </w:rPr>
        <w:fldChar w:fldCharType="end"/>
      </w:r>
      <w:r w:rsidRPr="00B35B6B">
        <w:rPr>
          <w:rFonts w:hint="cs"/>
          <w:rtl/>
        </w:rPr>
        <w:t xml:space="preserve">. </w:t>
      </w:r>
    </w:p>
    <w:p w14:paraId="1E4E6B87" w14:textId="77777777" w:rsidR="009B263E" w:rsidRPr="00B35B6B" w:rsidRDefault="009B263E" w:rsidP="00C2547F">
      <w:pPr>
        <w:bidi w:val="0"/>
        <w:jc w:val="both"/>
        <w:rPr>
          <w:rtl/>
        </w:rPr>
      </w:pPr>
      <w:r w:rsidRPr="00B35B6B">
        <w:rPr>
          <w:rtl/>
        </w:rPr>
        <w:br w:type="page"/>
      </w:r>
    </w:p>
    <w:p w14:paraId="417FD2C4" w14:textId="77777777" w:rsidR="009B263E" w:rsidRPr="00C2547F" w:rsidRDefault="009B263E" w:rsidP="00C2547F">
      <w:pPr>
        <w:pStyle w:val="ae"/>
        <w:spacing w:line="360" w:lineRule="auto"/>
        <w:jc w:val="center"/>
        <w:rPr>
          <w:i w:val="0"/>
          <w:iCs w:val="0"/>
          <w:noProof/>
          <w:color w:val="auto"/>
          <w:sz w:val="20"/>
          <w:szCs w:val="20"/>
        </w:rPr>
      </w:pPr>
      <w:bookmarkStart w:id="7" w:name="_Ref96694307"/>
      <w:r w:rsidRPr="00C2547F">
        <w:rPr>
          <w:i w:val="0"/>
          <w:iCs w:val="0"/>
          <w:noProof/>
          <w:color w:val="auto"/>
          <w:sz w:val="20"/>
          <w:szCs w:val="20"/>
          <w:rtl/>
        </w:rPr>
        <w:lastRenderedPageBreak/>
        <w:t xml:space="preserve">איור </w:t>
      </w:r>
      <w:r w:rsidRPr="00C2547F">
        <w:rPr>
          <w:i w:val="0"/>
          <w:iCs w:val="0"/>
          <w:noProof/>
          <w:color w:val="auto"/>
          <w:sz w:val="20"/>
          <w:szCs w:val="20"/>
          <w:rtl/>
        </w:rPr>
        <w:fldChar w:fldCharType="begin"/>
      </w:r>
      <w:r w:rsidRPr="00C2547F">
        <w:rPr>
          <w:i w:val="0"/>
          <w:iCs w:val="0"/>
          <w:noProof/>
          <w:color w:val="auto"/>
          <w:sz w:val="20"/>
          <w:szCs w:val="20"/>
          <w:rtl/>
        </w:rPr>
        <w:instrText xml:space="preserve"> </w:instrText>
      </w:r>
      <w:r w:rsidRPr="00C2547F">
        <w:rPr>
          <w:i w:val="0"/>
          <w:iCs w:val="0"/>
          <w:noProof/>
          <w:color w:val="auto"/>
          <w:sz w:val="20"/>
          <w:szCs w:val="20"/>
        </w:rPr>
        <w:instrText>SEQ</w:instrText>
      </w:r>
      <w:r w:rsidRPr="00C2547F">
        <w:rPr>
          <w:i w:val="0"/>
          <w:iCs w:val="0"/>
          <w:noProof/>
          <w:color w:val="auto"/>
          <w:sz w:val="20"/>
          <w:szCs w:val="20"/>
          <w:rtl/>
        </w:rPr>
        <w:instrText xml:space="preserve"> איור \* </w:instrText>
      </w:r>
      <w:r w:rsidRPr="00C2547F">
        <w:rPr>
          <w:i w:val="0"/>
          <w:iCs w:val="0"/>
          <w:noProof/>
          <w:color w:val="auto"/>
          <w:sz w:val="20"/>
          <w:szCs w:val="20"/>
        </w:rPr>
        <w:instrText>ARABIC</w:instrText>
      </w:r>
      <w:r w:rsidRPr="00C2547F">
        <w:rPr>
          <w:i w:val="0"/>
          <w:iCs w:val="0"/>
          <w:noProof/>
          <w:color w:val="auto"/>
          <w:sz w:val="20"/>
          <w:szCs w:val="20"/>
          <w:rtl/>
        </w:rPr>
        <w:instrText xml:space="preserve"> </w:instrText>
      </w:r>
      <w:r w:rsidRPr="00C2547F">
        <w:rPr>
          <w:i w:val="0"/>
          <w:iCs w:val="0"/>
          <w:noProof/>
          <w:color w:val="auto"/>
          <w:sz w:val="20"/>
          <w:szCs w:val="20"/>
          <w:rtl/>
        </w:rPr>
        <w:fldChar w:fldCharType="separate"/>
      </w:r>
      <w:r w:rsidRPr="00C2547F">
        <w:rPr>
          <w:i w:val="0"/>
          <w:iCs w:val="0"/>
          <w:noProof/>
          <w:color w:val="auto"/>
          <w:sz w:val="20"/>
          <w:szCs w:val="20"/>
          <w:rtl/>
        </w:rPr>
        <w:t>4</w:t>
      </w:r>
      <w:r w:rsidRPr="00C2547F">
        <w:rPr>
          <w:i w:val="0"/>
          <w:iCs w:val="0"/>
          <w:noProof/>
          <w:color w:val="auto"/>
          <w:sz w:val="20"/>
          <w:szCs w:val="20"/>
          <w:rtl/>
        </w:rPr>
        <w:fldChar w:fldCharType="end"/>
      </w:r>
      <w:bookmarkEnd w:id="7"/>
      <w:r w:rsidRPr="00C2547F">
        <w:rPr>
          <w:rFonts w:hint="cs"/>
          <w:i w:val="0"/>
          <w:iCs w:val="0"/>
          <w:noProof/>
          <w:color w:val="auto"/>
          <w:sz w:val="20"/>
          <w:szCs w:val="20"/>
          <w:rtl/>
        </w:rPr>
        <w:t>: תרחישים להקצאה של "מלאי להבטחת תשואה" לפי תרחיש עיקרי (תיק חופשי של קרנות מקיפות)</w:t>
      </w:r>
    </w:p>
    <w:p w14:paraId="5FC56FEF" w14:textId="7D6B8A84" w:rsidR="009B263E" w:rsidRPr="00B35B6B" w:rsidRDefault="00E55834" w:rsidP="009B263E">
      <w:pPr>
        <w:spacing w:line="360" w:lineRule="auto"/>
        <w:rPr>
          <w:rtl/>
        </w:rPr>
      </w:pPr>
      <w:r w:rsidRPr="00B35B6B">
        <w:rPr>
          <w:noProof/>
        </w:rPr>
        <w:drawing>
          <wp:inline distT="0" distB="0" distL="0" distR="0" wp14:anchorId="3E89E7C3" wp14:editId="5E8A205A">
            <wp:extent cx="5583600" cy="3650400"/>
            <wp:effectExtent l="0" t="0" r="0" b="7620"/>
            <wp:docPr id="15" name="Picture 15" descr="תרחישים להקצאה של &quot;מלאי להבטחת תשואה&quot; לפי תרחיש עיקרי (תיק חופשי של קרנות מקיפות)" title="תרחישים להקצאה של &quot;מלאי להבטחת תשואה&quot; לפי תרחיש עיקרי (תיק חופשי של קרנות מקי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3600" cy="3650400"/>
                    </a:xfrm>
                    <a:prstGeom prst="rect">
                      <a:avLst/>
                    </a:prstGeom>
                    <a:noFill/>
                  </pic:spPr>
                </pic:pic>
              </a:graphicData>
            </a:graphic>
          </wp:inline>
        </w:drawing>
      </w:r>
    </w:p>
    <w:p w14:paraId="5173C17E" w14:textId="1AD388C7" w:rsidR="006804CC" w:rsidRPr="00B35B6B" w:rsidRDefault="009B263E" w:rsidP="00C2547F">
      <w:pPr>
        <w:spacing w:line="360" w:lineRule="auto"/>
        <w:jc w:val="both"/>
        <w:rPr>
          <w:rtl/>
        </w:rPr>
      </w:pPr>
      <w:r w:rsidRPr="00B35B6B">
        <w:rPr>
          <w:rFonts w:hint="cs"/>
          <w:rtl/>
        </w:rPr>
        <w:t>התרחיש העיקרי (הקצאה לפי תמהיל הנכסים ה</w:t>
      </w:r>
      <w:r w:rsidR="000814E6" w:rsidRPr="00B35B6B">
        <w:rPr>
          <w:rFonts w:hint="cs"/>
          <w:rtl/>
        </w:rPr>
        <w:t>"</w:t>
      </w:r>
      <w:r w:rsidRPr="00B35B6B">
        <w:rPr>
          <w:rFonts w:hint="cs"/>
          <w:rtl/>
        </w:rPr>
        <w:t xml:space="preserve">לא מבוטחים") מראה </w:t>
      </w:r>
      <w:r w:rsidR="000814E6" w:rsidRPr="00B35B6B">
        <w:rPr>
          <w:rFonts w:hint="cs"/>
          <w:rtl/>
        </w:rPr>
        <w:t>ש</w:t>
      </w:r>
      <w:r w:rsidRPr="00B35B6B">
        <w:rPr>
          <w:rFonts w:hint="cs"/>
          <w:rtl/>
        </w:rPr>
        <w:t xml:space="preserve">שני האפיקים </w:t>
      </w:r>
      <w:r w:rsidR="000814E6" w:rsidRPr="00B35B6B">
        <w:rPr>
          <w:rFonts w:hint="cs"/>
          <w:rtl/>
        </w:rPr>
        <w:t xml:space="preserve">אשר משקלם </w:t>
      </w:r>
      <w:r w:rsidRPr="00B35B6B">
        <w:rPr>
          <w:rFonts w:hint="cs"/>
          <w:rtl/>
        </w:rPr>
        <w:t xml:space="preserve">צפוי לגדול </w:t>
      </w:r>
      <w:r w:rsidR="000814E6" w:rsidRPr="00B35B6B">
        <w:rPr>
          <w:rFonts w:hint="cs"/>
          <w:rtl/>
        </w:rPr>
        <w:t xml:space="preserve">במידה </w:t>
      </w:r>
      <w:r w:rsidRPr="00B35B6B">
        <w:rPr>
          <w:rFonts w:hint="cs"/>
          <w:rtl/>
        </w:rPr>
        <w:t>משמעותי</w:t>
      </w:r>
      <w:r w:rsidR="000814E6" w:rsidRPr="00B35B6B">
        <w:rPr>
          <w:rFonts w:hint="cs"/>
          <w:rtl/>
        </w:rPr>
        <w:t>ת</w:t>
      </w:r>
      <w:r w:rsidRPr="00B35B6B">
        <w:rPr>
          <w:rFonts w:hint="cs"/>
          <w:rtl/>
        </w:rPr>
        <w:t xml:space="preserve"> הם הנכסים הזרים ו</w:t>
      </w:r>
      <w:r w:rsidR="000814E6" w:rsidRPr="00B35B6B">
        <w:rPr>
          <w:rFonts w:hint="cs"/>
          <w:rtl/>
        </w:rPr>
        <w:t>ה</w:t>
      </w:r>
      <w:r w:rsidRPr="00B35B6B">
        <w:rPr>
          <w:rFonts w:hint="cs"/>
          <w:rtl/>
        </w:rPr>
        <w:t>מניות. המשמעות היא על</w:t>
      </w:r>
      <w:r w:rsidR="000814E6" w:rsidRPr="00B35B6B">
        <w:rPr>
          <w:rFonts w:hint="cs"/>
          <w:rtl/>
        </w:rPr>
        <w:t>י</w:t>
      </w:r>
      <w:r w:rsidRPr="00B35B6B">
        <w:rPr>
          <w:rFonts w:hint="cs"/>
          <w:rtl/>
        </w:rPr>
        <w:t xml:space="preserve">יה </w:t>
      </w:r>
      <w:r w:rsidR="000814E6" w:rsidRPr="00B35B6B">
        <w:rPr>
          <w:rFonts w:hint="cs"/>
          <w:rtl/>
        </w:rPr>
        <w:t xml:space="preserve">של היקף החשיפה </w:t>
      </w:r>
      <w:r w:rsidRPr="00B35B6B">
        <w:rPr>
          <w:rFonts w:hint="cs"/>
          <w:rtl/>
        </w:rPr>
        <w:t xml:space="preserve">לנכסים זרים. בחלוקה של התיק לרכיב זר ורכיב מקומי ניתן לראות שצפוי </w:t>
      </w:r>
      <w:r w:rsidR="00FF3D28" w:rsidRPr="00B35B6B">
        <w:rPr>
          <w:rFonts w:hint="cs"/>
          <w:rtl/>
        </w:rPr>
        <w:t>גידול גם ברכיב המקומי</w:t>
      </w:r>
      <w:r w:rsidR="008B42EE" w:rsidRPr="00B35B6B">
        <w:rPr>
          <w:rFonts w:hint="cs"/>
          <w:rtl/>
        </w:rPr>
        <w:t>,</w:t>
      </w:r>
      <w:r w:rsidR="00FF3D28" w:rsidRPr="00B35B6B">
        <w:rPr>
          <w:rFonts w:hint="cs"/>
          <w:rtl/>
        </w:rPr>
        <w:t xml:space="preserve"> </w:t>
      </w:r>
      <w:r w:rsidR="008B42EE" w:rsidRPr="00B35B6B">
        <w:rPr>
          <w:rFonts w:hint="cs"/>
          <w:rtl/>
        </w:rPr>
        <w:t>כלומר</w:t>
      </w:r>
      <w:r w:rsidR="00FF3D28" w:rsidRPr="00B35B6B">
        <w:rPr>
          <w:rFonts w:hint="cs"/>
          <w:rtl/>
        </w:rPr>
        <w:t xml:space="preserve"> התגברות </w:t>
      </w:r>
      <w:r w:rsidR="008B42EE" w:rsidRPr="00B35B6B">
        <w:rPr>
          <w:rFonts w:hint="cs"/>
          <w:rtl/>
        </w:rPr>
        <w:t xml:space="preserve">של </w:t>
      </w:r>
      <w:r w:rsidRPr="00B35B6B">
        <w:rPr>
          <w:rFonts w:hint="eastAsia"/>
          <w:rtl/>
        </w:rPr>
        <w:t>כניסת</w:t>
      </w:r>
      <w:r w:rsidRPr="00B35B6B">
        <w:rPr>
          <w:rtl/>
        </w:rPr>
        <w:t xml:space="preserve"> </w:t>
      </w:r>
      <w:r w:rsidR="008B42EE" w:rsidRPr="00B35B6B">
        <w:rPr>
          <w:rFonts w:hint="eastAsia"/>
          <w:rtl/>
        </w:rPr>
        <w:t>ה</w:t>
      </w:r>
      <w:r w:rsidRPr="00B35B6B">
        <w:rPr>
          <w:rFonts w:hint="eastAsia"/>
          <w:rtl/>
        </w:rPr>
        <w:t>הון</w:t>
      </w:r>
      <w:r w:rsidRPr="00B35B6B">
        <w:rPr>
          <w:rtl/>
        </w:rPr>
        <w:t xml:space="preserve"> </w:t>
      </w:r>
      <w:r w:rsidRPr="00B35B6B">
        <w:rPr>
          <w:rFonts w:hint="eastAsia"/>
          <w:rtl/>
        </w:rPr>
        <w:t>לשוק</w:t>
      </w:r>
      <w:r w:rsidRPr="00B35B6B">
        <w:rPr>
          <w:rtl/>
        </w:rPr>
        <w:t xml:space="preserve"> </w:t>
      </w:r>
      <w:r w:rsidRPr="00B35B6B">
        <w:rPr>
          <w:rFonts w:hint="eastAsia"/>
          <w:rtl/>
        </w:rPr>
        <w:t>ההון</w:t>
      </w:r>
      <w:r w:rsidRPr="00B35B6B">
        <w:rPr>
          <w:rtl/>
        </w:rPr>
        <w:t xml:space="preserve"> </w:t>
      </w:r>
      <w:r w:rsidRPr="00B35B6B">
        <w:rPr>
          <w:rFonts w:hint="eastAsia"/>
          <w:rtl/>
        </w:rPr>
        <w:t>המקומי</w:t>
      </w:r>
      <w:r w:rsidR="008B42EE" w:rsidRPr="00B35B6B">
        <w:rPr>
          <w:rFonts w:hint="cs"/>
          <w:rtl/>
        </w:rPr>
        <w:t xml:space="preserve">. </w:t>
      </w:r>
      <w:r w:rsidRPr="00B35B6B">
        <w:rPr>
          <w:rFonts w:hint="eastAsia"/>
          <w:rtl/>
        </w:rPr>
        <w:t>הדבר</w:t>
      </w:r>
      <w:r w:rsidRPr="00B35B6B">
        <w:rPr>
          <w:rtl/>
        </w:rPr>
        <w:t xml:space="preserve"> </w:t>
      </w:r>
      <w:r w:rsidRPr="00B35B6B">
        <w:rPr>
          <w:rFonts w:hint="eastAsia"/>
          <w:rtl/>
        </w:rPr>
        <w:t>עשוי</w:t>
      </w:r>
      <w:r w:rsidRPr="00B35B6B">
        <w:rPr>
          <w:rtl/>
        </w:rPr>
        <w:t xml:space="preserve"> </w:t>
      </w:r>
      <w:r w:rsidR="000814E6" w:rsidRPr="00B35B6B">
        <w:rPr>
          <w:rFonts w:hint="eastAsia"/>
          <w:rtl/>
        </w:rPr>
        <w:t>להציב</w:t>
      </w:r>
      <w:r w:rsidR="000814E6" w:rsidRPr="00B35B6B">
        <w:rPr>
          <w:rtl/>
        </w:rPr>
        <w:t xml:space="preserve"> </w:t>
      </w:r>
      <w:r w:rsidRPr="00B35B6B">
        <w:rPr>
          <w:rFonts w:hint="eastAsia"/>
          <w:rtl/>
        </w:rPr>
        <w:t>אתגרים</w:t>
      </w:r>
      <w:r w:rsidRPr="00B35B6B">
        <w:rPr>
          <w:rtl/>
        </w:rPr>
        <w:t xml:space="preserve"> הן מבחינת </w:t>
      </w:r>
      <w:r w:rsidR="00040134" w:rsidRPr="00B35B6B">
        <w:rPr>
          <w:rFonts w:hint="eastAsia"/>
          <w:rtl/>
        </w:rPr>
        <w:t>ה</w:t>
      </w:r>
      <w:r w:rsidRPr="00B35B6B">
        <w:rPr>
          <w:rFonts w:hint="eastAsia"/>
          <w:rtl/>
        </w:rPr>
        <w:t>היקף</w:t>
      </w:r>
      <w:r w:rsidRPr="00B35B6B">
        <w:rPr>
          <w:rtl/>
        </w:rPr>
        <w:t xml:space="preserve"> </w:t>
      </w:r>
      <w:r w:rsidRPr="00B35B6B">
        <w:rPr>
          <w:rFonts w:hint="eastAsia"/>
          <w:rtl/>
        </w:rPr>
        <w:t>הכולל</w:t>
      </w:r>
      <w:r w:rsidRPr="00B35B6B">
        <w:rPr>
          <w:rtl/>
        </w:rPr>
        <w:t xml:space="preserve"> </w:t>
      </w:r>
      <w:r w:rsidRPr="00B35B6B">
        <w:rPr>
          <w:rFonts w:hint="eastAsia"/>
          <w:rtl/>
        </w:rPr>
        <w:t>של</w:t>
      </w:r>
      <w:r w:rsidRPr="00B35B6B">
        <w:rPr>
          <w:rtl/>
        </w:rPr>
        <w:t xml:space="preserve"> </w:t>
      </w:r>
      <w:r w:rsidRPr="00B35B6B">
        <w:rPr>
          <w:rFonts w:hint="eastAsia"/>
          <w:rtl/>
        </w:rPr>
        <w:t>השוק</w:t>
      </w:r>
      <w:r w:rsidRPr="00B35B6B">
        <w:rPr>
          <w:rtl/>
        </w:rPr>
        <w:t xml:space="preserve"> </w:t>
      </w:r>
      <w:r w:rsidRPr="00B35B6B">
        <w:rPr>
          <w:rFonts w:hint="eastAsia"/>
          <w:rtl/>
        </w:rPr>
        <w:t>והן</w:t>
      </w:r>
      <w:r w:rsidRPr="00B35B6B">
        <w:rPr>
          <w:rtl/>
        </w:rPr>
        <w:t xml:space="preserve"> </w:t>
      </w:r>
      <w:r w:rsidRPr="00B35B6B">
        <w:rPr>
          <w:rFonts w:hint="eastAsia"/>
          <w:rtl/>
        </w:rPr>
        <w:t>מבחינת</w:t>
      </w:r>
      <w:r w:rsidRPr="00B35B6B">
        <w:rPr>
          <w:rtl/>
        </w:rPr>
        <w:t xml:space="preserve"> </w:t>
      </w:r>
      <w:r w:rsidRPr="00B35B6B">
        <w:rPr>
          <w:rFonts w:hint="eastAsia"/>
          <w:rtl/>
        </w:rPr>
        <w:t>מגבלות</w:t>
      </w:r>
      <w:r w:rsidRPr="00B35B6B">
        <w:rPr>
          <w:rtl/>
        </w:rPr>
        <w:t xml:space="preserve"> </w:t>
      </w:r>
      <w:r w:rsidRPr="00B35B6B">
        <w:rPr>
          <w:rFonts w:hint="eastAsia"/>
          <w:rtl/>
        </w:rPr>
        <w:t>השקעה</w:t>
      </w:r>
      <w:r w:rsidRPr="00B35B6B">
        <w:rPr>
          <w:rtl/>
        </w:rPr>
        <w:t xml:space="preserve"> </w:t>
      </w:r>
      <w:r w:rsidRPr="00B35B6B">
        <w:rPr>
          <w:rFonts w:hint="eastAsia"/>
          <w:rtl/>
        </w:rPr>
        <w:t>שונות</w:t>
      </w:r>
      <w:r w:rsidR="000814E6" w:rsidRPr="00B35B6B">
        <w:rPr>
          <w:rtl/>
        </w:rPr>
        <w:t>,</w:t>
      </w:r>
      <w:r w:rsidRPr="00B35B6B">
        <w:rPr>
          <w:rtl/>
        </w:rPr>
        <w:t xml:space="preserve"> שמוטלות על </w:t>
      </w:r>
      <w:r w:rsidR="000814E6" w:rsidRPr="00B35B6B">
        <w:rPr>
          <w:rFonts w:hint="eastAsia"/>
          <w:rtl/>
        </w:rPr>
        <w:t>ה</w:t>
      </w:r>
      <w:r w:rsidRPr="00B35B6B">
        <w:rPr>
          <w:rFonts w:hint="eastAsia"/>
          <w:rtl/>
        </w:rPr>
        <w:t>גופים</w:t>
      </w:r>
      <w:r w:rsidRPr="00B35B6B">
        <w:rPr>
          <w:rtl/>
        </w:rPr>
        <w:t xml:space="preserve"> </w:t>
      </w:r>
      <w:r w:rsidR="000814E6" w:rsidRPr="00B35B6B">
        <w:rPr>
          <w:rFonts w:hint="eastAsia"/>
          <w:rtl/>
        </w:rPr>
        <w:t>ה</w:t>
      </w:r>
      <w:r w:rsidRPr="00B35B6B">
        <w:rPr>
          <w:rFonts w:hint="eastAsia"/>
          <w:rtl/>
        </w:rPr>
        <w:t>מוסדיים</w:t>
      </w:r>
      <w:r w:rsidRPr="00B35B6B">
        <w:rPr>
          <w:rFonts w:hint="cs"/>
          <w:rtl/>
        </w:rPr>
        <w:t xml:space="preserve"> (מגבלת שליטה, מגבלה </w:t>
      </w:r>
      <w:r w:rsidR="000814E6" w:rsidRPr="00B35B6B">
        <w:rPr>
          <w:rFonts w:hint="cs"/>
          <w:rtl/>
        </w:rPr>
        <w:t xml:space="preserve">על </w:t>
      </w:r>
      <w:r w:rsidRPr="00B35B6B">
        <w:rPr>
          <w:rFonts w:hint="cs"/>
          <w:rtl/>
        </w:rPr>
        <w:t>החזקה של סדרת אג"ח וכו').</w:t>
      </w:r>
    </w:p>
    <w:p w14:paraId="34640FA6" w14:textId="616A2B23" w:rsidR="009B263E" w:rsidRPr="00B35B6B" w:rsidRDefault="006804CC" w:rsidP="00C2547F">
      <w:pPr>
        <w:spacing w:line="360" w:lineRule="auto"/>
        <w:jc w:val="both"/>
        <w:rPr>
          <w:rtl/>
        </w:rPr>
      </w:pPr>
      <w:r w:rsidRPr="00B35B6B">
        <w:rPr>
          <w:rFonts w:hint="eastAsia"/>
          <w:rtl/>
        </w:rPr>
        <w:t>היבט</w:t>
      </w:r>
      <w:r w:rsidRPr="00B35B6B">
        <w:rPr>
          <w:rtl/>
        </w:rPr>
        <w:t xml:space="preserve"> נוסף </w:t>
      </w:r>
      <w:r w:rsidR="009B263E" w:rsidRPr="00B35B6B">
        <w:rPr>
          <w:rFonts w:hint="eastAsia"/>
          <w:rtl/>
        </w:rPr>
        <w:t>של</w:t>
      </w:r>
      <w:r w:rsidR="009B263E" w:rsidRPr="00B35B6B">
        <w:rPr>
          <w:rtl/>
        </w:rPr>
        <w:t xml:space="preserve"> </w:t>
      </w:r>
      <w:r w:rsidR="009B263E" w:rsidRPr="00B35B6B">
        <w:rPr>
          <w:rFonts w:hint="eastAsia"/>
          <w:rtl/>
        </w:rPr>
        <w:t>ביטול</w:t>
      </w:r>
      <w:r w:rsidR="009B263E" w:rsidRPr="00B35B6B">
        <w:rPr>
          <w:rtl/>
        </w:rPr>
        <w:t xml:space="preserve"> </w:t>
      </w:r>
      <w:r w:rsidR="008B42EE" w:rsidRPr="00B35B6B">
        <w:rPr>
          <w:rtl/>
        </w:rPr>
        <w:t xml:space="preserve"> </w:t>
      </w:r>
      <w:r w:rsidR="008B42EE" w:rsidRPr="00B35B6B">
        <w:rPr>
          <w:rFonts w:hint="eastAsia"/>
          <w:rtl/>
        </w:rPr>
        <w:t>האג</w:t>
      </w:r>
      <w:r w:rsidR="008B42EE" w:rsidRPr="00B35B6B">
        <w:rPr>
          <w:rtl/>
        </w:rPr>
        <w:t>"ח המיועדות</w:t>
      </w:r>
      <w:r w:rsidRPr="00B35B6B">
        <w:rPr>
          <w:rtl/>
        </w:rPr>
        <w:t xml:space="preserve"> הוא  </w:t>
      </w:r>
      <w:r w:rsidR="009B263E" w:rsidRPr="00B35B6B">
        <w:rPr>
          <w:rtl/>
        </w:rPr>
        <w:t xml:space="preserve">גיוס החוב הממשלתי של ישראל. </w:t>
      </w:r>
      <w:r w:rsidR="009B263E" w:rsidRPr="00B35B6B">
        <w:rPr>
          <w:rFonts w:hint="eastAsia"/>
          <w:rtl/>
        </w:rPr>
        <w:t>רכיב</w:t>
      </w:r>
      <w:r w:rsidR="009B263E" w:rsidRPr="00B35B6B">
        <w:rPr>
          <w:rtl/>
        </w:rPr>
        <w:t xml:space="preserve"> </w:t>
      </w:r>
      <w:r w:rsidR="00AF0614" w:rsidRPr="00B35B6B">
        <w:rPr>
          <w:rFonts w:hint="eastAsia"/>
          <w:rtl/>
        </w:rPr>
        <w:t>ה</w:t>
      </w:r>
      <w:r w:rsidR="009B263E" w:rsidRPr="00B35B6B">
        <w:rPr>
          <w:rFonts w:hint="eastAsia"/>
          <w:rtl/>
        </w:rPr>
        <w:t>אג</w:t>
      </w:r>
      <w:r w:rsidR="009B263E" w:rsidRPr="00B35B6B">
        <w:rPr>
          <w:rtl/>
        </w:rPr>
        <w:t xml:space="preserve">"ח </w:t>
      </w:r>
      <w:r w:rsidR="00AF0614" w:rsidRPr="00B35B6B">
        <w:rPr>
          <w:rFonts w:hint="eastAsia"/>
          <w:rtl/>
        </w:rPr>
        <w:t>ה</w:t>
      </w:r>
      <w:r w:rsidR="009B263E" w:rsidRPr="00B35B6B">
        <w:rPr>
          <w:rFonts w:hint="eastAsia"/>
          <w:rtl/>
        </w:rPr>
        <w:t>ממשלתיות</w:t>
      </w:r>
      <w:r w:rsidR="009B263E" w:rsidRPr="00B35B6B">
        <w:rPr>
          <w:rtl/>
        </w:rPr>
        <w:t xml:space="preserve"> </w:t>
      </w:r>
      <w:r w:rsidR="009B263E" w:rsidRPr="00B35B6B">
        <w:rPr>
          <w:rFonts w:hint="eastAsia"/>
          <w:rtl/>
        </w:rPr>
        <w:t>בתיק</w:t>
      </w:r>
      <w:r w:rsidR="009B263E" w:rsidRPr="00B35B6B">
        <w:rPr>
          <w:rtl/>
        </w:rPr>
        <w:t xml:space="preserve"> </w:t>
      </w:r>
      <w:r w:rsidR="009B263E" w:rsidRPr="00B35B6B">
        <w:rPr>
          <w:rFonts w:hint="eastAsia"/>
          <w:rtl/>
        </w:rPr>
        <w:t>צפוי</w:t>
      </w:r>
      <w:r w:rsidR="009B263E" w:rsidRPr="00B35B6B">
        <w:rPr>
          <w:rtl/>
        </w:rPr>
        <w:t xml:space="preserve"> </w:t>
      </w:r>
      <w:r w:rsidR="009B263E" w:rsidRPr="00B35B6B">
        <w:rPr>
          <w:rFonts w:hint="eastAsia"/>
          <w:rtl/>
        </w:rPr>
        <w:t>לקטון</w:t>
      </w:r>
      <w:r w:rsidR="00AF0614" w:rsidRPr="00B35B6B">
        <w:rPr>
          <w:rtl/>
        </w:rPr>
        <w:t>,</w:t>
      </w:r>
      <w:r w:rsidR="009B263E" w:rsidRPr="00B35B6B">
        <w:rPr>
          <w:rtl/>
        </w:rPr>
        <w:t xml:space="preserve"> מה שיקטין את </w:t>
      </w:r>
      <w:r w:rsidR="00AF0614" w:rsidRPr="00B35B6B">
        <w:rPr>
          <w:rFonts w:hint="eastAsia"/>
          <w:rtl/>
        </w:rPr>
        <w:t>ה</w:t>
      </w:r>
      <w:r w:rsidR="009B263E" w:rsidRPr="00B35B6B">
        <w:rPr>
          <w:rFonts w:hint="eastAsia"/>
          <w:rtl/>
        </w:rPr>
        <w:t>ביקוש</w:t>
      </w:r>
      <w:r w:rsidR="009B263E" w:rsidRPr="00B35B6B">
        <w:rPr>
          <w:rtl/>
        </w:rPr>
        <w:t xml:space="preserve"> לאג"ח </w:t>
      </w:r>
      <w:r w:rsidR="00AF0614" w:rsidRPr="00B35B6B">
        <w:rPr>
          <w:rFonts w:hint="eastAsia"/>
          <w:rtl/>
        </w:rPr>
        <w:t>אלה</w:t>
      </w:r>
      <w:r w:rsidR="00040134" w:rsidRPr="00B35B6B">
        <w:rPr>
          <w:rtl/>
        </w:rPr>
        <w:t>.</w:t>
      </w:r>
    </w:p>
    <w:p w14:paraId="7DB91563" w14:textId="6E6AB750" w:rsidR="009B263E" w:rsidRPr="00B35B6B" w:rsidRDefault="009B263E" w:rsidP="00C2547F">
      <w:pPr>
        <w:spacing w:line="360" w:lineRule="auto"/>
        <w:jc w:val="both"/>
        <w:rPr>
          <w:rtl/>
        </w:rPr>
      </w:pPr>
      <w:r w:rsidRPr="00B35B6B">
        <w:rPr>
          <w:rFonts w:hint="cs"/>
          <w:rtl/>
        </w:rPr>
        <w:t xml:space="preserve">גם </w:t>
      </w:r>
      <w:r w:rsidR="00AF0614" w:rsidRPr="00B35B6B">
        <w:rPr>
          <w:rFonts w:hint="cs"/>
          <w:rtl/>
        </w:rPr>
        <w:t xml:space="preserve">לפי תרחישי </w:t>
      </w:r>
      <w:r w:rsidRPr="00B35B6B">
        <w:rPr>
          <w:rFonts w:hint="cs"/>
          <w:rtl/>
        </w:rPr>
        <w:t>הרגישות (</w:t>
      </w:r>
      <w:r w:rsidR="00AF0614" w:rsidRPr="00B35B6B">
        <w:rPr>
          <w:rFonts w:hint="cs"/>
          <w:rtl/>
        </w:rPr>
        <w:t>ה</w:t>
      </w:r>
      <w:r w:rsidRPr="00B35B6B">
        <w:rPr>
          <w:rFonts w:hint="cs"/>
          <w:rtl/>
        </w:rPr>
        <w:t xml:space="preserve">הקצאה לפי תמהיל הנכסים של קרנות הפנסיה </w:t>
      </w:r>
      <w:r w:rsidR="00AF0614" w:rsidRPr="00B35B6B">
        <w:rPr>
          <w:rFonts w:hint="cs"/>
          <w:rtl/>
        </w:rPr>
        <w:t>ה</w:t>
      </w:r>
      <w:r w:rsidRPr="00B35B6B">
        <w:rPr>
          <w:rFonts w:hint="cs"/>
          <w:rtl/>
        </w:rPr>
        <w:t>כלליות ולפי תמהיל הנכסים של קופות הגמל) צפויה עלי</w:t>
      </w:r>
      <w:r w:rsidR="00AF0614" w:rsidRPr="00B35B6B">
        <w:rPr>
          <w:rFonts w:hint="cs"/>
          <w:rtl/>
        </w:rPr>
        <w:t>י</w:t>
      </w:r>
      <w:r w:rsidRPr="00B35B6B">
        <w:rPr>
          <w:rFonts w:hint="cs"/>
          <w:rtl/>
        </w:rPr>
        <w:t xml:space="preserve">ה </w:t>
      </w:r>
      <w:r w:rsidR="00AF0614" w:rsidRPr="00B35B6B">
        <w:rPr>
          <w:rFonts w:hint="cs"/>
          <w:rtl/>
        </w:rPr>
        <w:t xml:space="preserve">של שיעור </w:t>
      </w:r>
      <w:r w:rsidRPr="00B35B6B">
        <w:rPr>
          <w:rFonts w:hint="cs"/>
          <w:rtl/>
        </w:rPr>
        <w:t>הנכסים הזרים בתיק (</w:t>
      </w:r>
      <w:r w:rsidR="00AF0614" w:rsidRPr="00B35B6B">
        <w:rPr>
          <w:rFonts w:hint="cs"/>
          <w:rtl/>
        </w:rPr>
        <w:t>אמנם</w:t>
      </w:r>
      <w:r w:rsidRPr="00B35B6B">
        <w:rPr>
          <w:rFonts w:hint="cs"/>
          <w:rtl/>
        </w:rPr>
        <w:t xml:space="preserve"> בשיעור נמוך </w:t>
      </w:r>
      <w:r w:rsidR="00AF0614" w:rsidRPr="00B35B6B">
        <w:rPr>
          <w:rFonts w:hint="cs"/>
          <w:rtl/>
        </w:rPr>
        <w:t>מאשר</w:t>
      </w:r>
      <w:r w:rsidRPr="00B35B6B">
        <w:rPr>
          <w:rFonts w:hint="cs"/>
          <w:rtl/>
        </w:rPr>
        <w:t xml:space="preserve"> </w:t>
      </w:r>
      <w:r w:rsidR="00AF0614" w:rsidRPr="00B35B6B">
        <w:rPr>
          <w:rFonts w:hint="cs"/>
          <w:rtl/>
        </w:rPr>
        <w:t xml:space="preserve">בתרחיש </w:t>
      </w:r>
      <w:r w:rsidRPr="00B35B6B">
        <w:rPr>
          <w:rFonts w:hint="cs"/>
          <w:rtl/>
        </w:rPr>
        <w:t>הראשון)</w:t>
      </w:r>
      <w:r w:rsidR="00040134" w:rsidRPr="00B35B6B">
        <w:rPr>
          <w:rFonts w:hint="cs"/>
          <w:rtl/>
        </w:rPr>
        <w:t>,</w:t>
      </w:r>
      <w:r w:rsidRPr="00B35B6B">
        <w:rPr>
          <w:rFonts w:hint="cs"/>
          <w:rtl/>
        </w:rPr>
        <w:t xml:space="preserve"> אך במקביל צפויה גם עלי</w:t>
      </w:r>
      <w:r w:rsidR="00AF0614" w:rsidRPr="00B35B6B">
        <w:rPr>
          <w:rFonts w:hint="cs"/>
          <w:rtl/>
        </w:rPr>
        <w:t>י</w:t>
      </w:r>
      <w:r w:rsidRPr="00B35B6B">
        <w:rPr>
          <w:rFonts w:hint="cs"/>
          <w:rtl/>
        </w:rPr>
        <w:t xml:space="preserve">ה באפיק </w:t>
      </w:r>
      <w:r w:rsidR="00AF0614" w:rsidRPr="00B35B6B">
        <w:rPr>
          <w:rFonts w:hint="cs"/>
          <w:rtl/>
        </w:rPr>
        <w:t>ה</w:t>
      </w:r>
      <w:r w:rsidRPr="00B35B6B">
        <w:rPr>
          <w:rFonts w:hint="cs"/>
          <w:rtl/>
        </w:rPr>
        <w:t xml:space="preserve">אג"ח </w:t>
      </w:r>
      <w:r w:rsidR="00AF0614" w:rsidRPr="00B35B6B">
        <w:rPr>
          <w:rFonts w:hint="cs"/>
          <w:rtl/>
        </w:rPr>
        <w:t>ה</w:t>
      </w:r>
      <w:r w:rsidRPr="00B35B6B">
        <w:rPr>
          <w:rFonts w:hint="cs"/>
          <w:rtl/>
        </w:rPr>
        <w:t>ממשלתיות. במקרה זה</w:t>
      </w:r>
      <w:r w:rsidR="00AF0614" w:rsidRPr="00B35B6B">
        <w:rPr>
          <w:rFonts w:hint="cs"/>
          <w:rtl/>
        </w:rPr>
        <w:t>,</w:t>
      </w:r>
      <w:r w:rsidRPr="00B35B6B">
        <w:rPr>
          <w:rFonts w:hint="cs"/>
          <w:rtl/>
        </w:rPr>
        <w:t xml:space="preserve"> לצד גידול </w:t>
      </w:r>
      <w:r w:rsidR="00AF0614" w:rsidRPr="00B35B6B">
        <w:rPr>
          <w:rFonts w:hint="cs"/>
          <w:rtl/>
        </w:rPr>
        <w:t xml:space="preserve">החשיפה </w:t>
      </w:r>
      <w:r w:rsidRPr="00B35B6B">
        <w:rPr>
          <w:rFonts w:hint="cs"/>
          <w:rtl/>
        </w:rPr>
        <w:t xml:space="preserve">לנכסים זרים (וגידול אפשרי </w:t>
      </w:r>
      <w:r w:rsidR="00AF0614" w:rsidRPr="00B35B6B">
        <w:rPr>
          <w:rFonts w:hint="cs"/>
          <w:rtl/>
        </w:rPr>
        <w:t xml:space="preserve">של החשיפה </w:t>
      </w:r>
      <w:proofErr w:type="spellStart"/>
      <w:r w:rsidR="00AF0614" w:rsidRPr="00B35B6B">
        <w:rPr>
          <w:rFonts w:hint="cs"/>
          <w:rtl/>
        </w:rPr>
        <w:t>ה</w:t>
      </w:r>
      <w:r w:rsidRPr="00B35B6B">
        <w:rPr>
          <w:rFonts w:hint="cs"/>
          <w:rtl/>
        </w:rPr>
        <w:t>מטבעית</w:t>
      </w:r>
      <w:proofErr w:type="spellEnd"/>
      <w:r w:rsidRPr="00B35B6B">
        <w:rPr>
          <w:rFonts w:hint="cs"/>
          <w:rtl/>
        </w:rPr>
        <w:t>) רואים גם השפעה ממתנת הן על סיכון התיק</w:t>
      </w:r>
      <w:r w:rsidR="00373C5B" w:rsidRPr="00B35B6B">
        <w:rPr>
          <w:rFonts w:hint="cs"/>
          <w:rtl/>
        </w:rPr>
        <w:t>,</w:t>
      </w:r>
      <w:r w:rsidRPr="00B35B6B">
        <w:rPr>
          <w:rFonts w:hint="cs"/>
          <w:rtl/>
        </w:rPr>
        <w:t xml:space="preserve"> כתוצאה מגידול</w:t>
      </w:r>
      <w:r w:rsidR="00AF0614" w:rsidRPr="00B35B6B">
        <w:rPr>
          <w:rFonts w:hint="cs"/>
          <w:rtl/>
        </w:rPr>
        <w:t>ו</w:t>
      </w:r>
      <w:r w:rsidRPr="00B35B6B">
        <w:rPr>
          <w:rFonts w:hint="cs"/>
          <w:rtl/>
        </w:rPr>
        <w:t xml:space="preserve"> </w:t>
      </w:r>
      <w:r w:rsidR="00373C5B" w:rsidRPr="00B35B6B">
        <w:rPr>
          <w:rFonts w:hint="cs"/>
          <w:rtl/>
        </w:rPr>
        <w:t>של  רכיב ה</w:t>
      </w:r>
      <w:r w:rsidRPr="00B35B6B">
        <w:rPr>
          <w:rFonts w:hint="cs"/>
          <w:rtl/>
        </w:rPr>
        <w:t xml:space="preserve">אג"ח </w:t>
      </w:r>
      <w:r w:rsidR="00373C5B" w:rsidRPr="00B35B6B">
        <w:rPr>
          <w:rFonts w:hint="cs"/>
          <w:rtl/>
        </w:rPr>
        <w:t>ה</w:t>
      </w:r>
      <w:r w:rsidRPr="00B35B6B">
        <w:rPr>
          <w:rFonts w:hint="cs"/>
          <w:rtl/>
        </w:rPr>
        <w:t>ממשלתיות</w:t>
      </w:r>
      <w:r w:rsidR="00AF0614" w:rsidRPr="00B35B6B">
        <w:rPr>
          <w:rFonts w:hint="cs"/>
          <w:rtl/>
        </w:rPr>
        <w:t>,</w:t>
      </w:r>
      <w:r w:rsidRPr="00B35B6B">
        <w:rPr>
          <w:rFonts w:hint="cs"/>
          <w:rtl/>
        </w:rPr>
        <w:t xml:space="preserve"> ו</w:t>
      </w:r>
      <w:r w:rsidR="00AF0614" w:rsidRPr="00B35B6B">
        <w:rPr>
          <w:rFonts w:hint="cs"/>
          <w:rtl/>
        </w:rPr>
        <w:t xml:space="preserve">הן </w:t>
      </w:r>
      <w:r w:rsidRPr="00B35B6B">
        <w:rPr>
          <w:rFonts w:hint="cs"/>
          <w:rtl/>
        </w:rPr>
        <w:t xml:space="preserve">על </w:t>
      </w:r>
      <w:r w:rsidR="00373C5B" w:rsidRPr="00B35B6B">
        <w:rPr>
          <w:rFonts w:hint="cs"/>
          <w:rtl/>
        </w:rPr>
        <w:t xml:space="preserve">הביקוש </w:t>
      </w:r>
      <w:r w:rsidRPr="00B35B6B">
        <w:rPr>
          <w:rFonts w:hint="cs"/>
          <w:rtl/>
        </w:rPr>
        <w:t xml:space="preserve">לאג"ח ממשלתיות. </w:t>
      </w:r>
    </w:p>
    <w:p w14:paraId="40767F1C" w14:textId="77777777" w:rsidR="009B263E" w:rsidRPr="00B35B6B" w:rsidRDefault="009B263E" w:rsidP="009B263E">
      <w:pPr>
        <w:bidi w:val="0"/>
        <w:rPr>
          <w:rtl/>
        </w:rPr>
      </w:pPr>
      <w:r w:rsidRPr="00B35B6B">
        <w:rPr>
          <w:rtl/>
        </w:rPr>
        <w:br w:type="page"/>
      </w:r>
    </w:p>
    <w:p w14:paraId="1CF730A9" w14:textId="10FD1B87" w:rsidR="009B263E" w:rsidRPr="00C2547F" w:rsidRDefault="00C2547F" w:rsidP="00C2547F">
      <w:pPr>
        <w:pStyle w:val="ae"/>
        <w:spacing w:line="360" w:lineRule="auto"/>
        <w:jc w:val="center"/>
        <w:rPr>
          <w:i w:val="0"/>
          <w:iCs w:val="0"/>
          <w:noProof/>
          <w:color w:val="auto"/>
          <w:sz w:val="20"/>
          <w:szCs w:val="20"/>
          <w:rtl/>
        </w:rPr>
      </w:pPr>
      <w:r>
        <w:rPr>
          <w:noProof/>
        </w:rPr>
        <w:lastRenderedPageBreak/>
        <w:drawing>
          <wp:anchor distT="0" distB="0" distL="114300" distR="114300" simplePos="0" relativeHeight="251660288" behindDoc="0" locked="0" layoutInCell="1" allowOverlap="1" wp14:anchorId="36BC68DF" wp14:editId="38F1A824">
            <wp:simplePos x="0" y="0"/>
            <wp:positionH relativeFrom="margin">
              <wp:align>center</wp:align>
            </wp:positionH>
            <wp:positionV relativeFrom="paragraph">
              <wp:posOffset>245938</wp:posOffset>
            </wp:positionV>
            <wp:extent cx="6501384" cy="3081528"/>
            <wp:effectExtent l="0" t="0" r="0" b="5080"/>
            <wp:wrapNone/>
            <wp:docPr id="2" name="Picture 2" descr="תרחישים להקצאה של &quot;מלאי להבטחת תשואה&quot; לפי קופות כלליות וגמל" title="תרחישים להקצאה של &quot;מלאי להבטחת תשואה&quot; לפי קופות כלליות וג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1384" cy="3081528"/>
                    </a:xfrm>
                    <a:prstGeom prst="rect">
                      <a:avLst/>
                    </a:prstGeom>
                    <a:noFill/>
                  </pic:spPr>
                </pic:pic>
              </a:graphicData>
            </a:graphic>
            <wp14:sizeRelH relativeFrom="page">
              <wp14:pctWidth>0</wp14:pctWidth>
            </wp14:sizeRelH>
            <wp14:sizeRelV relativeFrom="page">
              <wp14:pctHeight>0</wp14:pctHeight>
            </wp14:sizeRelV>
          </wp:anchor>
        </w:drawing>
      </w:r>
      <w:r w:rsidR="009B263E" w:rsidRPr="00C2547F">
        <w:rPr>
          <w:i w:val="0"/>
          <w:iCs w:val="0"/>
          <w:noProof/>
          <w:color w:val="auto"/>
          <w:sz w:val="20"/>
          <w:szCs w:val="20"/>
          <w:rtl/>
        </w:rPr>
        <w:t xml:space="preserve">איור </w:t>
      </w:r>
      <w:r w:rsidR="009B263E" w:rsidRPr="00C2547F">
        <w:rPr>
          <w:i w:val="0"/>
          <w:iCs w:val="0"/>
          <w:noProof/>
          <w:color w:val="auto"/>
          <w:sz w:val="20"/>
          <w:szCs w:val="20"/>
          <w:rtl/>
        </w:rPr>
        <w:fldChar w:fldCharType="begin"/>
      </w:r>
      <w:r w:rsidR="009B263E" w:rsidRPr="00C2547F">
        <w:rPr>
          <w:i w:val="0"/>
          <w:iCs w:val="0"/>
          <w:noProof/>
          <w:color w:val="auto"/>
          <w:sz w:val="20"/>
          <w:szCs w:val="20"/>
          <w:rtl/>
        </w:rPr>
        <w:instrText xml:space="preserve"> </w:instrText>
      </w:r>
      <w:r w:rsidR="009B263E" w:rsidRPr="00C2547F">
        <w:rPr>
          <w:i w:val="0"/>
          <w:iCs w:val="0"/>
          <w:noProof/>
          <w:color w:val="auto"/>
          <w:sz w:val="20"/>
          <w:szCs w:val="20"/>
        </w:rPr>
        <w:instrText>SEQ</w:instrText>
      </w:r>
      <w:r w:rsidR="009B263E" w:rsidRPr="00C2547F">
        <w:rPr>
          <w:i w:val="0"/>
          <w:iCs w:val="0"/>
          <w:noProof/>
          <w:color w:val="auto"/>
          <w:sz w:val="20"/>
          <w:szCs w:val="20"/>
          <w:rtl/>
        </w:rPr>
        <w:instrText xml:space="preserve"> איור \* </w:instrText>
      </w:r>
      <w:r w:rsidR="009B263E" w:rsidRPr="00C2547F">
        <w:rPr>
          <w:i w:val="0"/>
          <w:iCs w:val="0"/>
          <w:noProof/>
          <w:color w:val="auto"/>
          <w:sz w:val="20"/>
          <w:szCs w:val="20"/>
        </w:rPr>
        <w:instrText>ARABIC</w:instrText>
      </w:r>
      <w:r w:rsidR="009B263E" w:rsidRPr="00C2547F">
        <w:rPr>
          <w:i w:val="0"/>
          <w:iCs w:val="0"/>
          <w:noProof/>
          <w:color w:val="auto"/>
          <w:sz w:val="20"/>
          <w:szCs w:val="20"/>
          <w:rtl/>
        </w:rPr>
        <w:instrText xml:space="preserve"> </w:instrText>
      </w:r>
      <w:r w:rsidR="009B263E" w:rsidRPr="00C2547F">
        <w:rPr>
          <w:i w:val="0"/>
          <w:iCs w:val="0"/>
          <w:noProof/>
          <w:color w:val="auto"/>
          <w:sz w:val="20"/>
          <w:szCs w:val="20"/>
          <w:rtl/>
        </w:rPr>
        <w:fldChar w:fldCharType="separate"/>
      </w:r>
      <w:r w:rsidR="009B263E" w:rsidRPr="00C2547F">
        <w:rPr>
          <w:i w:val="0"/>
          <w:iCs w:val="0"/>
          <w:noProof/>
          <w:color w:val="auto"/>
          <w:sz w:val="20"/>
          <w:szCs w:val="20"/>
          <w:rtl/>
        </w:rPr>
        <w:t>5</w:t>
      </w:r>
      <w:r w:rsidR="009B263E" w:rsidRPr="00C2547F">
        <w:rPr>
          <w:i w:val="0"/>
          <w:iCs w:val="0"/>
          <w:noProof/>
          <w:color w:val="auto"/>
          <w:sz w:val="20"/>
          <w:szCs w:val="20"/>
          <w:rtl/>
        </w:rPr>
        <w:fldChar w:fldCharType="end"/>
      </w:r>
      <w:r w:rsidR="009B263E" w:rsidRPr="00C2547F">
        <w:rPr>
          <w:rFonts w:hint="cs"/>
          <w:i w:val="0"/>
          <w:iCs w:val="0"/>
          <w:noProof/>
          <w:color w:val="auto"/>
          <w:sz w:val="20"/>
          <w:szCs w:val="20"/>
          <w:rtl/>
        </w:rPr>
        <w:t>: תרחישים להקצאה של "מלאי להבטחת תשואה" לפי קופות כלליות וגמל</w:t>
      </w:r>
    </w:p>
    <w:p w14:paraId="521294EA" w14:textId="25DC56DD" w:rsidR="009B263E" w:rsidRPr="00B35B6B" w:rsidRDefault="009B263E" w:rsidP="00C2547F">
      <w:pPr>
        <w:spacing w:line="360" w:lineRule="auto"/>
        <w:jc w:val="center"/>
      </w:pPr>
    </w:p>
    <w:p w14:paraId="5BBB898A" w14:textId="55DA6FD1" w:rsidR="0006486E" w:rsidRPr="00E16729" w:rsidRDefault="009B263E" w:rsidP="00C2547F">
      <w:pPr>
        <w:spacing w:line="360" w:lineRule="auto"/>
        <w:jc w:val="both"/>
        <w:rPr>
          <w:rtl/>
        </w:rPr>
      </w:pPr>
      <w:r w:rsidRPr="00B35B6B">
        <w:rPr>
          <w:rFonts w:hint="cs"/>
          <w:rtl/>
        </w:rPr>
        <w:t xml:space="preserve">המסקנה העולה מניתוח התרחישים היא שרכיב הנכסים הזרים בתיק של קרנות הפנסיה החדשות צפוי להישאר </w:t>
      </w:r>
      <w:r w:rsidR="003B5B83" w:rsidRPr="00B35B6B">
        <w:rPr>
          <w:rFonts w:hint="cs"/>
          <w:rtl/>
        </w:rPr>
        <w:t>גדול</w:t>
      </w:r>
      <w:r w:rsidRPr="00B35B6B">
        <w:rPr>
          <w:rFonts w:hint="cs"/>
          <w:rtl/>
        </w:rPr>
        <w:t xml:space="preserve"> ולהמשיך לגדול. גידול החשיפה לנכסים זרים מציב אתגרים מסוימים </w:t>
      </w:r>
      <w:r w:rsidR="00CF4CEA" w:rsidRPr="00B35B6B">
        <w:rPr>
          <w:rFonts w:hint="cs"/>
          <w:rtl/>
        </w:rPr>
        <w:t xml:space="preserve">הן </w:t>
      </w:r>
      <w:r w:rsidR="00373C5B" w:rsidRPr="00B35B6B">
        <w:rPr>
          <w:rFonts w:hint="cs"/>
          <w:rtl/>
        </w:rPr>
        <w:t xml:space="preserve">לגופים </w:t>
      </w:r>
      <w:r w:rsidR="00CF4CEA" w:rsidRPr="00B35B6B">
        <w:rPr>
          <w:rFonts w:hint="cs"/>
          <w:rtl/>
        </w:rPr>
        <w:t>המוסדיים</w:t>
      </w:r>
      <w:r w:rsidR="00AF0614" w:rsidRPr="00B35B6B">
        <w:rPr>
          <w:rFonts w:hint="cs"/>
          <w:rtl/>
        </w:rPr>
        <w:t>,</w:t>
      </w:r>
      <w:r w:rsidR="00CF4CEA" w:rsidRPr="00B35B6B">
        <w:rPr>
          <w:rFonts w:hint="cs"/>
          <w:rtl/>
        </w:rPr>
        <w:t xml:space="preserve"> </w:t>
      </w:r>
      <w:r w:rsidR="00373C5B" w:rsidRPr="00B35B6B">
        <w:rPr>
          <w:rFonts w:hint="cs"/>
          <w:rtl/>
        </w:rPr>
        <w:t xml:space="preserve">מההיבט </w:t>
      </w:r>
      <w:r w:rsidRPr="00B35B6B">
        <w:rPr>
          <w:rFonts w:hint="cs"/>
          <w:rtl/>
        </w:rPr>
        <w:t xml:space="preserve">של בחירת מכשירי </w:t>
      </w:r>
      <w:r w:rsidR="00373C5B" w:rsidRPr="00B35B6B">
        <w:rPr>
          <w:rFonts w:hint="cs"/>
          <w:rtl/>
        </w:rPr>
        <w:t>ה</w:t>
      </w:r>
      <w:r w:rsidRPr="00B35B6B">
        <w:rPr>
          <w:rFonts w:hint="cs"/>
          <w:rtl/>
        </w:rPr>
        <w:t xml:space="preserve">השקעה וגידור </w:t>
      </w:r>
      <w:r w:rsidR="00373C5B" w:rsidRPr="00B35B6B">
        <w:rPr>
          <w:rFonts w:hint="cs"/>
          <w:rtl/>
        </w:rPr>
        <w:t>ה</w:t>
      </w:r>
      <w:r w:rsidRPr="00B35B6B">
        <w:rPr>
          <w:rFonts w:hint="cs"/>
          <w:rtl/>
        </w:rPr>
        <w:t xml:space="preserve">חשיפה </w:t>
      </w:r>
      <w:proofErr w:type="spellStart"/>
      <w:r w:rsidR="00373C5B" w:rsidRPr="00B35B6B">
        <w:rPr>
          <w:rFonts w:hint="cs"/>
          <w:rtl/>
        </w:rPr>
        <w:t>ה</w:t>
      </w:r>
      <w:r w:rsidRPr="00B35B6B">
        <w:rPr>
          <w:rFonts w:hint="cs"/>
          <w:rtl/>
        </w:rPr>
        <w:t>מטבעית</w:t>
      </w:r>
      <w:proofErr w:type="spellEnd"/>
      <w:r w:rsidR="00373C5B" w:rsidRPr="00B35B6B">
        <w:rPr>
          <w:rFonts w:hint="cs"/>
          <w:rtl/>
        </w:rPr>
        <w:t>,</w:t>
      </w:r>
      <w:r w:rsidRPr="00B35B6B">
        <w:rPr>
          <w:rFonts w:hint="cs"/>
          <w:rtl/>
        </w:rPr>
        <w:t xml:space="preserve"> והן </w:t>
      </w:r>
      <w:r w:rsidR="00373C5B" w:rsidRPr="00B35B6B">
        <w:rPr>
          <w:rFonts w:hint="eastAsia"/>
          <w:rtl/>
        </w:rPr>
        <w:t>מהיבט</w:t>
      </w:r>
      <w:r w:rsidR="00373C5B" w:rsidRPr="00B35B6B">
        <w:rPr>
          <w:rtl/>
        </w:rPr>
        <w:t xml:space="preserve"> </w:t>
      </w:r>
      <w:r w:rsidR="00CF4CEA" w:rsidRPr="00B35B6B">
        <w:rPr>
          <w:rFonts w:hint="eastAsia"/>
          <w:rtl/>
        </w:rPr>
        <w:t>ה</w:t>
      </w:r>
      <w:r w:rsidRPr="00B35B6B">
        <w:rPr>
          <w:rFonts w:hint="eastAsia"/>
          <w:rtl/>
        </w:rPr>
        <w:t>השפעה</w:t>
      </w:r>
      <w:r w:rsidRPr="00B35B6B">
        <w:rPr>
          <w:rtl/>
        </w:rPr>
        <w:t xml:space="preserve"> </w:t>
      </w:r>
      <w:r w:rsidRPr="00B35B6B">
        <w:rPr>
          <w:rFonts w:hint="eastAsia"/>
          <w:rtl/>
        </w:rPr>
        <w:t>על</w:t>
      </w:r>
      <w:r w:rsidRPr="00B35B6B">
        <w:rPr>
          <w:rtl/>
        </w:rPr>
        <w:t xml:space="preserve"> </w:t>
      </w:r>
      <w:r w:rsidRPr="00B35B6B">
        <w:rPr>
          <w:rFonts w:hint="eastAsia"/>
          <w:rtl/>
        </w:rPr>
        <w:t>שער</w:t>
      </w:r>
      <w:r w:rsidRPr="00B35B6B">
        <w:rPr>
          <w:rtl/>
        </w:rPr>
        <w:t xml:space="preserve"> </w:t>
      </w:r>
      <w:r w:rsidRPr="00B35B6B">
        <w:rPr>
          <w:rFonts w:hint="eastAsia"/>
          <w:rtl/>
        </w:rPr>
        <w:t>החליפין</w:t>
      </w:r>
      <w:r w:rsidRPr="00B35B6B">
        <w:rPr>
          <w:rtl/>
        </w:rPr>
        <w:t>.</w:t>
      </w:r>
      <w:r>
        <w:rPr>
          <w:rFonts w:hint="cs"/>
          <w:rtl/>
        </w:rPr>
        <w:t xml:space="preserve">  </w:t>
      </w:r>
      <w:bookmarkEnd w:id="0"/>
    </w:p>
    <w:p w14:paraId="6B19DBF7" w14:textId="77777777" w:rsidR="00F432F6" w:rsidRPr="000C66AC" w:rsidRDefault="00F432F6" w:rsidP="002E4287">
      <w:pPr>
        <w:spacing w:line="360" w:lineRule="auto"/>
        <w:rPr>
          <w:rtl/>
        </w:rPr>
      </w:pPr>
    </w:p>
    <w:sectPr w:rsidR="00F432F6" w:rsidRPr="000C66AC" w:rsidSect="003C7B94">
      <w:footerReference w:type="default" r:id="rId1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D6EE" w14:textId="77777777" w:rsidR="00A949FA" w:rsidRDefault="00A949FA" w:rsidP="005303E7">
      <w:pPr>
        <w:spacing w:after="0" w:line="240" w:lineRule="auto"/>
      </w:pPr>
      <w:r>
        <w:separator/>
      </w:r>
    </w:p>
  </w:endnote>
  <w:endnote w:type="continuationSeparator" w:id="0">
    <w:p w14:paraId="534D23D0" w14:textId="77777777" w:rsidR="00A949FA" w:rsidRDefault="00A949FA" w:rsidP="0053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70238177"/>
      <w:docPartObj>
        <w:docPartGallery w:val="Page Numbers (Bottom of Page)"/>
        <w:docPartUnique/>
      </w:docPartObj>
    </w:sdtPr>
    <w:sdtEndPr>
      <w:rPr>
        <w:noProof/>
      </w:rPr>
    </w:sdtEndPr>
    <w:sdtContent>
      <w:p w14:paraId="6C78E5EA" w14:textId="2B3DBA6F" w:rsidR="008E36F8" w:rsidRDefault="008E36F8">
        <w:pPr>
          <w:pStyle w:val="af5"/>
          <w:jc w:val="center"/>
        </w:pPr>
        <w:r>
          <w:fldChar w:fldCharType="begin"/>
        </w:r>
        <w:r>
          <w:instrText xml:space="preserve"> PAGE   \* MERGEFORMAT </w:instrText>
        </w:r>
        <w:r>
          <w:fldChar w:fldCharType="separate"/>
        </w:r>
        <w:r w:rsidR="00512D2F">
          <w:rPr>
            <w:noProof/>
            <w:rtl/>
          </w:rPr>
          <w:t>2</w:t>
        </w:r>
        <w:r>
          <w:rPr>
            <w:noProof/>
          </w:rPr>
          <w:fldChar w:fldCharType="end"/>
        </w:r>
      </w:p>
    </w:sdtContent>
  </w:sdt>
  <w:p w14:paraId="75192210" w14:textId="77777777" w:rsidR="008E36F8" w:rsidRDefault="008E36F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BA104" w14:textId="77777777" w:rsidR="00A949FA" w:rsidRDefault="00A949FA" w:rsidP="005303E7">
      <w:pPr>
        <w:spacing w:after="0" w:line="240" w:lineRule="auto"/>
      </w:pPr>
      <w:r>
        <w:separator/>
      </w:r>
    </w:p>
  </w:footnote>
  <w:footnote w:type="continuationSeparator" w:id="0">
    <w:p w14:paraId="551B4952" w14:textId="77777777" w:rsidR="00A949FA" w:rsidRDefault="00A949FA" w:rsidP="005303E7">
      <w:pPr>
        <w:spacing w:after="0" w:line="240" w:lineRule="auto"/>
      </w:pPr>
      <w:r>
        <w:continuationSeparator/>
      </w:r>
    </w:p>
  </w:footnote>
  <w:footnote w:id="1">
    <w:p w14:paraId="12800372" w14:textId="39ACB938" w:rsidR="009B263E" w:rsidRDefault="009B263E" w:rsidP="00C2547F">
      <w:pPr>
        <w:pStyle w:val="ab"/>
        <w:spacing w:line="276" w:lineRule="auto"/>
        <w:jc w:val="both"/>
      </w:pPr>
      <w:r>
        <w:rPr>
          <w:rStyle w:val="ad"/>
        </w:rPr>
        <w:footnoteRef/>
      </w:r>
      <w:r>
        <w:rPr>
          <w:rtl/>
        </w:rPr>
        <w:t xml:space="preserve"> </w:t>
      </w:r>
      <w:r>
        <w:rPr>
          <w:rFonts w:hint="cs"/>
          <w:rtl/>
        </w:rPr>
        <w:t xml:space="preserve">קרנות הפנסיה החדשות גם מתחלקות לקרנות כלליות וקרנות מקיפות. קרנות הפנסיה המקיפות </w:t>
      </w:r>
      <w:r w:rsidR="009B19AF">
        <w:rPr>
          <w:rFonts w:hint="cs"/>
          <w:rtl/>
        </w:rPr>
        <w:t>רשאיות</w:t>
      </w:r>
      <w:r>
        <w:rPr>
          <w:rFonts w:hint="cs"/>
          <w:rtl/>
        </w:rPr>
        <w:t xml:space="preserve"> להשקיע  באג"ח מיועדות</w:t>
      </w:r>
      <w:r w:rsidR="009B19AF">
        <w:rPr>
          <w:rFonts w:hint="cs"/>
          <w:rtl/>
        </w:rPr>
        <w:t>,</w:t>
      </w:r>
      <w:r>
        <w:rPr>
          <w:rFonts w:hint="cs"/>
          <w:rtl/>
        </w:rPr>
        <w:t xml:space="preserve"> ולכן ההפקדה </w:t>
      </w:r>
      <w:r w:rsidR="009B19AF">
        <w:rPr>
          <w:rFonts w:hint="cs"/>
          <w:rtl/>
        </w:rPr>
        <w:t>בהן</w:t>
      </w:r>
      <w:r>
        <w:rPr>
          <w:rFonts w:hint="cs"/>
          <w:rtl/>
        </w:rPr>
        <w:t xml:space="preserve"> מוגבלת בסכום. את העודפים ניתן להפקיד בקרנות הפנסיה הכלליות (</w:t>
      </w:r>
      <w:r w:rsidR="009B19AF">
        <w:rPr>
          <w:rFonts w:hint="cs"/>
          <w:rtl/>
        </w:rPr>
        <w:t>ה</w:t>
      </w:r>
      <w:r>
        <w:rPr>
          <w:rFonts w:hint="cs"/>
          <w:rtl/>
        </w:rPr>
        <w:t xml:space="preserve">משלימות) </w:t>
      </w:r>
      <w:r w:rsidR="009B19AF">
        <w:rPr>
          <w:rFonts w:hint="cs"/>
          <w:rtl/>
        </w:rPr>
        <w:t>,</w:t>
      </w:r>
      <w:r>
        <w:rPr>
          <w:rFonts w:hint="cs"/>
          <w:rtl/>
        </w:rPr>
        <w:t>אשר אינן יכולות לרכוש אג"ח מיועדות.</w:t>
      </w:r>
    </w:p>
  </w:footnote>
  <w:footnote w:id="2">
    <w:p w14:paraId="071E7576" w14:textId="2ADA4D23" w:rsidR="0032764E" w:rsidRDefault="0032764E" w:rsidP="00C2547F">
      <w:pPr>
        <w:pStyle w:val="ab"/>
        <w:jc w:val="both"/>
      </w:pPr>
      <w:r>
        <w:rPr>
          <w:rStyle w:val="ad"/>
        </w:rPr>
        <w:footnoteRef/>
      </w:r>
      <w:r>
        <w:rPr>
          <w:rtl/>
        </w:rPr>
        <w:t xml:space="preserve"> </w:t>
      </w:r>
      <w:r>
        <w:rPr>
          <w:rFonts w:hint="cs"/>
          <w:rtl/>
        </w:rPr>
        <w:t>יישום הרפורמה נדחה לאוקטובר 2022</w:t>
      </w:r>
    </w:p>
  </w:footnote>
  <w:footnote w:id="3">
    <w:p w14:paraId="5410D4B9" w14:textId="4E5E601D" w:rsidR="009B263E" w:rsidRDefault="009B263E" w:rsidP="009B263E">
      <w:pPr>
        <w:pStyle w:val="ab"/>
      </w:pPr>
      <w:r>
        <w:rPr>
          <w:rStyle w:val="ad"/>
        </w:rPr>
        <w:footnoteRef/>
      </w:r>
      <w:r>
        <w:rPr>
          <w:rtl/>
        </w:rPr>
        <w:t xml:space="preserve"> </w:t>
      </w:r>
      <w:r w:rsidRPr="009246E0">
        <w:rPr>
          <w:rFonts w:ascii="David" w:hAnsi="David"/>
          <w:rtl/>
        </w:rPr>
        <w:t xml:space="preserve">בשנת 2005 </w:t>
      </w:r>
      <w:r>
        <w:rPr>
          <w:rFonts w:ascii="David" w:hAnsi="David" w:hint="cs"/>
          <w:rtl/>
        </w:rPr>
        <w:t xml:space="preserve">עברה רפורמה </w:t>
      </w:r>
      <w:r w:rsidRPr="009246E0">
        <w:rPr>
          <w:rFonts w:ascii="David" w:hAnsi="David"/>
          <w:rtl/>
        </w:rPr>
        <w:t xml:space="preserve">שהסירה מגבלות </w:t>
      </w:r>
      <w:r w:rsidR="00094646">
        <w:rPr>
          <w:rFonts w:ascii="David" w:hAnsi="David" w:hint="cs"/>
          <w:rtl/>
        </w:rPr>
        <w:t>מ</w:t>
      </w:r>
      <w:r w:rsidRPr="009246E0">
        <w:rPr>
          <w:rFonts w:ascii="David" w:hAnsi="David"/>
          <w:rtl/>
        </w:rPr>
        <w:t xml:space="preserve">על השקעות </w:t>
      </w:r>
      <w:r>
        <w:rPr>
          <w:rFonts w:ascii="David" w:hAnsi="David" w:hint="cs"/>
          <w:rtl/>
        </w:rPr>
        <w:t>הגופים המוסדיים (ובפרט קרנות הפנסיה)</w:t>
      </w:r>
      <w:r w:rsidRPr="009246E0">
        <w:rPr>
          <w:rFonts w:ascii="David" w:hAnsi="David"/>
          <w:rtl/>
        </w:rPr>
        <w:t xml:space="preserve"> בחו"ל</w:t>
      </w:r>
    </w:p>
  </w:footnote>
  <w:footnote w:id="4">
    <w:p w14:paraId="24BDB2C6" w14:textId="27CE87A5" w:rsidR="009B263E" w:rsidRDefault="009B263E" w:rsidP="009B263E">
      <w:pPr>
        <w:pStyle w:val="ab"/>
      </w:pPr>
      <w:r>
        <w:rPr>
          <w:rStyle w:val="ad"/>
        </w:rPr>
        <w:footnoteRef/>
      </w:r>
      <w:r>
        <w:rPr>
          <w:rtl/>
        </w:rPr>
        <w:t xml:space="preserve"> </w:t>
      </w:r>
      <w:proofErr w:type="spellStart"/>
      <w:r>
        <w:rPr>
          <w:rFonts w:hint="cs"/>
          <w:rtl/>
        </w:rPr>
        <w:t>ה</w:t>
      </w:r>
      <w:r w:rsidR="00094646">
        <w:rPr>
          <w:rFonts w:hint="cs"/>
          <w:rtl/>
        </w:rPr>
        <w:t>ה</w:t>
      </w:r>
      <w:r>
        <w:rPr>
          <w:rFonts w:hint="cs"/>
          <w:rtl/>
        </w:rPr>
        <w:t>חזקות</w:t>
      </w:r>
      <w:proofErr w:type="spellEnd"/>
      <w:r>
        <w:rPr>
          <w:rFonts w:hint="cs"/>
          <w:rtl/>
        </w:rPr>
        <w:t xml:space="preserve"> באג"ח ממשלתי</w:t>
      </w:r>
      <w:r w:rsidR="00094646">
        <w:rPr>
          <w:rFonts w:hint="cs"/>
          <w:rtl/>
        </w:rPr>
        <w:t>ו</w:t>
      </w:r>
      <w:r>
        <w:rPr>
          <w:rFonts w:hint="cs"/>
          <w:rtl/>
        </w:rPr>
        <w:t>ת כוללות בעיקר את האג"ח המיועדות</w:t>
      </w:r>
      <w:r w:rsidR="00094646">
        <w:rPr>
          <w:rFonts w:hint="cs"/>
          <w:rtl/>
        </w:rPr>
        <w:t>.</w:t>
      </w:r>
      <w:r>
        <w:rPr>
          <w:rFonts w:hint="cs"/>
          <w:rtl/>
        </w:rPr>
        <w:t xml:space="preserve"> </w:t>
      </w:r>
    </w:p>
  </w:footnote>
  <w:footnote w:id="5">
    <w:p w14:paraId="53C042A1" w14:textId="5267C4BF" w:rsidR="00E65BAB" w:rsidRDefault="00E65BAB">
      <w:pPr>
        <w:pStyle w:val="ab"/>
      </w:pPr>
      <w:r>
        <w:rPr>
          <w:rStyle w:val="ad"/>
        </w:rPr>
        <w:footnoteRef/>
      </w:r>
      <w:r>
        <w:rPr>
          <w:rtl/>
        </w:rPr>
        <w:t xml:space="preserve"> </w:t>
      </w:r>
      <w:r w:rsidRPr="00E65BAB">
        <w:t>https://www.isa.gov.il/GeneralResearch/179/Documents/Institutional_Developments_Heb.pdf</w:t>
      </w:r>
    </w:p>
  </w:footnote>
  <w:footnote w:id="6">
    <w:p w14:paraId="1C80092F" w14:textId="68B0A4FC" w:rsidR="009B263E" w:rsidRDefault="009B263E" w:rsidP="009B263E">
      <w:pPr>
        <w:pStyle w:val="ab"/>
      </w:pPr>
      <w:r>
        <w:rPr>
          <w:rStyle w:val="ad"/>
        </w:rPr>
        <w:footnoteRef/>
      </w:r>
      <w:r>
        <w:rPr>
          <w:rFonts w:hint="cs"/>
          <w:rtl/>
        </w:rPr>
        <w:t xml:space="preserve"> למעשה צפויה עלי</w:t>
      </w:r>
      <w:r w:rsidR="0060237D">
        <w:rPr>
          <w:rFonts w:hint="cs"/>
          <w:rtl/>
        </w:rPr>
        <w:t>י</w:t>
      </w:r>
      <w:r>
        <w:rPr>
          <w:rFonts w:hint="cs"/>
          <w:rtl/>
        </w:rPr>
        <w:t xml:space="preserve">ה מסוימת </w:t>
      </w:r>
      <w:r w:rsidR="0060237D">
        <w:rPr>
          <w:rFonts w:hint="cs"/>
          <w:rtl/>
        </w:rPr>
        <w:t>של התשואה ה</w:t>
      </w:r>
      <w:r>
        <w:rPr>
          <w:rFonts w:hint="cs"/>
          <w:rtl/>
        </w:rPr>
        <w:t>מובטחת</w:t>
      </w:r>
      <w:r w:rsidR="0060237D">
        <w:rPr>
          <w:rFonts w:hint="cs"/>
          <w:rtl/>
        </w:rPr>
        <w:t xml:space="preserve"> – </w:t>
      </w:r>
      <w:r>
        <w:rPr>
          <w:rFonts w:hint="cs"/>
          <w:rtl/>
        </w:rPr>
        <w:t xml:space="preserve"> מ 4.8% ל 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3DF"/>
    <w:multiLevelType w:val="hybridMultilevel"/>
    <w:tmpl w:val="7430B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B56FDE"/>
    <w:multiLevelType w:val="hybridMultilevel"/>
    <w:tmpl w:val="8BEAF228"/>
    <w:lvl w:ilvl="0" w:tplc="AA7014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3959"/>
    <w:multiLevelType w:val="hybridMultilevel"/>
    <w:tmpl w:val="83189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EF5E9D"/>
    <w:multiLevelType w:val="hybridMultilevel"/>
    <w:tmpl w:val="CA8004BC"/>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8A2683"/>
    <w:multiLevelType w:val="hybridMultilevel"/>
    <w:tmpl w:val="3996C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BE1271"/>
    <w:multiLevelType w:val="hybridMultilevel"/>
    <w:tmpl w:val="5956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B55DD"/>
    <w:multiLevelType w:val="hybridMultilevel"/>
    <w:tmpl w:val="AEC6540C"/>
    <w:lvl w:ilvl="0" w:tplc="20000001">
      <w:start w:val="1"/>
      <w:numFmt w:val="bullet"/>
      <w:lvlText w:val=""/>
      <w:lvlJc w:val="left"/>
      <w:pPr>
        <w:ind w:left="771" w:hanging="360"/>
      </w:pPr>
      <w:rPr>
        <w:rFonts w:ascii="Symbol" w:hAnsi="Symbol" w:hint="default"/>
      </w:rPr>
    </w:lvl>
    <w:lvl w:ilvl="1" w:tplc="20000003" w:tentative="1">
      <w:start w:val="1"/>
      <w:numFmt w:val="bullet"/>
      <w:lvlText w:val="o"/>
      <w:lvlJc w:val="left"/>
      <w:pPr>
        <w:ind w:left="1491" w:hanging="360"/>
      </w:pPr>
      <w:rPr>
        <w:rFonts w:ascii="Courier New" w:hAnsi="Courier New" w:cs="Courier New" w:hint="default"/>
      </w:rPr>
    </w:lvl>
    <w:lvl w:ilvl="2" w:tplc="20000005" w:tentative="1">
      <w:start w:val="1"/>
      <w:numFmt w:val="bullet"/>
      <w:lvlText w:val=""/>
      <w:lvlJc w:val="left"/>
      <w:pPr>
        <w:ind w:left="2211" w:hanging="360"/>
      </w:pPr>
      <w:rPr>
        <w:rFonts w:ascii="Wingdings" w:hAnsi="Wingdings" w:hint="default"/>
      </w:rPr>
    </w:lvl>
    <w:lvl w:ilvl="3" w:tplc="20000001" w:tentative="1">
      <w:start w:val="1"/>
      <w:numFmt w:val="bullet"/>
      <w:lvlText w:val=""/>
      <w:lvlJc w:val="left"/>
      <w:pPr>
        <w:ind w:left="2931" w:hanging="360"/>
      </w:pPr>
      <w:rPr>
        <w:rFonts w:ascii="Symbol" w:hAnsi="Symbol" w:hint="default"/>
      </w:rPr>
    </w:lvl>
    <w:lvl w:ilvl="4" w:tplc="20000003" w:tentative="1">
      <w:start w:val="1"/>
      <w:numFmt w:val="bullet"/>
      <w:lvlText w:val="o"/>
      <w:lvlJc w:val="left"/>
      <w:pPr>
        <w:ind w:left="3651" w:hanging="360"/>
      </w:pPr>
      <w:rPr>
        <w:rFonts w:ascii="Courier New" w:hAnsi="Courier New" w:cs="Courier New" w:hint="default"/>
      </w:rPr>
    </w:lvl>
    <w:lvl w:ilvl="5" w:tplc="20000005" w:tentative="1">
      <w:start w:val="1"/>
      <w:numFmt w:val="bullet"/>
      <w:lvlText w:val=""/>
      <w:lvlJc w:val="left"/>
      <w:pPr>
        <w:ind w:left="4371" w:hanging="360"/>
      </w:pPr>
      <w:rPr>
        <w:rFonts w:ascii="Wingdings" w:hAnsi="Wingdings" w:hint="default"/>
      </w:rPr>
    </w:lvl>
    <w:lvl w:ilvl="6" w:tplc="20000001" w:tentative="1">
      <w:start w:val="1"/>
      <w:numFmt w:val="bullet"/>
      <w:lvlText w:val=""/>
      <w:lvlJc w:val="left"/>
      <w:pPr>
        <w:ind w:left="5091" w:hanging="360"/>
      </w:pPr>
      <w:rPr>
        <w:rFonts w:ascii="Symbol" w:hAnsi="Symbol" w:hint="default"/>
      </w:rPr>
    </w:lvl>
    <w:lvl w:ilvl="7" w:tplc="20000003" w:tentative="1">
      <w:start w:val="1"/>
      <w:numFmt w:val="bullet"/>
      <w:lvlText w:val="o"/>
      <w:lvlJc w:val="left"/>
      <w:pPr>
        <w:ind w:left="5811" w:hanging="360"/>
      </w:pPr>
      <w:rPr>
        <w:rFonts w:ascii="Courier New" w:hAnsi="Courier New" w:cs="Courier New" w:hint="default"/>
      </w:rPr>
    </w:lvl>
    <w:lvl w:ilvl="8" w:tplc="20000005" w:tentative="1">
      <w:start w:val="1"/>
      <w:numFmt w:val="bullet"/>
      <w:lvlText w:val=""/>
      <w:lvlJc w:val="left"/>
      <w:pPr>
        <w:ind w:left="6531" w:hanging="360"/>
      </w:pPr>
      <w:rPr>
        <w:rFonts w:ascii="Wingdings" w:hAnsi="Wingdings" w:hint="default"/>
      </w:rPr>
    </w:lvl>
  </w:abstractNum>
  <w:abstractNum w:abstractNumId="7" w15:restartNumberingAfterBreak="0">
    <w:nsid w:val="57411743"/>
    <w:multiLevelType w:val="hybridMultilevel"/>
    <w:tmpl w:val="548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05880"/>
    <w:multiLevelType w:val="hybridMultilevel"/>
    <w:tmpl w:val="E522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C64EA"/>
    <w:multiLevelType w:val="hybridMultilevel"/>
    <w:tmpl w:val="6FA4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F36EF"/>
    <w:multiLevelType w:val="hybridMultilevel"/>
    <w:tmpl w:val="3D009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722D4D"/>
    <w:multiLevelType w:val="hybridMultilevel"/>
    <w:tmpl w:val="39F4C47C"/>
    <w:lvl w:ilvl="0" w:tplc="20000001">
      <w:start w:val="1"/>
      <w:numFmt w:val="bullet"/>
      <w:lvlText w:val=""/>
      <w:lvlJc w:val="left"/>
      <w:pPr>
        <w:ind w:left="771" w:hanging="360"/>
      </w:pPr>
      <w:rPr>
        <w:rFonts w:ascii="Symbol" w:hAnsi="Symbol" w:hint="default"/>
      </w:rPr>
    </w:lvl>
    <w:lvl w:ilvl="1" w:tplc="20000003" w:tentative="1">
      <w:start w:val="1"/>
      <w:numFmt w:val="bullet"/>
      <w:lvlText w:val="o"/>
      <w:lvlJc w:val="left"/>
      <w:pPr>
        <w:ind w:left="1491" w:hanging="360"/>
      </w:pPr>
      <w:rPr>
        <w:rFonts w:ascii="Courier New" w:hAnsi="Courier New" w:cs="Courier New" w:hint="default"/>
      </w:rPr>
    </w:lvl>
    <w:lvl w:ilvl="2" w:tplc="20000005" w:tentative="1">
      <w:start w:val="1"/>
      <w:numFmt w:val="bullet"/>
      <w:lvlText w:val=""/>
      <w:lvlJc w:val="left"/>
      <w:pPr>
        <w:ind w:left="2211" w:hanging="360"/>
      </w:pPr>
      <w:rPr>
        <w:rFonts w:ascii="Wingdings" w:hAnsi="Wingdings" w:hint="default"/>
      </w:rPr>
    </w:lvl>
    <w:lvl w:ilvl="3" w:tplc="20000001" w:tentative="1">
      <w:start w:val="1"/>
      <w:numFmt w:val="bullet"/>
      <w:lvlText w:val=""/>
      <w:lvlJc w:val="left"/>
      <w:pPr>
        <w:ind w:left="2931" w:hanging="360"/>
      </w:pPr>
      <w:rPr>
        <w:rFonts w:ascii="Symbol" w:hAnsi="Symbol" w:hint="default"/>
      </w:rPr>
    </w:lvl>
    <w:lvl w:ilvl="4" w:tplc="20000003" w:tentative="1">
      <w:start w:val="1"/>
      <w:numFmt w:val="bullet"/>
      <w:lvlText w:val="o"/>
      <w:lvlJc w:val="left"/>
      <w:pPr>
        <w:ind w:left="3651" w:hanging="360"/>
      </w:pPr>
      <w:rPr>
        <w:rFonts w:ascii="Courier New" w:hAnsi="Courier New" w:cs="Courier New" w:hint="default"/>
      </w:rPr>
    </w:lvl>
    <w:lvl w:ilvl="5" w:tplc="20000005" w:tentative="1">
      <w:start w:val="1"/>
      <w:numFmt w:val="bullet"/>
      <w:lvlText w:val=""/>
      <w:lvlJc w:val="left"/>
      <w:pPr>
        <w:ind w:left="4371" w:hanging="360"/>
      </w:pPr>
      <w:rPr>
        <w:rFonts w:ascii="Wingdings" w:hAnsi="Wingdings" w:hint="default"/>
      </w:rPr>
    </w:lvl>
    <w:lvl w:ilvl="6" w:tplc="20000001" w:tentative="1">
      <w:start w:val="1"/>
      <w:numFmt w:val="bullet"/>
      <w:lvlText w:val=""/>
      <w:lvlJc w:val="left"/>
      <w:pPr>
        <w:ind w:left="5091" w:hanging="360"/>
      </w:pPr>
      <w:rPr>
        <w:rFonts w:ascii="Symbol" w:hAnsi="Symbol" w:hint="default"/>
      </w:rPr>
    </w:lvl>
    <w:lvl w:ilvl="7" w:tplc="20000003" w:tentative="1">
      <w:start w:val="1"/>
      <w:numFmt w:val="bullet"/>
      <w:lvlText w:val="o"/>
      <w:lvlJc w:val="left"/>
      <w:pPr>
        <w:ind w:left="5811" w:hanging="360"/>
      </w:pPr>
      <w:rPr>
        <w:rFonts w:ascii="Courier New" w:hAnsi="Courier New" w:cs="Courier New" w:hint="default"/>
      </w:rPr>
    </w:lvl>
    <w:lvl w:ilvl="8" w:tplc="20000005" w:tentative="1">
      <w:start w:val="1"/>
      <w:numFmt w:val="bullet"/>
      <w:lvlText w:val=""/>
      <w:lvlJc w:val="left"/>
      <w:pPr>
        <w:ind w:left="6531" w:hanging="360"/>
      </w:pPr>
      <w:rPr>
        <w:rFonts w:ascii="Wingdings" w:hAnsi="Wingdings" w:hint="default"/>
      </w:rPr>
    </w:lvl>
  </w:abstractNum>
  <w:num w:numId="1">
    <w:abstractNumId w:val="9"/>
  </w:num>
  <w:num w:numId="2">
    <w:abstractNumId w:val="11"/>
  </w:num>
  <w:num w:numId="3">
    <w:abstractNumId w:val="4"/>
  </w:num>
  <w:num w:numId="4">
    <w:abstractNumId w:val="6"/>
  </w:num>
  <w:num w:numId="5">
    <w:abstractNumId w:val="10"/>
  </w:num>
  <w:num w:numId="6">
    <w:abstractNumId w:val="0"/>
  </w:num>
  <w:num w:numId="7">
    <w:abstractNumId w:val="2"/>
  </w:num>
  <w:num w:numId="8">
    <w:abstractNumId w:val="3"/>
  </w:num>
  <w:num w:numId="9">
    <w:abstractNumId w:val="7"/>
  </w:num>
  <w:num w:numId="10">
    <w:abstractNumId w:val="1"/>
  </w:num>
  <w:num w:numId="11">
    <w:abstractNumId w:val="8"/>
  </w:num>
  <w:num w:numId="12">
    <w:abstractNumId w:val="7"/>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C2"/>
    <w:rsid w:val="000006D4"/>
    <w:rsid w:val="00001D11"/>
    <w:rsid w:val="00001F37"/>
    <w:rsid w:val="00002591"/>
    <w:rsid w:val="0000353E"/>
    <w:rsid w:val="00003638"/>
    <w:rsid w:val="00007855"/>
    <w:rsid w:val="000112E3"/>
    <w:rsid w:val="000119D9"/>
    <w:rsid w:val="00011DAF"/>
    <w:rsid w:val="00013903"/>
    <w:rsid w:val="00014A4E"/>
    <w:rsid w:val="00016D82"/>
    <w:rsid w:val="0002170A"/>
    <w:rsid w:val="0002333B"/>
    <w:rsid w:val="00023BC2"/>
    <w:rsid w:val="0002577A"/>
    <w:rsid w:val="000264B6"/>
    <w:rsid w:val="00026721"/>
    <w:rsid w:val="00027289"/>
    <w:rsid w:val="00027B00"/>
    <w:rsid w:val="000322B7"/>
    <w:rsid w:val="000352F9"/>
    <w:rsid w:val="00036741"/>
    <w:rsid w:val="00036DBD"/>
    <w:rsid w:val="00040134"/>
    <w:rsid w:val="00040351"/>
    <w:rsid w:val="00041670"/>
    <w:rsid w:val="00041D8F"/>
    <w:rsid w:val="00044113"/>
    <w:rsid w:val="00044FC7"/>
    <w:rsid w:val="00045CD4"/>
    <w:rsid w:val="00045CEE"/>
    <w:rsid w:val="000464BA"/>
    <w:rsid w:val="000478CD"/>
    <w:rsid w:val="0005355F"/>
    <w:rsid w:val="00054651"/>
    <w:rsid w:val="000551EA"/>
    <w:rsid w:val="0005683C"/>
    <w:rsid w:val="0006007F"/>
    <w:rsid w:val="0006008B"/>
    <w:rsid w:val="00062CF3"/>
    <w:rsid w:val="00063390"/>
    <w:rsid w:val="0006486E"/>
    <w:rsid w:val="0007007E"/>
    <w:rsid w:val="00070540"/>
    <w:rsid w:val="000723B9"/>
    <w:rsid w:val="00073369"/>
    <w:rsid w:val="00074E96"/>
    <w:rsid w:val="000752C1"/>
    <w:rsid w:val="00075855"/>
    <w:rsid w:val="000766DC"/>
    <w:rsid w:val="00076DA0"/>
    <w:rsid w:val="000814E6"/>
    <w:rsid w:val="00081B5B"/>
    <w:rsid w:val="000844AB"/>
    <w:rsid w:val="0008541B"/>
    <w:rsid w:val="00087BB8"/>
    <w:rsid w:val="00094646"/>
    <w:rsid w:val="000965B3"/>
    <w:rsid w:val="00096793"/>
    <w:rsid w:val="00097E84"/>
    <w:rsid w:val="000A4607"/>
    <w:rsid w:val="000A47E1"/>
    <w:rsid w:val="000A6032"/>
    <w:rsid w:val="000A712C"/>
    <w:rsid w:val="000B03D0"/>
    <w:rsid w:val="000B06AA"/>
    <w:rsid w:val="000B17C6"/>
    <w:rsid w:val="000B17DF"/>
    <w:rsid w:val="000B2DED"/>
    <w:rsid w:val="000B3DF8"/>
    <w:rsid w:val="000B457E"/>
    <w:rsid w:val="000C0394"/>
    <w:rsid w:val="000C0578"/>
    <w:rsid w:val="000C2CCC"/>
    <w:rsid w:val="000C3337"/>
    <w:rsid w:val="000C5ACA"/>
    <w:rsid w:val="000C66AC"/>
    <w:rsid w:val="000D063E"/>
    <w:rsid w:val="000D1A9B"/>
    <w:rsid w:val="000D1E55"/>
    <w:rsid w:val="000D25E7"/>
    <w:rsid w:val="000D4F6A"/>
    <w:rsid w:val="000D7019"/>
    <w:rsid w:val="000E1908"/>
    <w:rsid w:val="000E2A06"/>
    <w:rsid w:val="000E6677"/>
    <w:rsid w:val="000E7308"/>
    <w:rsid w:val="000F0391"/>
    <w:rsid w:val="000F111A"/>
    <w:rsid w:val="000F2952"/>
    <w:rsid w:val="000F312F"/>
    <w:rsid w:val="000F351F"/>
    <w:rsid w:val="000F361F"/>
    <w:rsid w:val="000F3B33"/>
    <w:rsid w:val="000F3D4B"/>
    <w:rsid w:val="000F49FA"/>
    <w:rsid w:val="000F4C9B"/>
    <w:rsid w:val="000F688A"/>
    <w:rsid w:val="000F7E44"/>
    <w:rsid w:val="001004CC"/>
    <w:rsid w:val="00101082"/>
    <w:rsid w:val="00101373"/>
    <w:rsid w:val="00101578"/>
    <w:rsid w:val="00102682"/>
    <w:rsid w:val="00102DD2"/>
    <w:rsid w:val="00107AE4"/>
    <w:rsid w:val="00110249"/>
    <w:rsid w:val="0011078C"/>
    <w:rsid w:val="00112056"/>
    <w:rsid w:val="001128AE"/>
    <w:rsid w:val="00113087"/>
    <w:rsid w:val="00114547"/>
    <w:rsid w:val="00115188"/>
    <w:rsid w:val="00115E1F"/>
    <w:rsid w:val="00121751"/>
    <w:rsid w:val="001245AB"/>
    <w:rsid w:val="00127446"/>
    <w:rsid w:val="00130535"/>
    <w:rsid w:val="00131A7E"/>
    <w:rsid w:val="00131E3D"/>
    <w:rsid w:val="0013266F"/>
    <w:rsid w:val="00133498"/>
    <w:rsid w:val="001341CC"/>
    <w:rsid w:val="00136CC6"/>
    <w:rsid w:val="00137F10"/>
    <w:rsid w:val="001466AD"/>
    <w:rsid w:val="00150839"/>
    <w:rsid w:val="0015253B"/>
    <w:rsid w:val="00152837"/>
    <w:rsid w:val="00153537"/>
    <w:rsid w:val="00155F6A"/>
    <w:rsid w:val="001572BF"/>
    <w:rsid w:val="00160296"/>
    <w:rsid w:val="00163B3E"/>
    <w:rsid w:val="001704B3"/>
    <w:rsid w:val="00171E99"/>
    <w:rsid w:val="0017328B"/>
    <w:rsid w:val="00174064"/>
    <w:rsid w:val="001747BD"/>
    <w:rsid w:val="00174AC6"/>
    <w:rsid w:val="00174E6B"/>
    <w:rsid w:val="00175A82"/>
    <w:rsid w:val="001779CE"/>
    <w:rsid w:val="00180BEA"/>
    <w:rsid w:val="001827EA"/>
    <w:rsid w:val="0018340D"/>
    <w:rsid w:val="0018631E"/>
    <w:rsid w:val="00186DD4"/>
    <w:rsid w:val="00193251"/>
    <w:rsid w:val="00193E84"/>
    <w:rsid w:val="00194C65"/>
    <w:rsid w:val="001956E8"/>
    <w:rsid w:val="001963C9"/>
    <w:rsid w:val="001A0B02"/>
    <w:rsid w:val="001A11AD"/>
    <w:rsid w:val="001A1226"/>
    <w:rsid w:val="001A3496"/>
    <w:rsid w:val="001A3A61"/>
    <w:rsid w:val="001A448D"/>
    <w:rsid w:val="001A62C9"/>
    <w:rsid w:val="001B0627"/>
    <w:rsid w:val="001B19DA"/>
    <w:rsid w:val="001B2BE4"/>
    <w:rsid w:val="001B2E8A"/>
    <w:rsid w:val="001B3387"/>
    <w:rsid w:val="001B3EBD"/>
    <w:rsid w:val="001B6D2F"/>
    <w:rsid w:val="001B7421"/>
    <w:rsid w:val="001B77D9"/>
    <w:rsid w:val="001B7C5B"/>
    <w:rsid w:val="001C1652"/>
    <w:rsid w:val="001C4EDC"/>
    <w:rsid w:val="001C4EE7"/>
    <w:rsid w:val="001D152A"/>
    <w:rsid w:val="001D22EC"/>
    <w:rsid w:val="001D31BF"/>
    <w:rsid w:val="001D52F6"/>
    <w:rsid w:val="001D53CC"/>
    <w:rsid w:val="001D5A94"/>
    <w:rsid w:val="001D623C"/>
    <w:rsid w:val="001D6E2B"/>
    <w:rsid w:val="001D7B20"/>
    <w:rsid w:val="001D7BF9"/>
    <w:rsid w:val="001E5713"/>
    <w:rsid w:val="001E5C0A"/>
    <w:rsid w:val="001E6908"/>
    <w:rsid w:val="001F0B2A"/>
    <w:rsid w:val="001F1A2A"/>
    <w:rsid w:val="001F2769"/>
    <w:rsid w:val="001F35DF"/>
    <w:rsid w:val="001F3D05"/>
    <w:rsid w:val="001F6536"/>
    <w:rsid w:val="001F7BDF"/>
    <w:rsid w:val="00201619"/>
    <w:rsid w:val="0020344D"/>
    <w:rsid w:val="00203A80"/>
    <w:rsid w:val="00204F94"/>
    <w:rsid w:val="00205C28"/>
    <w:rsid w:val="0020601B"/>
    <w:rsid w:val="00207719"/>
    <w:rsid w:val="00213676"/>
    <w:rsid w:val="002145C5"/>
    <w:rsid w:val="002145E2"/>
    <w:rsid w:val="00220ECF"/>
    <w:rsid w:val="0022239A"/>
    <w:rsid w:val="00222B94"/>
    <w:rsid w:val="00223D28"/>
    <w:rsid w:val="00227122"/>
    <w:rsid w:val="002302B5"/>
    <w:rsid w:val="00230F53"/>
    <w:rsid w:val="002311C3"/>
    <w:rsid w:val="00232FFF"/>
    <w:rsid w:val="002334E5"/>
    <w:rsid w:val="00233A8E"/>
    <w:rsid w:val="00233DC7"/>
    <w:rsid w:val="0023439A"/>
    <w:rsid w:val="00234D70"/>
    <w:rsid w:val="00235315"/>
    <w:rsid w:val="00235637"/>
    <w:rsid w:val="00240DA5"/>
    <w:rsid w:val="00242896"/>
    <w:rsid w:val="00243D9A"/>
    <w:rsid w:val="00244D24"/>
    <w:rsid w:val="00245796"/>
    <w:rsid w:val="00247101"/>
    <w:rsid w:val="00250400"/>
    <w:rsid w:val="002535C6"/>
    <w:rsid w:val="00253B70"/>
    <w:rsid w:val="00254F48"/>
    <w:rsid w:val="00256602"/>
    <w:rsid w:val="00257D21"/>
    <w:rsid w:val="00261C24"/>
    <w:rsid w:val="00262255"/>
    <w:rsid w:val="00262679"/>
    <w:rsid w:val="00262CBB"/>
    <w:rsid w:val="00264AF0"/>
    <w:rsid w:val="002726F8"/>
    <w:rsid w:val="0027378D"/>
    <w:rsid w:val="002743BE"/>
    <w:rsid w:val="00274432"/>
    <w:rsid w:val="00276C1E"/>
    <w:rsid w:val="00277B24"/>
    <w:rsid w:val="00281BBB"/>
    <w:rsid w:val="00281D94"/>
    <w:rsid w:val="00282D0F"/>
    <w:rsid w:val="0028514F"/>
    <w:rsid w:val="0028553C"/>
    <w:rsid w:val="00285568"/>
    <w:rsid w:val="00290F00"/>
    <w:rsid w:val="00291DA3"/>
    <w:rsid w:val="00293D3A"/>
    <w:rsid w:val="0029463F"/>
    <w:rsid w:val="002962E9"/>
    <w:rsid w:val="002A10FF"/>
    <w:rsid w:val="002A1D9A"/>
    <w:rsid w:val="002A2064"/>
    <w:rsid w:val="002A22BA"/>
    <w:rsid w:val="002A2A7A"/>
    <w:rsid w:val="002A2F04"/>
    <w:rsid w:val="002A3A48"/>
    <w:rsid w:val="002A521A"/>
    <w:rsid w:val="002A69E7"/>
    <w:rsid w:val="002A6A2B"/>
    <w:rsid w:val="002A6BE5"/>
    <w:rsid w:val="002A768B"/>
    <w:rsid w:val="002A7771"/>
    <w:rsid w:val="002B231A"/>
    <w:rsid w:val="002B2859"/>
    <w:rsid w:val="002B368E"/>
    <w:rsid w:val="002B3862"/>
    <w:rsid w:val="002B5BC6"/>
    <w:rsid w:val="002B688F"/>
    <w:rsid w:val="002B7FF9"/>
    <w:rsid w:val="002C4BCE"/>
    <w:rsid w:val="002C7361"/>
    <w:rsid w:val="002C7763"/>
    <w:rsid w:val="002D3EF5"/>
    <w:rsid w:val="002D4496"/>
    <w:rsid w:val="002D671E"/>
    <w:rsid w:val="002D6D44"/>
    <w:rsid w:val="002E339D"/>
    <w:rsid w:val="002E4287"/>
    <w:rsid w:val="002E4554"/>
    <w:rsid w:val="002E5A58"/>
    <w:rsid w:val="002E70DF"/>
    <w:rsid w:val="002E7E95"/>
    <w:rsid w:val="002F1AF6"/>
    <w:rsid w:val="002F3DA1"/>
    <w:rsid w:val="002F58CF"/>
    <w:rsid w:val="002F7C29"/>
    <w:rsid w:val="00300B95"/>
    <w:rsid w:val="00302935"/>
    <w:rsid w:val="003029B7"/>
    <w:rsid w:val="00303A61"/>
    <w:rsid w:val="00305DBC"/>
    <w:rsid w:val="003101D0"/>
    <w:rsid w:val="0031026D"/>
    <w:rsid w:val="00311E5B"/>
    <w:rsid w:val="00312247"/>
    <w:rsid w:val="00313760"/>
    <w:rsid w:val="00315D84"/>
    <w:rsid w:val="003160C6"/>
    <w:rsid w:val="00316A11"/>
    <w:rsid w:val="0031705E"/>
    <w:rsid w:val="00320280"/>
    <w:rsid w:val="00320325"/>
    <w:rsid w:val="00320471"/>
    <w:rsid w:val="00321991"/>
    <w:rsid w:val="00321DF9"/>
    <w:rsid w:val="0032266D"/>
    <w:rsid w:val="0032382A"/>
    <w:rsid w:val="00323F6D"/>
    <w:rsid w:val="00325558"/>
    <w:rsid w:val="00325A7B"/>
    <w:rsid w:val="00325AE8"/>
    <w:rsid w:val="0032764E"/>
    <w:rsid w:val="003305E9"/>
    <w:rsid w:val="00330C2F"/>
    <w:rsid w:val="00332271"/>
    <w:rsid w:val="00333669"/>
    <w:rsid w:val="003338C8"/>
    <w:rsid w:val="00334103"/>
    <w:rsid w:val="00334437"/>
    <w:rsid w:val="00334507"/>
    <w:rsid w:val="0033466F"/>
    <w:rsid w:val="00335379"/>
    <w:rsid w:val="00340705"/>
    <w:rsid w:val="00340F8F"/>
    <w:rsid w:val="003417A2"/>
    <w:rsid w:val="00352AA0"/>
    <w:rsid w:val="003533DD"/>
    <w:rsid w:val="00353523"/>
    <w:rsid w:val="00353801"/>
    <w:rsid w:val="00361662"/>
    <w:rsid w:val="00361E7D"/>
    <w:rsid w:val="003621B0"/>
    <w:rsid w:val="003631EE"/>
    <w:rsid w:val="003658B1"/>
    <w:rsid w:val="00370CAD"/>
    <w:rsid w:val="00371049"/>
    <w:rsid w:val="00372773"/>
    <w:rsid w:val="00373C5B"/>
    <w:rsid w:val="00375A2D"/>
    <w:rsid w:val="0037685C"/>
    <w:rsid w:val="00376C2D"/>
    <w:rsid w:val="00380289"/>
    <w:rsid w:val="00384A7D"/>
    <w:rsid w:val="00384F4B"/>
    <w:rsid w:val="00395657"/>
    <w:rsid w:val="003A0609"/>
    <w:rsid w:val="003A4CDD"/>
    <w:rsid w:val="003A5965"/>
    <w:rsid w:val="003A6159"/>
    <w:rsid w:val="003B3458"/>
    <w:rsid w:val="003B3668"/>
    <w:rsid w:val="003B3DF2"/>
    <w:rsid w:val="003B41A3"/>
    <w:rsid w:val="003B5B83"/>
    <w:rsid w:val="003B644C"/>
    <w:rsid w:val="003C5E2E"/>
    <w:rsid w:val="003C729F"/>
    <w:rsid w:val="003C7B94"/>
    <w:rsid w:val="003C7E8E"/>
    <w:rsid w:val="003D2BF2"/>
    <w:rsid w:val="003D4F54"/>
    <w:rsid w:val="003D4F8A"/>
    <w:rsid w:val="003D5166"/>
    <w:rsid w:val="003D730F"/>
    <w:rsid w:val="003D7F3F"/>
    <w:rsid w:val="003E10F7"/>
    <w:rsid w:val="003E1C53"/>
    <w:rsid w:val="003E2F61"/>
    <w:rsid w:val="003E37BD"/>
    <w:rsid w:val="003E496F"/>
    <w:rsid w:val="003E630E"/>
    <w:rsid w:val="003E6F3E"/>
    <w:rsid w:val="003E7BE3"/>
    <w:rsid w:val="003F0CEF"/>
    <w:rsid w:val="003F0FEC"/>
    <w:rsid w:val="003F1485"/>
    <w:rsid w:val="003F26DC"/>
    <w:rsid w:val="003F2854"/>
    <w:rsid w:val="003F3352"/>
    <w:rsid w:val="00403DF8"/>
    <w:rsid w:val="00405881"/>
    <w:rsid w:val="004103B8"/>
    <w:rsid w:val="004110F3"/>
    <w:rsid w:val="00411464"/>
    <w:rsid w:val="00413C5A"/>
    <w:rsid w:val="0041745E"/>
    <w:rsid w:val="00417B85"/>
    <w:rsid w:val="004201FD"/>
    <w:rsid w:val="00420893"/>
    <w:rsid w:val="00423C9D"/>
    <w:rsid w:val="00423CA3"/>
    <w:rsid w:val="004251F5"/>
    <w:rsid w:val="004267A2"/>
    <w:rsid w:val="004337B3"/>
    <w:rsid w:val="00434049"/>
    <w:rsid w:val="00440198"/>
    <w:rsid w:val="004427DF"/>
    <w:rsid w:val="004436C2"/>
    <w:rsid w:val="00443DC2"/>
    <w:rsid w:val="004447C8"/>
    <w:rsid w:val="00446D10"/>
    <w:rsid w:val="004474E1"/>
    <w:rsid w:val="00447620"/>
    <w:rsid w:val="004517A3"/>
    <w:rsid w:val="00452340"/>
    <w:rsid w:val="00453093"/>
    <w:rsid w:val="00453C3E"/>
    <w:rsid w:val="004566A6"/>
    <w:rsid w:val="004618F1"/>
    <w:rsid w:val="004632C7"/>
    <w:rsid w:val="00465E8E"/>
    <w:rsid w:val="00467F9B"/>
    <w:rsid w:val="0047254E"/>
    <w:rsid w:val="004726D7"/>
    <w:rsid w:val="00474434"/>
    <w:rsid w:val="00477EC4"/>
    <w:rsid w:val="00483CB8"/>
    <w:rsid w:val="004845DC"/>
    <w:rsid w:val="004851D2"/>
    <w:rsid w:val="004866B8"/>
    <w:rsid w:val="00486B1C"/>
    <w:rsid w:val="00486D81"/>
    <w:rsid w:val="00490481"/>
    <w:rsid w:val="0049064A"/>
    <w:rsid w:val="004915DA"/>
    <w:rsid w:val="004926C5"/>
    <w:rsid w:val="00492B90"/>
    <w:rsid w:val="00495583"/>
    <w:rsid w:val="004A0096"/>
    <w:rsid w:val="004A248D"/>
    <w:rsid w:val="004A31F5"/>
    <w:rsid w:val="004A3E46"/>
    <w:rsid w:val="004A4DFF"/>
    <w:rsid w:val="004A58FF"/>
    <w:rsid w:val="004A5AC5"/>
    <w:rsid w:val="004A7173"/>
    <w:rsid w:val="004A7F24"/>
    <w:rsid w:val="004B1A80"/>
    <w:rsid w:val="004B1D04"/>
    <w:rsid w:val="004B350B"/>
    <w:rsid w:val="004B4B4B"/>
    <w:rsid w:val="004B5321"/>
    <w:rsid w:val="004B7B84"/>
    <w:rsid w:val="004C056B"/>
    <w:rsid w:val="004C1CDC"/>
    <w:rsid w:val="004C24AF"/>
    <w:rsid w:val="004C273C"/>
    <w:rsid w:val="004C2E96"/>
    <w:rsid w:val="004C2F55"/>
    <w:rsid w:val="004C338D"/>
    <w:rsid w:val="004C643F"/>
    <w:rsid w:val="004D1BEA"/>
    <w:rsid w:val="004D1CD0"/>
    <w:rsid w:val="004D38D2"/>
    <w:rsid w:val="004D3934"/>
    <w:rsid w:val="004D5DDB"/>
    <w:rsid w:val="004D5F92"/>
    <w:rsid w:val="004D6ADE"/>
    <w:rsid w:val="004D6EAF"/>
    <w:rsid w:val="004D749B"/>
    <w:rsid w:val="004E02C2"/>
    <w:rsid w:val="004E1EB7"/>
    <w:rsid w:val="004E20FF"/>
    <w:rsid w:val="004E3221"/>
    <w:rsid w:val="004E53CF"/>
    <w:rsid w:val="004E5679"/>
    <w:rsid w:val="004E58CD"/>
    <w:rsid w:val="004E6195"/>
    <w:rsid w:val="004E637A"/>
    <w:rsid w:val="004E6769"/>
    <w:rsid w:val="004F0AF3"/>
    <w:rsid w:val="004F0D5E"/>
    <w:rsid w:val="004F2ED6"/>
    <w:rsid w:val="004F418D"/>
    <w:rsid w:val="004F46B4"/>
    <w:rsid w:val="004F79E7"/>
    <w:rsid w:val="00504C24"/>
    <w:rsid w:val="00512D2F"/>
    <w:rsid w:val="005136F5"/>
    <w:rsid w:val="00513E3E"/>
    <w:rsid w:val="005142CF"/>
    <w:rsid w:val="00515B59"/>
    <w:rsid w:val="0051630B"/>
    <w:rsid w:val="005168A9"/>
    <w:rsid w:val="0052180D"/>
    <w:rsid w:val="005241DC"/>
    <w:rsid w:val="005247E8"/>
    <w:rsid w:val="00524F28"/>
    <w:rsid w:val="0052577E"/>
    <w:rsid w:val="00527D93"/>
    <w:rsid w:val="005303E7"/>
    <w:rsid w:val="005343E0"/>
    <w:rsid w:val="00534677"/>
    <w:rsid w:val="00534E38"/>
    <w:rsid w:val="0053581E"/>
    <w:rsid w:val="005367CC"/>
    <w:rsid w:val="005370EA"/>
    <w:rsid w:val="0054392C"/>
    <w:rsid w:val="00547D3A"/>
    <w:rsid w:val="00550837"/>
    <w:rsid w:val="00552A1F"/>
    <w:rsid w:val="005530E3"/>
    <w:rsid w:val="0055472A"/>
    <w:rsid w:val="005547BF"/>
    <w:rsid w:val="00554E86"/>
    <w:rsid w:val="0055532E"/>
    <w:rsid w:val="005565CF"/>
    <w:rsid w:val="00556A3C"/>
    <w:rsid w:val="00556A83"/>
    <w:rsid w:val="00557FA6"/>
    <w:rsid w:val="00561345"/>
    <w:rsid w:val="005630BC"/>
    <w:rsid w:val="0057077F"/>
    <w:rsid w:val="00571FA4"/>
    <w:rsid w:val="00573656"/>
    <w:rsid w:val="00573744"/>
    <w:rsid w:val="00574785"/>
    <w:rsid w:val="0057580D"/>
    <w:rsid w:val="00581732"/>
    <w:rsid w:val="00582BE6"/>
    <w:rsid w:val="00583BBF"/>
    <w:rsid w:val="005847B2"/>
    <w:rsid w:val="005863F5"/>
    <w:rsid w:val="00586B22"/>
    <w:rsid w:val="00587567"/>
    <w:rsid w:val="00587FD3"/>
    <w:rsid w:val="00592A67"/>
    <w:rsid w:val="00592AB4"/>
    <w:rsid w:val="005930A9"/>
    <w:rsid w:val="00593192"/>
    <w:rsid w:val="00595F94"/>
    <w:rsid w:val="00597D67"/>
    <w:rsid w:val="005A0933"/>
    <w:rsid w:val="005A14C5"/>
    <w:rsid w:val="005A2E9D"/>
    <w:rsid w:val="005A5C71"/>
    <w:rsid w:val="005A66B6"/>
    <w:rsid w:val="005B0FC2"/>
    <w:rsid w:val="005B25E4"/>
    <w:rsid w:val="005B3921"/>
    <w:rsid w:val="005B51AC"/>
    <w:rsid w:val="005B588F"/>
    <w:rsid w:val="005B7A37"/>
    <w:rsid w:val="005B7A6B"/>
    <w:rsid w:val="005C1655"/>
    <w:rsid w:val="005C2B86"/>
    <w:rsid w:val="005C40BB"/>
    <w:rsid w:val="005C43C2"/>
    <w:rsid w:val="005C4950"/>
    <w:rsid w:val="005C5CF1"/>
    <w:rsid w:val="005C6C69"/>
    <w:rsid w:val="005C7A4D"/>
    <w:rsid w:val="005C7A57"/>
    <w:rsid w:val="005D03BE"/>
    <w:rsid w:val="005D1EAF"/>
    <w:rsid w:val="005D3293"/>
    <w:rsid w:val="005D5013"/>
    <w:rsid w:val="005E120F"/>
    <w:rsid w:val="005E2D27"/>
    <w:rsid w:val="005E41AC"/>
    <w:rsid w:val="005E4567"/>
    <w:rsid w:val="005F0764"/>
    <w:rsid w:val="005F1CAE"/>
    <w:rsid w:val="005F2441"/>
    <w:rsid w:val="005F7C0C"/>
    <w:rsid w:val="0060022F"/>
    <w:rsid w:val="0060237D"/>
    <w:rsid w:val="0060281A"/>
    <w:rsid w:val="0060442C"/>
    <w:rsid w:val="006065AA"/>
    <w:rsid w:val="00607A1C"/>
    <w:rsid w:val="00611028"/>
    <w:rsid w:val="006118B5"/>
    <w:rsid w:val="00612B68"/>
    <w:rsid w:val="00615F1A"/>
    <w:rsid w:val="00617CAC"/>
    <w:rsid w:val="0062281A"/>
    <w:rsid w:val="0062457A"/>
    <w:rsid w:val="00624F3C"/>
    <w:rsid w:val="0062585F"/>
    <w:rsid w:val="00625AE9"/>
    <w:rsid w:val="00626A42"/>
    <w:rsid w:val="006279E9"/>
    <w:rsid w:val="0063068D"/>
    <w:rsid w:val="00630E27"/>
    <w:rsid w:val="0063142C"/>
    <w:rsid w:val="0063300D"/>
    <w:rsid w:val="00633C02"/>
    <w:rsid w:val="006344AE"/>
    <w:rsid w:val="0063575D"/>
    <w:rsid w:val="006408A3"/>
    <w:rsid w:val="006418D3"/>
    <w:rsid w:val="00642062"/>
    <w:rsid w:val="00643880"/>
    <w:rsid w:val="006452C8"/>
    <w:rsid w:val="00645761"/>
    <w:rsid w:val="00645FB4"/>
    <w:rsid w:val="006479A1"/>
    <w:rsid w:val="00650783"/>
    <w:rsid w:val="00650AD7"/>
    <w:rsid w:val="006518CA"/>
    <w:rsid w:val="00652CAB"/>
    <w:rsid w:val="00652DF1"/>
    <w:rsid w:val="00655287"/>
    <w:rsid w:val="00656B6C"/>
    <w:rsid w:val="00661179"/>
    <w:rsid w:val="00662649"/>
    <w:rsid w:val="00664652"/>
    <w:rsid w:val="006651EE"/>
    <w:rsid w:val="00666FD5"/>
    <w:rsid w:val="006671E6"/>
    <w:rsid w:val="00672043"/>
    <w:rsid w:val="006734CA"/>
    <w:rsid w:val="0067384E"/>
    <w:rsid w:val="00673ABF"/>
    <w:rsid w:val="00674424"/>
    <w:rsid w:val="00675615"/>
    <w:rsid w:val="006804CC"/>
    <w:rsid w:val="00682E0F"/>
    <w:rsid w:val="00683B86"/>
    <w:rsid w:val="00686225"/>
    <w:rsid w:val="00693589"/>
    <w:rsid w:val="00694D97"/>
    <w:rsid w:val="00696B16"/>
    <w:rsid w:val="006A07B8"/>
    <w:rsid w:val="006A49D8"/>
    <w:rsid w:val="006A5AA6"/>
    <w:rsid w:val="006B0E1F"/>
    <w:rsid w:val="006B228B"/>
    <w:rsid w:val="006B5594"/>
    <w:rsid w:val="006B59D7"/>
    <w:rsid w:val="006B7704"/>
    <w:rsid w:val="006C4140"/>
    <w:rsid w:val="006C46E9"/>
    <w:rsid w:val="006C666F"/>
    <w:rsid w:val="006C6D25"/>
    <w:rsid w:val="006D3550"/>
    <w:rsid w:val="006D3D74"/>
    <w:rsid w:val="006D4062"/>
    <w:rsid w:val="006D6001"/>
    <w:rsid w:val="006D655B"/>
    <w:rsid w:val="006D6FA0"/>
    <w:rsid w:val="006D7B6D"/>
    <w:rsid w:val="006E0566"/>
    <w:rsid w:val="006E07B7"/>
    <w:rsid w:val="006E2F0B"/>
    <w:rsid w:val="006E3225"/>
    <w:rsid w:val="006E38C2"/>
    <w:rsid w:val="006E38EB"/>
    <w:rsid w:val="006E6A91"/>
    <w:rsid w:val="006F11CC"/>
    <w:rsid w:val="006F1450"/>
    <w:rsid w:val="006F27BF"/>
    <w:rsid w:val="006F2F69"/>
    <w:rsid w:val="006F3D55"/>
    <w:rsid w:val="006F535F"/>
    <w:rsid w:val="006F6BCC"/>
    <w:rsid w:val="006F7690"/>
    <w:rsid w:val="006F778F"/>
    <w:rsid w:val="0070258E"/>
    <w:rsid w:val="00703A54"/>
    <w:rsid w:val="0070475A"/>
    <w:rsid w:val="0070499F"/>
    <w:rsid w:val="00707F4C"/>
    <w:rsid w:val="00710113"/>
    <w:rsid w:val="0071325C"/>
    <w:rsid w:val="00716255"/>
    <w:rsid w:val="00717116"/>
    <w:rsid w:val="00720C10"/>
    <w:rsid w:val="00720D26"/>
    <w:rsid w:val="007224BB"/>
    <w:rsid w:val="00722867"/>
    <w:rsid w:val="00722C7D"/>
    <w:rsid w:val="007248CA"/>
    <w:rsid w:val="00724D8E"/>
    <w:rsid w:val="00724F61"/>
    <w:rsid w:val="00724FA3"/>
    <w:rsid w:val="00727B04"/>
    <w:rsid w:val="0073073B"/>
    <w:rsid w:val="00730904"/>
    <w:rsid w:val="0073181E"/>
    <w:rsid w:val="00733215"/>
    <w:rsid w:val="007352F8"/>
    <w:rsid w:val="00736891"/>
    <w:rsid w:val="00736F68"/>
    <w:rsid w:val="007379C2"/>
    <w:rsid w:val="00740675"/>
    <w:rsid w:val="00743D66"/>
    <w:rsid w:val="007440D5"/>
    <w:rsid w:val="00744C6D"/>
    <w:rsid w:val="0075060F"/>
    <w:rsid w:val="007514C1"/>
    <w:rsid w:val="00751A06"/>
    <w:rsid w:val="0075700B"/>
    <w:rsid w:val="00760E07"/>
    <w:rsid w:val="007632D9"/>
    <w:rsid w:val="0076550B"/>
    <w:rsid w:val="00772E61"/>
    <w:rsid w:val="00774018"/>
    <w:rsid w:val="00775C36"/>
    <w:rsid w:val="00777946"/>
    <w:rsid w:val="007801CD"/>
    <w:rsid w:val="00781EFD"/>
    <w:rsid w:val="00781FBA"/>
    <w:rsid w:val="00783B46"/>
    <w:rsid w:val="007853A8"/>
    <w:rsid w:val="007854CF"/>
    <w:rsid w:val="007872E3"/>
    <w:rsid w:val="00790EB9"/>
    <w:rsid w:val="00791A6E"/>
    <w:rsid w:val="00793614"/>
    <w:rsid w:val="00793E9C"/>
    <w:rsid w:val="00794089"/>
    <w:rsid w:val="0079431A"/>
    <w:rsid w:val="00795412"/>
    <w:rsid w:val="00795608"/>
    <w:rsid w:val="00795C98"/>
    <w:rsid w:val="007978C3"/>
    <w:rsid w:val="00797A15"/>
    <w:rsid w:val="007A1DE7"/>
    <w:rsid w:val="007A7F93"/>
    <w:rsid w:val="007B0E50"/>
    <w:rsid w:val="007B1522"/>
    <w:rsid w:val="007B24E1"/>
    <w:rsid w:val="007B286E"/>
    <w:rsid w:val="007B3B19"/>
    <w:rsid w:val="007B7DF0"/>
    <w:rsid w:val="007C092D"/>
    <w:rsid w:val="007C372A"/>
    <w:rsid w:val="007C3C55"/>
    <w:rsid w:val="007C4674"/>
    <w:rsid w:val="007C4EF8"/>
    <w:rsid w:val="007C76E3"/>
    <w:rsid w:val="007C7E4E"/>
    <w:rsid w:val="007D0837"/>
    <w:rsid w:val="007D2AEB"/>
    <w:rsid w:val="007D3351"/>
    <w:rsid w:val="007D51F4"/>
    <w:rsid w:val="007D7035"/>
    <w:rsid w:val="007E0BE6"/>
    <w:rsid w:val="007E14A3"/>
    <w:rsid w:val="007E3888"/>
    <w:rsid w:val="007E6C40"/>
    <w:rsid w:val="007E797B"/>
    <w:rsid w:val="007E7B9C"/>
    <w:rsid w:val="007F08A0"/>
    <w:rsid w:val="007F30AB"/>
    <w:rsid w:val="007F68F9"/>
    <w:rsid w:val="00800E7C"/>
    <w:rsid w:val="008029BC"/>
    <w:rsid w:val="0080432F"/>
    <w:rsid w:val="008043D6"/>
    <w:rsid w:val="0081194B"/>
    <w:rsid w:val="008127A3"/>
    <w:rsid w:val="0081510A"/>
    <w:rsid w:val="00816C2F"/>
    <w:rsid w:val="00816E9A"/>
    <w:rsid w:val="00820A4D"/>
    <w:rsid w:val="00821510"/>
    <w:rsid w:val="00822417"/>
    <w:rsid w:val="00827BC3"/>
    <w:rsid w:val="008320DD"/>
    <w:rsid w:val="008332B5"/>
    <w:rsid w:val="00833557"/>
    <w:rsid w:val="008341EF"/>
    <w:rsid w:val="008350F0"/>
    <w:rsid w:val="00841011"/>
    <w:rsid w:val="008436C2"/>
    <w:rsid w:val="00843DE5"/>
    <w:rsid w:val="00844B4D"/>
    <w:rsid w:val="0084714A"/>
    <w:rsid w:val="008471C0"/>
    <w:rsid w:val="00851345"/>
    <w:rsid w:val="0085612C"/>
    <w:rsid w:val="00856769"/>
    <w:rsid w:val="00856F8D"/>
    <w:rsid w:val="00856FE3"/>
    <w:rsid w:val="0085785B"/>
    <w:rsid w:val="00857A50"/>
    <w:rsid w:val="0086366F"/>
    <w:rsid w:val="00864F26"/>
    <w:rsid w:val="00865A57"/>
    <w:rsid w:val="00866136"/>
    <w:rsid w:val="008662FC"/>
    <w:rsid w:val="008742C0"/>
    <w:rsid w:val="008748E6"/>
    <w:rsid w:val="00874B94"/>
    <w:rsid w:val="00876998"/>
    <w:rsid w:val="0087715C"/>
    <w:rsid w:val="00877BB9"/>
    <w:rsid w:val="008813F5"/>
    <w:rsid w:val="00881DB2"/>
    <w:rsid w:val="00882973"/>
    <w:rsid w:val="0088348F"/>
    <w:rsid w:val="0088513F"/>
    <w:rsid w:val="00886267"/>
    <w:rsid w:val="0088665F"/>
    <w:rsid w:val="00887D4B"/>
    <w:rsid w:val="00891841"/>
    <w:rsid w:val="008949B8"/>
    <w:rsid w:val="008A0BC6"/>
    <w:rsid w:val="008A113A"/>
    <w:rsid w:val="008A2E5F"/>
    <w:rsid w:val="008A3681"/>
    <w:rsid w:val="008A38EA"/>
    <w:rsid w:val="008A6FA7"/>
    <w:rsid w:val="008A72E0"/>
    <w:rsid w:val="008B0315"/>
    <w:rsid w:val="008B06FD"/>
    <w:rsid w:val="008B2EF9"/>
    <w:rsid w:val="008B337D"/>
    <w:rsid w:val="008B42EE"/>
    <w:rsid w:val="008B47E1"/>
    <w:rsid w:val="008B54FE"/>
    <w:rsid w:val="008C0F08"/>
    <w:rsid w:val="008C365B"/>
    <w:rsid w:val="008C4DA4"/>
    <w:rsid w:val="008C599C"/>
    <w:rsid w:val="008C69E0"/>
    <w:rsid w:val="008D1EB6"/>
    <w:rsid w:val="008D3295"/>
    <w:rsid w:val="008D4563"/>
    <w:rsid w:val="008D470E"/>
    <w:rsid w:val="008E0206"/>
    <w:rsid w:val="008E0CD3"/>
    <w:rsid w:val="008E0CEC"/>
    <w:rsid w:val="008E36F8"/>
    <w:rsid w:val="008E4803"/>
    <w:rsid w:val="008E6734"/>
    <w:rsid w:val="008E6821"/>
    <w:rsid w:val="008E702F"/>
    <w:rsid w:val="008E7320"/>
    <w:rsid w:val="008F112A"/>
    <w:rsid w:val="008F269F"/>
    <w:rsid w:val="008F2720"/>
    <w:rsid w:val="008F4390"/>
    <w:rsid w:val="008F44F5"/>
    <w:rsid w:val="008F56AF"/>
    <w:rsid w:val="008F671F"/>
    <w:rsid w:val="008F75F7"/>
    <w:rsid w:val="00900F6D"/>
    <w:rsid w:val="009017EE"/>
    <w:rsid w:val="009023AE"/>
    <w:rsid w:val="009056A3"/>
    <w:rsid w:val="009076F0"/>
    <w:rsid w:val="00912F54"/>
    <w:rsid w:val="009149DA"/>
    <w:rsid w:val="0091565D"/>
    <w:rsid w:val="009161B6"/>
    <w:rsid w:val="00916BC8"/>
    <w:rsid w:val="009174E4"/>
    <w:rsid w:val="0092470D"/>
    <w:rsid w:val="00924841"/>
    <w:rsid w:val="00924B92"/>
    <w:rsid w:val="00924F86"/>
    <w:rsid w:val="0092685C"/>
    <w:rsid w:val="00926B8B"/>
    <w:rsid w:val="009317AB"/>
    <w:rsid w:val="009317F8"/>
    <w:rsid w:val="00935D33"/>
    <w:rsid w:val="00935EC7"/>
    <w:rsid w:val="009367E3"/>
    <w:rsid w:val="009373C4"/>
    <w:rsid w:val="00940BEA"/>
    <w:rsid w:val="009416F0"/>
    <w:rsid w:val="00941B50"/>
    <w:rsid w:val="00942D67"/>
    <w:rsid w:val="009444AC"/>
    <w:rsid w:val="00945F67"/>
    <w:rsid w:val="00946894"/>
    <w:rsid w:val="00946C14"/>
    <w:rsid w:val="00950E32"/>
    <w:rsid w:val="0095131B"/>
    <w:rsid w:val="00953862"/>
    <w:rsid w:val="009547D3"/>
    <w:rsid w:val="00954D4B"/>
    <w:rsid w:val="009566C7"/>
    <w:rsid w:val="0095682F"/>
    <w:rsid w:val="009573BF"/>
    <w:rsid w:val="009620F5"/>
    <w:rsid w:val="00963AF9"/>
    <w:rsid w:val="00963BDC"/>
    <w:rsid w:val="00964F8C"/>
    <w:rsid w:val="00965988"/>
    <w:rsid w:val="00966287"/>
    <w:rsid w:val="009671F3"/>
    <w:rsid w:val="0096749E"/>
    <w:rsid w:val="00967580"/>
    <w:rsid w:val="00971ACC"/>
    <w:rsid w:val="00974293"/>
    <w:rsid w:val="0097432D"/>
    <w:rsid w:val="00974A8F"/>
    <w:rsid w:val="00974B71"/>
    <w:rsid w:val="00975A69"/>
    <w:rsid w:val="00975C16"/>
    <w:rsid w:val="00975FF3"/>
    <w:rsid w:val="00977BFD"/>
    <w:rsid w:val="00983907"/>
    <w:rsid w:val="0098468E"/>
    <w:rsid w:val="00984A5A"/>
    <w:rsid w:val="00984BE7"/>
    <w:rsid w:val="00986282"/>
    <w:rsid w:val="00986DBA"/>
    <w:rsid w:val="00990AF5"/>
    <w:rsid w:val="0099102C"/>
    <w:rsid w:val="009910A5"/>
    <w:rsid w:val="00993376"/>
    <w:rsid w:val="00997CC1"/>
    <w:rsid w:val="009A0D95"/>
    <w:rsid w:val="009A0EAB"/>
    <w:rsid w:val="009A1E1B"/>
    <w:rsid w:val="009A600A"/>
    <w:rsid w:val="009B006D"/>
    <w:rsid w:val="009B0B4E"/>
    <w:rsid w:val="009B10E7"/>
    <w:rsid w:val="009B1287"/>
    <w:rsid w:val="009B1317"/>
    <w:rsid w:val="009B19AF"/>
    <w:rsid w:val="009B263E"/>
    <w:rsid w:val="009B5EDE"/>
    <w:rsid w:val="009C00D7"/>
    <w:rsid w:val="009C6EE4"/>
    <w:rsid w:val="009C7DB4"/>
    <w:rsid w:val="009D1900"/>
    <w:rsid w:val="009D1B6E"/>
    <w:rsid w:val="009D2077"/>
    <w:rsid w:val="009D41BA"/>
    <w:rsid w:val="009D5893"/>
    <w:rsid w:val="009E1B9B"/>
    <w:rsid w:val="009E34B9"/>
    <w:rsid w:val="009E4C74"/>
    <w:rsid w:val="009E4D32"/>
    <w:rsid w:val="009E5CED"/>
    <w:rsid w:val="009E750B"/>
    <w:rsid w:val="009E7883"/>
    <w:rsid w:val="009E7948"/>
    <w:rsid w:val="009F38D3"/>
    <w:rsid w:val="009F432C"/>
    <w:rsid w:val="009F6449"/>
    <w:rsid w:val="00A00B82"/>
    <w:rsid w:val="00A0111C"/>
    <w:rsid w:val="00A01D8D"/>
    <w:rsid w:val="00A02390"/>
    <w:rsid w:val="00A05A62"/>
    <w:rsid w:val="00A06ED6"/>
    <w:rsid w:val="00A07CC1"/>
    <w:rsid w:val="00A145A6"/>
    <w:rsid w:val="00A14DAC"/>
    <w:rsid w:val="00A150CE"/>
    <w:rsid w:val="00A17377"/>
    <w:rsid w:val="00A213D3"/>
    <w:rsid w:val="00A21ED1"/>
    <w:rsid w:val="00A22D28"/>
    <w:rsid w:val="00A230F9"/>
    <w:rsid w:val="00A27AAF"/>
    <w:rsid w:val="00A320F6"/>
    <w:rsid w:val="00A33B9F"/>
    <w:rsid w:val="00A36B98"/>
    <w:rsid w:val="00A37B27"/>
    <w:rsid w:val="00A40EDF"/>
    <w:rsid w:val="00A428C9"/>
    <w:rsid w:val="00A42961"/>
    <w:rsid w:val="00A43ED7"/>
    <w:rsid w:val="00A447DC"/>
    <w:rsid w:val="00A455A3"/>
    <w:rsid w:val="00A46C91"/>
    <w:rsid w:val="00A5222A"/>
    <w:rsid w:val="00A52799"/>
    <w:rsid w:val="00A53463"/>
    <w:rsid w:val="00A53951"/>
    <w:rsid w:val="00A54BF1"/>
    <w:rsid w:val="00A54D80"/>
    <w:rsid w:val="00A56053"/>
    <w:rsid w:val="00A56EE9"/>
    <w:rsid w:val="00A57FAF"/>
    <w:rsid w:val="00A604C2"/>
    <w:rsid w:val="00A6198E"/>
    <w:rsid w:val="00A668C1"/>
    <w:rsid w:val="00A66B41"/>
    <w:rsid w:val="00A673A1"/>
    <w:rsid w:val="00A67885"/>
    <w:rsid w:val="00A73A8D"/>
    <w:rsid w:val="00A749C6"/>
    <w:rsid w:val="00A75CAD"/>
    <w:rsid w:val="00A767B7"/>
    <w:rsid w:val="00A80379"/>
    <w:rsid w:val="00A81086"/>
    <w:rsid w:val="00A81379"/>
    <w:rsid w:val="00A815EF"/>
    <w:rsid w:val="00A81CAC"/>
    <w:rsid w:val="00A83F09"/>
    <w:rsid w:val="00A84BE9"/>
    <w:rsid w:val="00A85F96"/>
    <w:rsid w:val="00A87E94"/>
    <w:rsid w:val="00A913E3"/>
    <w:rsid w:val="00A92892"/>
    <w:rsid w:val="00A94694"/>
    <w:rsid w:val="00A94755"/>
    <w:rsid w:val="00A949FA"/>
    <w:rsid w:val="00A97666"/>
    <w:rsid w:val="00AA2594"/>
    <w:rsid w:val="00AA282F"/>
    <w:rsid w:val="00AA2CE8"/>
    <w:rsid w:val="00AA2EE7"/>
    <w:rsid w:val="00AA5D7D"/>
    <w:rsid w:val="00AA64A2"/>
    <w:rsid w:val="00AA6F9D"/>
    <w:rsid w:val="00AB14F6"/>
    <w:rsid w:val="00AB4518"/>
    <w:rsid w:val="00AB4567"/>
    <w:rsid w:val="00AB5669"/>
    <w:rsid w:val="00AB6FF6"/>
    <w:rsid w:val="00AB76B3"/>
    <w:rsid w:val="00AC0238"/>
    <w:rsid w:val="00AC1CCD"/>
    <w:rsid w:val="00AC2156"/>
    <w:rsid w:val="00AD00CE"/>
    <w:rsid w:val="00AD4627"/>
    <w:rsid w:val="00AD54A2"/>
    <w:rsid w:val="00AD58B5"/>
    <w:rsid w:val="00AD5EDB"/>
    <w:rsid w:val="00AD775A"/>
    <w:rsid w:val="00AD7CD7"/>
    <w:rsid w:val="00AE0A43"/>
    <w:rsid w:val="00AE1413"/>
    <w:rsid w:val="00AE14A6"/>
    <w:rsid w:val="00AE1EC2"/>
    <w:rsid w:val="00AE2BA5"/>
    <w:rsid w:val="00AE3110"/>
    <w:rsid w:val="00AE36C6"/>
    <w:rsid w:val="00AE537D"/>
    <w:rsid w:val="00AE7328"/>
    <w:rsid w:val="00AE7C73"/>
    <w:rsid w:val="00AF0614"/>
    <w:rsid w:val="00AF064B"/>
    <w:rsid w:val="00AF0A47"/>
    <w:rsid w:val="00AF0F32"/>
    <w:rsid w:val="00AF16F4"/>
    <w:rsid w:val="00AF1F67"/>
    <w:rsid w:val="00AF20FB"/>
    <w:rsid w:val="00AF2807"/>
    <w:rsid w:val="00AF2A90"/>
    <w:rsid w:val="00AF6381"/>
    <w:rsid w:val="00AF64AE"/>
    <w:rsid w:val="00AF715B"/>
    <w:rsid w:val="00AF7DF6"/>
    <w:rsid w:val="00B02210"/>
    <w:rsid w:val="00B03ED3"/>
    <w:rsid w:val="00B03FD0"/>
    <w:rsid w:val="00B05834"/>
    <w:rsid w:val="00B05B6B"/>
    <w:rsid w:val="00B05FA9"/>
    <w:rsid w:val="00B07700"/>
    <w:rsid w:val="00B07B58"/>
    <w:rsid w:val="00B07C3F"/>
    <w:rsid w:val="00B07FCF"/>
    <w:rsid w:val="00B12153"/>
    <w:rsid w:val="00B130E3"/>
    <w:rsid w:val="00B16E40"/>
    <w:rsid w:val="00B20B51"/>
    <w:rsid w:val="00B241F2"/>
    <w:rsid w:val="00B2592C"/>
    <w:rsid w:val="00B274F3"/>
    <w:rsid w:val="00B30D2B"/>
    <w:rsid w:val="00B314AA"/>
    <w:rsid w:val="00B33AD6"/>
    <w:rsid w:val="00B34070"/>
    <w:rsid w:val="00B34809"/>
    <w:rsid w:val="00B34A1C"/>
    <w:rsid w:val="00B35B6B"/>
    <w:rsid w:val="00B35E83"/>
    <w:rsid w:val="00B36E1B"/>
    <w:rsid w:val="00B405A8"/>
    <w:rsid w:val="00B437E7"/>
    <w:rsid w:val="00B458D6"/>
    <w:rsid w:val="00B471D8"/>
    <w:rsid w:val="00B47536"/>
    <w:rsid w:val="00B50896"/>
    <w:rsid w:val="00B514F5"/>
    <w:rsid w:val="00B528E4"/>
    <w:rsid w:val="00B54AAF"/>
    <w:rsid w:val="00B574A4"/>
    <w:rsid w:val="00B601DF"/>
    <w:rsid w:val="00B60E5E"/>
    <w:rsid w:val="00B61E78"/>
    <w:rsid w:val="00B637A5"/>
    <w:rsid w:val="00B648E3"/>
    <w:rsid w:val="00B649E7"/>
    <w:rsid w:val="00B64CF3"/>
    <w:rsid w:val="00B650FA"/>
    <w:rsid w:val="00B667AB"/>
    <w:rsid w:val="00B67513"/>
    <w:rsid w:val="00B67CAA"/>
    <w:rsid w:val="00B70399"/>
    <w:rsid w:val="00B7572E"/>
    <w:rsid w:val="00B76010"/>
    <w:rsid w:val="00B77688"/>
    <w:rsid w:val="00B77945"/>
    <w:rsid w:val="00B81171"/>
    <w:rsid w:val="00B818D7"/>
    <w:rsid w:val="00B82A1B"/>
    <w:rsid w:val="00B83181"/>
    <w:rsid w:val="00B8470A"/>
    <w:rsid w:val="00B87944"/>
    <w:rsid w:val="00B915F4"/>
    <w:rsid w:val="00B91FC1"/>
    <w:rsid w:val="00B92286"/>
    <w:rsid w:val="00B92AD1"/>
    <w:rsid w:val="00B9339F"/>
    <w:rsid w:val="00B94D25"/>
    <w:rsid w:val="00BA0154"/>
    <w:rsid w:val="00BA04EA"/>
    <w:rsid w:val="00BA17AD"/>
    <w:rsid w:val="00BA4448"/>
    <w:rsid w:val="00BA48A1"/>
    <w:rsid w:val="00BA62CB"/>
    <w:rsid w:val="00BA7A33"/>
    <w:rsid w:val="00BB1FA0"/>
    <w:rsid w:val="00BB2A11"/>
    <w:rsid w:val="00BB3D27"/>
    <w:rsid w:val="00BB4C58"/>
    <w:rsid w:val="00BB5E50"/>
    <w:rsid w:val="00BB6E21"/>
    <w:rsid w:val="00BC0391"/>
    <w:rsid w:val="00BC09BA"/>
    <w:rsid w:val="00BC1BDC"/>
    <w:rsid w:val="00BC1C11"/>
    <w:rsid w:val="00BC5C27"/>
    <w:rsid w:val="00BC6778"/>
    <w:rsid w:val="00BC76B1"/>
    <w:rsid w:val="00BD0861"/>
    <w:rsid w:val="00BD2559"/>
    <w:rsid w:val="00BD3B8D"/>
    <w:rsid w:val="00BD49F5"/>
    <w:rsid w:val="00BD7249"/>
    <w:rsid w:val="00BE5146"/>
    <w:rsid w:val="00BE56C9"/>
    <w:rsid w:val="00BF3629"/>
    <w:rsid w:val="00BF3891"/>
    <w:rsid w:val="00BF3A4A"/>
    <w:rsid w:val="00BF3B50"/>
    <w:rsid w:val="00BF4529"/>
    <w:rsid w:val="00BF55C6"/>
    <w:rsid w:val="00BF72EF"/>
    <w:rsid w:val="00BF7B38"/>
    <w:rsid w:val="00C0069F"/>
    <w:rsid w:val="00C01D87"/>
    <w:rsid w:val="00C03A11"/>
    <w:rsid w:val="00C101B3"/>
    <w:rsid w:val="00C112A7"/>
    <w:rsid w:val="00C13120"/>
    <w:rsid w:val="00C1387A"/>
    <w:rsid w:val="00C1581B"/>
    <w:rsid w:val="00C17BFC"/>
    <w:rsid w:val="00C21E9D"/>
    <w:rsid w:val="00C2232E"/>
    <w:rsid w:val="00C22A09"/>
    <w:rsid w:val="00C22C29"/>
    <w:rsid w:val="00C22C60"/>
    <w:rsid w:val="00C22DE2"/>
    <w:rsid w:val="00C23B86"/>
    <w:rsid w:val="00C246EB"/>
    <w:rsid w:val="00C2547F"/>
    <w:rsid w:val="00C268EA"/>
    <w:rsid w:val="00C27F96"/>
    <w:rsid w:val="00C3212E"/>
    <w:rsid w:val="00C33EBC"/>
    <w:rsid w:val="00C346CF"/>
    <w:rsid w:val="00C34DA5"/>
    <w:rsid w:val="00C354CE"/>
    <w:rsid w:val="00C36437"/>
    <w:rsid w:val="00C402C2"/>
    <w:rsid w:val="00C403DB"/>
    <w:rsid w:val="00C4092B"/>
    <w:rsid w:val="00C425F4"/>
    <w:rsid w:val="00C45E35"/>
    <w:rsid w:val="00C47C14"/>
    <w:rsid w:val="00C54CD5"/>
    <w:rsid w:val="00C55C27"/>
    <w:rsid w:val="00C55E84"/>
    <w:rsid w:val="00C57B17"/>
    <w:rsid w:val="00C607E9"/>
    <w:rsid w:val="00C61D8F"/>
    <w:rsid w:val="00C64A2B"/>
    <w:rsid w:val="00C656CC"/>
    <w:rsid w:val="00C716D0"/>
    <w:rsid w:val="00C71FD0"/>
    <w:rsid w:val="00C759AD"/>
    <w:rsid w:val="00C7641F"/>
    <w:rsid w:val="00C80380"/>
    <w:rsid w:val="00C80FF4"/>
    <w:rsid w:val="00C82128"/>
    <w:rsid w:val="00C82C2B"/>
    <w:rsid w:val="00C83383"/>
    <w:rsid w:val="00C85DBD"/>
    <w:rsid w:val="00C90503"/>
    <w:rsid w:val="00C9098E"/>
    <w:rsid w:val="00C967CC"/>
    <w:rsid w:val="00C96B88"/>
    <w:rsid w:val="00C96FE7"/>
    <w:rsid w:val="00C97D75"/>
    <w:rsid w:val="00C97D9D"/>
    <w:rsid w:val="00CA0F8E"/>
    <w:rsid w:val="00CA15B5"/>
    <w:rsid w:val="00CA229A"/>
    <w:rsid w:val="00CA3E71"/>
    <w:rsid w:val="00CA440D"/>
    <w:rsid w:val="00CA5589"/>
    <w:rsid w:val="00CA6141"/>
    <w:rsid w:val="00CA624B"/>
    <w:rsid w:val="00CA7918"/>
    <w:rsid w:val="00CA7E0F"/>
    <w:rsid w:val="00CB1A6D"/>
    <w:rsid w:val="00CB384B"/>
    <w:rsid w:val="00CB48AE"/>
    <w:rsid w:val="00CB5026"/>
    <w:rsid w:val="00CB5956"/>
    <w:rsid w:val="00CB7A6B"/>
    <w:rsid w:val="00CB7B7C"/>
    <w:rsid w:val="00CC0555"/>
    <w:rsid w:val="00CC087B"/>
    <w:rsid w:val="00CC1AF2"/>
    <w:rsid w:val="00CC286C"/>
    <w:rsid w:val="00CC413A"/>
    <w:rsid w:val="00CC4691"/>
    <w:rsid w:val="00CC5C63"/>
    <w:rsid w:val="00CC6FEB"/>
    <w:rsid w:val="00CD107E"/>
    <w:rsid w:val="00CD3E7B"/>
    <w:rsid w:val="00CD4878"/>
    <w:rsid w:val="00CD74C8"/>
    <w:rsid w:val="00CD7D0F"/>
    <w:rsid w:val="00CE1964"/>
    <w:rsid w:val="00CE25A9"/>
    <w:rsid w:val="00CE4D6B"/>
    <w:rsid w:val="00CE6E83"/>
    <w:rsid w:val="00CE7E96"/>
    <w:rsid w:val="00CF0156"/>
    <w:rsid w:val="00CF4CEA"/>
    <w:rsid w:val="00CF6424"/>
    <w:rsid w:val="00CF69DA"/>
    <w:rsid w:val="00CF761A"/>
    <w:rsid w:val="00D0021C"/>
    <w:rsid w:val="00D037C8"/>
    <w:rsid w:val="00D048CA"/>
    <w:rsid w:val="00D05DD5"/>
    <w:rsid w:val="00D0741A"/>
    <w:rsid w:val="00D0781D"/>
    <w:rsid w:val="00D079A0"/>
    <w:rsid w:val="00D1095C"/>
    <w:rsid w:val="00D11F3B"/>
    <w:rsid w:val="00D15920"/>
    <w:rsid w:val="00D2168F"/>
    <w:rsid w:val="00D24888"/>
    <w:rsid w:val="00D2500E"/>
    <w:rsid w:val="00D25846"/>
    <w:rsid w:val="00D25F35"/>
    <w:rsid w:val="00D277D4"/>
    <w:rsid w:val="00D27A81"/>
    <w:rsid w:val="00D27C4F"/>
    <w:rsid w:val="00D322B2"/>
    <w:rsid w:val="00D3569A"/>
    <w:rsid w:val="00D36410"/>
    <w:rsid w:val="00D36779"/>
    <w:rsid w:val="00D376A1"/>
    <w:rsid w:val="00D42196"/>
    <w:rsid w:val="00D44527"/>
    <w:rsid w:val="00D448BC"/>
    <w:rsid w:val="00D44B06"/>
    <w:rsid w:val="00D466E5"/>
    <w:rsid w:val="00D4699D"/>
    <w:rsid w:val="00D47918"/>
    <w:rsid w:val="00D47E9B"/>
    <w:rsid w:val="00D529FA"/>
    <w:rsid w:val="00D52D12"/>
    <w:rsid w:val="00D53680"/>
    <w:rsid w:val="00D54FCA"/>
    <w:rsid w:val="00D55F32"/>
    <w:rsid w:val="00D57840"/>
    <w:rsid w:val="00D57C2B"/>
    <w:rsid w:val="00D61617"/>
    <w:rsid w:val="00D650BB"/>
    <w:rsid w:val="00D6772B"/>
    <w:rsid w:val="00D67BAF"/>
    <w:rsid w:val="00D70306"/>
    <w:rsid w:val="00D72817"/>
    <w:rsid w:val="00D733D2"/>
    <w:rsid w:val="00D73599"/>
    <w:rsid w:val="00D743D0"/>
    <w:rsid w:val="00D7696C"/>
    <w:rsid w:val="00D822F2"/>
    <w:rsid w:val="00D82A82"/>
    <w:rsid w:val="00D82F3D"/>
    <w:rsid w:val="00D836BF"/>
    <w:rsid w:val="00D83A12"/>
    <w:rsid w:val="00D87E1A"/>
    <w:rsid w:val="00D91E75"/>
    <w:rsid w:val="00D93841"/>
    <w:rsid w:val="00D93E3A"/>
    <w:rsid w:val="00DA1F0F"/>
    <w:rsid w:val="00DA2670"/>
    <w:rsid w:val="00DA27F5"/>
    <w:rsid w:val="00DA3292"/>
    <w:rsid w:val="00DA570B"/>
    <w:rsid w:val="00DA5B97"/>
    <w:rsid w:val="00DB0647"/>
    <w:rsid w:val="00DB1827"/>
    <w:rsid w:val="00DB3476"/>
    <w:rsid w:val="00DB5E17"/>
    <w:rsid w:val="00DB6361"/>
    <w:rsid w:val="00DB665C"/>
    <w:rsid w:val="00DB7580"/>
    <w:rsid w:val="00DB7AE0"/>
    <w:rsid w:val="00DC1301"/>
    <w:rsid w:val="00DC3F55"/>
    <w:rsid w:val="00DD01DB"/>
    <w:rsid w:val="00DD0406"/>
    <w:rsid w:val="00DD0B2E"/>
    <w:rsid w:val="00DD114A"/>
    <w:rsid w:val="00DD25FC"/>
    <w:rsid w:val="00DD5CA2"/>
    <w:rsid w:val="00DD76E0"/>
    <w:rsid w:val="00DE0FAE"/>
    <w:rsid w:val="00DE2B4D"/>
    <w:rsid w:val="00DE2F41"/>
    <w:rsid w:val="00DE5F5A"/>
    <w:rsid w:val="00DE7EDC"/>
    <w:rsid w:val="00DF0185"/>
    <w:rsid w:val="00DF0CAC"/>
    <w:rsid w:val="00DF24C1"/>
    <w:rsid w:val="00DF4CD7"/>
    <w:rsid w:val="00DF5FE3"/>
    <w:rsid w:val="00E020E7"/>
    <w:rsid w:val="00E0215B"/>
    <w:rsid w:val="00E03CB3"/>
    <w:rsid w:val="00E0789E"/>
    <w:rsid w:val="00E07B73"/>
    <w:rsid w:val="00E13776"/>
    <w:rsid w:val="00E1510F"/>
    <w:rsid w:val="00E15DAD"/>
    <w:rsid w:val="00E16729"/>
    <w:rsid w:val="00E212DB"/>
    <w:rsid w:val="00E21B1F"/>
    <w:rsid w:val="00E23E0D"/>
    <w:rsid w:val="00E24A4F"/>
    <w:rsid w:val="00E253CA"/>
    <w:rsid w:val="00E2621B"/>
    <w:rsid w:val="00E27D33"/>
    <w:rsid w:val="00E27E2D"/>
    <w:rsid w:val="00E31A4A"/>
    <w:rsid w:val="00E32858"/>
    <w:rsid w:val="00E352A6"/>
    <w:rsid w:val="00E372A5"/>
    <w:rsid w:val="00E40D3C"/>
    <w:rsid w:val="00E44340"/>
    <w:rsid w:val="00E46B8C"/>
    <w:rsid w:val="00E470CE"/>
    <w:rsid w:val="00E500F7"/>
    <w:rsid w:val="00E55834"/>
    <w:rsid w:val="00E62C74"/>
    <w:rsid w:val="00E63C39"/>
    <w:rsid w:val="00E648A9"/>
    <w:rsid w:val="00E65BAB"/>
    <w:rsid w:val="00E65D16"/>
    <w:rsid w:val="00E66830"/>
    <w:rsid w:val="00E70712"/>
    <w:rsid w:val="00E72EA4"/>
    <w:rsid w:val="00E7786B"/>
    <w:rsid w:val="00E803C8"/>
    <w:rsid w:val="00E8170A"/>
    <w:rsid w:val="00E85578"/>
    <w:rsid w:val="00E87BF6"/>
    <w:rsid w:val="00E91AE6"/>
    <w:rsid w:val="00E9322D"/>
    <w:rsid w:val="00E944C4"/>
    <w:rsid w:val="00E95B45"/>
    <w:rsid w:val="00E96A5B"/>
    <w:rsid w:val="00EA0FAE"/>
    <w:rsid w:val="00EA1DB7"/>
    <w:rsid w:val="00EA54FB"/>
    <w:rsid w:val="00EB0553"/>
    <w:rsid w:val="00EB15F4"/>
    <w:rsid w:val="00EB174B"/>
    <w:rsid w:val="00EB3917"/>
    <w:rsid w:val="00EB4196"/>
    <w:rsid w:val="00EB48C4"/>
    <w:rsid w:val="00EB4EF0"/>
    <w:rsid w:val="00EB5D84"/>
    <w:rsid w:val="00EB6AEE"/>
    <w:rsid w:val="00EC02B4"/>
    <w:rsid w:val="00EC06E3"/>
    <w:rsid w:val="00EC1893"/>
    <w:rsid w:val="00EC4117"/>
    <w:rsid w:val="00EC5216"/>
    <w:rsid w:val="00EC59FE"/>
    <w:rsid w:val="00EC665D"/>
    <w:rsid w:val="00EC6898"/>
    <w:rsid w:val="00EC6D2B"/>
    <w:rsid w:val="00ED1146"/>
    <w:rsid w:val="00ED13E2"/>
    <w:rsid w:val="00ED2951"/>
    <w:rsid w:val="00ED2C50"/>
    <w:rsid w:val="00EE123F"/>
    <w:rsid w:val="00EE25E2"/>
    <w:rsid w:val="00EE2910"/>
    <w:rsid w:val="00EE3B29"/>
    <w:rsid w:val="00EE3F41"/>
    <w:rsid w:val="00EE4DF6"/>
    <w:rsid w:val="00EF1E69"/>
    <w:rsid w:val="00EF44EC"/>
    <w:rsid w:val="00EF6037"/>
    <w:rsid w:val="00EF6DFD"/>
    <w:rsid w:val="00EF7A9B"/>
    <w:rsid w:val="00EF7EE7"/>
    <w:rsid w:val="00F04540"/>
    <w:rsid w:val="00F06050"/>
    <w:rsid w:val="00F061E5"/>
    <w:rsid w:val="00F06476"/>
    <w:rsid w:val="00F0783B"/>
    <w:rsid w:val="00F10A82"/>
    <w:rsid w:val="00F12666"/>
    <w:rsid w:val="00F1279D"/>
    <w:rsid w:val="00F15F3F"/>
    <w:rsid w:val="00F17532"/>
    <w:rsid w:val="00F17F19"/>
    <w:rsid w:val="00F203BB"/>
    <w:rsid w:val="00F22226"/>
    <w:rsid w:val="00F24FA0"/>
    <w:rsid w:val="00F255A2"/>
    <w:rsid w:val="00F268C2"/>
    <w:rsid w:val="00F26982"/>
    <w:rsid w:val="00F30861"/>
    <w:rsid w:val="00F33721"/>
    <w:rsid w:val="00F352B7"/>
    <w:rsid w:val="00F35427"/>
    <w:rsid w:val="00F35FA0"/>
    <w:rsid w:val="00F37FD1"/>
    <w:rsid w:val="00F40E3F"/>
    <w:rsid w:val="00F415F5"/>
    <w:rsid w:val="00F41A34"/>
    <w:rsid w:val="00F432F6"/>
    <w:rsid w:val="00F43BD9"/>
    <w:rsid w:val="00F4506D"/>
    <w:rsid w:val="00F45274"/>
    <w:rsid w:val="00F45B67"/>
    <w:rsid w:val="00F46570"/>
    <w:rsid w:val="00F46747"/>
    <w:rsid w:val="00F46FB0"/>
    <w:rsid w:val="00F60D25"/>
    <w:rsid w:val="00F62E4C"/>
    <w:rsid w:val="00F63C65"/>
    <w:rsid w:val="00F64A4C"/>
    <w:rsid w:val="00F66FF6"/>
    <w:rsid w:val="00F72845"/>
    <w:rsid w:val="00F7435C"/>
    <w:rsid w:val="00F80AB7"/>
    <w:rsid w:val="00F82ACB"/>
    <w:rsid w:val="00F836C9"/>
    <w:rsid w:val="00F900AE"/>
    <w:rsid w:val="00F90BE8"/>
    <w:rsid w:val="00F93A03"/>
    <w:rsid w:val="00F94039"/>
    <w:rsid w:val="00F949EB"/>
    <w:rsid w:val="00F95DEB"/>
    <w:rsid w:val="00F9661B"/>
    <w:rsid w:val="00FA2A83"/>
    <w:rsid w:val="00FA4C2B"/>
    <w:rsid w:val="00FA6859"/>
    <w:rsid w:val="00FA74A7"/>
    <w:rsid w:val="00FA7EE3"/>
    <w:rsid w:val="00FB284E"/>
    <w:rsid w:val="00FB2C86"/>
    <w:rsid w:val="00FB3EA7"/>
    <w:rsid w:val="00FB442D"/>
    <w:rsid w:val="00FB5826"/>
    <w:rsid w:val="00FC3112"/>
    <w:rsid w:val="00FC4BB4"/>
    <w:rsid w:val="00FC6081"/>
    <w:rsid w:val="00FC79F4"/>
    <w:rsid w:val="00FC7EC9"/>
    <w:rsid w:val="00FD0079"/>
    <w:rsid w:val="00FD0D80"/>
    <w:rsid w:val="00FD0E30"/>
    <w:rsid w:val="00FD379F"/>
    <w:rsid w:val="00FD6258"/>
    <w:rsid w:val="00FD6460"/>
    <w:rsid w:val="00FD7162"/>
    <w:rsid w:val="00FD7CFC"/>
    <w:rsid w:val="00FE0FCF"/>
    <w:rsid w:val="00FE2BA9"/>
    <w:rsid w:val="00FE4267"/>
    <w:rsid w:val="00FE5546"/>
    <w:rsid w:val="00FF184A"/>
    <w:rsid w:val="00FF21C9"/>
    <w:rsid w:val="00FF3495"/>
    <w:rsid w:val="00FF3D28"/>
    <w:rsid w:val="00FF3F94"/>
    <w:rsid w:val="00FF42FB"/>
    <w:rsid w:val="00FF7A6F"/>
    <w:rsid w:val="017F9FED"/>
    <w:rsid w:val="069D8A20"/>
    <w:rsid w:val="0D1673BE"/>
    <w:rsid w:val="0F1C7DDB"/>
    <w:rsid w:val="1152377B"/>
    <w:rsid w:val="1168E0A8"/>
    <w:rsid w:val="12B80409"/>
    <w:rsid w:val="13EFEEFE"/>
    <w:rsid w:val="1BCF9943"/>
    <w:rsid w:val="1C64AA57"/>
    <w:rsid w:val="1E9CF3F3"/>
    <w:rsid w:val="20D65F8C"/>
    <w:rsid w:val="21481EBD"/>
    <w:rsid w:val="24CDAF77"/>
    <w:rsid w:val="2579835F"/>
    <w:rsid w:val="2C191233"/>
    <w:rsid w:val="2D74F414"/>
    <w:rsid w:val="2E964F60"/>
    <w:rsid w:val="326F2B5A"/>
    <w:rsid w:val="34952C6E"/>
    <w:rsid w:val="39DE1620"/>
    <w:rsid w:val="3A393BB3"/>
    <w:rsid w:val="3C742457"/>
    <w:rsid w:val="3C88327D"/>
    <w:rsid w:val="3CF85679"/>
    <w:rsid w:val="3EA5A0F4"/>
    <w:rsid w:val="3F6E5013"/>
    <w:rsid w:val="3FDFCC9B"/>
    <w:rsid w:val="4205EF81"/>
    <w:rsid w:val="46B0B2D9"/>
    <w:rsid w:val="48DD4663"/>
    <w:rsid w:val="4AF00370"/>
    <w:rsid w:val="4AFF5529"/>
    <w:rsid w:val="4B227F42"/>
    <w:rsid w:val="4BFCE707"/>
    <w:rsid w:val="4E40F7A7"/>
    <w:rsid w:val="4EA29C61"/>
    <w:rsid w:val="4F9AC671"/>
    <w:rsid w:val="572D7EBC"/>
    <w:rsid w:val="598C1E4D"/>
    <w:rsid w:val="5DAF0E03"/>
    <w:rsid w:val="5DE09C50"/>
    <w:rsid w:val="5F4ADE64"/>
    <w:rsid w:val="63EA956F"/>
    <w:rsid w:val="656D2B6F"/>
    <w:rsid w:val="6C10390F"/>
    <w:rsid w:val="73A0CCD0"/>
    <w:rsid w:val="7423BEF3"/>
    <w:rsid w:val="7433FCD7"/>
    <w:rsid w:val="74A2C33E"/>
    <w:rsid w:val="7780D553"/>
    <w:rsid w:val="780B5AA9"/>
    <w:rsid w:val="7A9279FE"/>
    <w:rsid w:val="7C55B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01D8"/>
  <w15:chartTrackingRefBased/>
  <w15:docId w15:val="{C72D53C6-9627-4D91-B966-D1EF15C1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35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35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405A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5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35D33"/>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935D33"/>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935D33"/>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B405A8"/>
    <w:rPr>
      <w:rFonts w:asciiTheme="majorHAnsi" w:eastAsiaTheme="majorEastAsia" w:hAnsiTheme="majorHAnsi" w:cstheme="majorBidi"/>
      <w:color w:val="1F3763" w:themeColor="accent1" w:themeShade="7F"/>
    </w:rPr>
  </w:style>
  <w:style w:type="paragraph" w:styleId="a5">
    <w:name w:val="List Paragraph"/>
    <w:basedOn w:val="a"/>
    <w:uiPriority w:val="34"/>
    <w:qFormat/>
    <w:rsid w:val="005367CC"/>
    <w:pPr>
      <w:ind w:left="720"/>
      <w:contextualSpacing/>
    </w:pPr>
  </w:style>
  <w:style w:type="character" w:styleId="a6">
    <w:name w:val="annotation reference"/>
    <w:basedOn w:val="a0"/>
    <w:uiPriority w:val="99"/>
    <w:semiHidden/>
    <w:unhideWhenUsed/>
    <w:rsid w:val="001B19DA"/>
    <w:rPr>
      <w:sz w:val="16"/>
      <w:szCs w:val="16"/>
    </w:rPr>
  </w:style>
  <w:style w:type="paragraph" w:styleId="a7">
    <w:name w:val="annotation text"/>
    <w:basedOn w:val="a"/>
    <w:link w:val="a8"/>
    <w:uiPriority w:val="99"/>
    <w:unhideWhenUsed/>
    <w:rsid w:val="001B19DA"/>
    <w:pPr>
      <w:spacing w:line="240" w:lineRule="auto"/>
    </w:pPr>
    <w:rPr>
      <w:sz w:val="20"/>
      <w:szCs w:val="20"/>
    </w:rPr>
  </w:style>
  <w:style w:type="character" w:customStyle="1" w:styleId="a8">
    <w:name w:val="טקסט הערה תו"/>
    <w:basedOn w:val="a0"/>
    <w:link w:val="a7"/>
    <w:uiPriority w:val="99"/>
    <w:rsid w:val="001B19DA"/>
    <w:rPr>
      <w:sz w:val="20"/>
      <w:szCs w:val="20"/>
    </w:rPr>
  </w:style>
  <w:style w:type="paragraph" w:styleId="a9">
    <w:name w:val="annotation subject"/>
    <w:basedOn w:val="a7"/>
    <w:next w:val="a7"/>
    <w:link w:val="aa"/>
    <w:uiPriority w:val="99"/>
    <w:semiHidden/>
    <w:unhideWhenUsed/>
    <w:rsid w:val="001B19DA"/>
    <w:rPr>
      <w:b/>
      <w:bCs/>
    </w:rPr>
  </w:style>
  <w:style w:type="character" w:customStyle="1" w:styleId="aa">
    <w:name w:val="נושא הערה תו"/>
    <w:basedOn w:val="a8"/>
    <w:link w:val="a9"/>
    <w:uiPriority w:val="99"/>
    <w:semiHidden/>
    <w:rsid w:val="001B19DA"/>
    <w:rPr>
      <w:b/>
      <w:bCs/>
      <w:sz w:val="20"/>
      <w:szCs w:val="20"/>
    </w:rPr>
  </w:style>
  <w:style w:type="paragraph" w:styleId="ab">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c"/>
    <w:uiPriority w:val="99"/>
    <w:unhideWhenUsed/>
    <w:rsid w:val="005303E7"/>
    <w:pPr>
      <w:spacing w:after="0" w:line="240" w:lineRule="auto"/>
    </w:pPr>
    <w:rPr>
      <w:sz w:val="20"/>
      <w:szCs w:val="20"/>
    </w:rPr>
  </w:style>
  <w:style w:type="character" w:customStyle="1" w:styleId="ac">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b"/>
    <w:uiPriority w:val="99"/>
    <w:rsid w:val="005303E7"/>
    <w:rPr>
      <w:sz w:val="20"/>
      <w:szCs w:val="20"/>
    </w:rPr>
  </w:style>
  <w:style w:type="character" w:styleId="ad">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5303E7"/>
    <w:rPr>
      <w:vertAlign w:val="superscript"/>
    </w:rPr>
  </w:style>
  <w:style w:type="paragraph" w:styleId="ae">
    <w:name w:val="caption"/>
    <w:basedOn w:val="a"/>
    <w:next w:val="a"/>
    <w:uiPriority w:val="35"/>
    <w:unhideWhenUsed/>
    <w:qFormat/>
    <w:rsid w:val="003D5166"/>
    <w:pPr>
      <w:spacing w:after="200" w:line="240" w:lineRule="auto"/>
    </w:pPr>
    <w:rPr>
      <w:i/>
      <w:iCs/>
      <w:color w:val="44546A" w:themeColor="text2"/>
      <w:sz w:val="18"/>
      <w:szCs w:val="18"/>
    </w:rPr>
  </w:style>
  <w:style w:type="paragraph" w:styleId="af">
    <w:name w:val="Balloon Text"/>
    <w:basedOn w:val="a"/>
    <w:link w:val="af0"/>
    <w:uiPriority w:val="99"/>
    <w:semiHidden/>
    <w:unhideWhenUsed/>
    <w:rsid w:val="0000353E"/>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00353E"/>
    <w:rPr>
      <w:rFonts w:ascii="Tahoma" w:hAnsi="Tahoma" w:cs="Tahoma"/>
      <w:sz w:val="18"/>
      <w:szCs w:val="18"/>
    </w:rPr>
  </w:style>
  <w:style w:type="paragraph" w:styleId="af1">
    <w:name w:val="Revision"/>
    <w:hidden/>
    <w:uiPriority w:val="99"/>
    <w:semiHidden/>
    <w:rsid w:val="008A6FA7"/>
    <w:pPr>
      <w:spacing w:after="0" w:line="240" w:lineRule="auto"/>
    </w:pPr>
  </w:style>
  <w:style w:type="paragraph" w:styleId="NormalWeb">
    <w:name w:val="Normal (Web)"/>
    <w:basedOn w:val="a"/>
    <w:uiPriority w:val="99"/>
    <w:semiHidden/>
    <w:unhideWhenUsed/>
    <w:rsid w:val="00986DBA"/>
    <w:pPr>
      <w:bidi w:val="0"/>
      <w:spacing w:before="100" w:beforeAutospacing="1" w:after="100" w:afterAutospacing="1" w:line="240" w:lineRule="auto"/>
    </w:pPr>
    <w:rPr>
      <w:rFonts w:eastAsia="Times New Roman" w:cs="Times New Roman"/>
    </w:rPr>
  </w:style>
  <w:style w:type="paragraph" w:styleId="af2">
    <w:name w:val="TOC Heading"/>
    <w:basedOn w:val="1"/>
    <w:next w:val="a"/>
    <w:uiPriority w:val="39"/>
    <w:unhideWhenUsed/>
    <w:qFormat/>
    <w:rsid w:val="00986DBA"/>
    <w:pPr>
      <w:bidi w:val="0"/>
      <w:outlineLvl w:val="9"/>
    </w:pPr>
    <w:rPr>
      <w:lang w:bidi="ar-SA"/>
    </w:rPr>
  </w:style>
  <w:style w:type="paragraph" w:styleId="TOC1">
    <w:name w:val="toc 1"/>
    <w:basedOn w:val="a"/>
    <w:next w:val="a"/>
    <w:autoRedefine/>
    <w:uiPriority w:val="39"/>
    <w:unhideWhenUsed/>
    <w:rsid w:val="00986DBA"/>
    <w:pPr>
      <w:spacing w:after="100"/>
    </w:pPr>
  </w:style>
  <w:style w:type="paragraph" w:styleId="TOC2">
    <w:name w:val="toc 2"/>
    <w:basedOn w:val="a"/>
    <w:next w:val="a"/>
    <w:autoRedefine/>
    <w:uiPriority w:val="39"/>
    <w:unhideWhenUsed/>
    <w:rsid w:val="00986DBA"/>
    <w:pPr>
      <w:spacing w:after="100"/>
      <w:ind w:left="240"/>
    </w:pPr>
  </w:style>
  <w:style w:type="character" w:styleId="Hyperlink">
    <w:name w:val="Hyperlink"/>
    <w:basedOn w:val="a0"/>
    <w:uiPriority w:val="99"/>
    <w:unhideWhenUsed/>
    <w:rsid w:val="00986DBA"/>
    <w:rPr>
      <w:color w:val="0563C1" w:themeColor="hyperlink"/>
      <w:u w:val="single"/>
    </w:rPr>
  </w:style>
  <w:style w:type="paragraph" w:styleId="af3">
    <w:name w:val="header"/>
    <w:basedOn w:val="a"/>
    <w:link w:val="af4"/>
    <w:uiPriority w:val="99"/>
    <w:unhideWhenUsed/>
    <w:rsid w:val="008E36F8"/>
    <w:pPr>
      <w:tabs>
        <w:tab w:val="center" w:pos="4513"/>
        <w:tab w:val="right" w:pos="9026"/>
      </w:tabs>
      <w:spacing w:after="0" w:line="240" w:lineRule="auto"/>
    </w:pPr>
  </w:style>
  <w:style w:type="character" w:customStyle="1" w:styleId="af4">
    <w:name w:val="כותרת עליונה תו"/>
    <w:basedOn w:val="a0"/>
    <w:link w:val="af3"/>
    <w:uiPriority w:val="99"/>
    <w:rsid w:val="008E36F8"/>
  </w:style>
  <w:style w:type="paragraph" w:styleId="af5">
    <w:name w:val="footer"/>
    <w:basedOn w:val="a"/>
    <w:link w:val="af6"/>
    <w:uiPriority w:val="99"/>
    <w:unhideWhenUsed/>
    <w:rsid w:val="008E36F8"/>
    <w:pPr>
      <w:tabs>
        <w:tab w:val="center" w:pos="4513"/>
        <w:tab w:val="right" w:pos="9026"/>
      </w:tabs>
      <w:spacing w:after="0" w:line="240" w:lineRule="auto"/>
    </w:pPr>
  </w:style>
  <w:style w:type="character" w:customStyle="1" w:styleId="af6">
    <w:name w:val="כותרת תחתונה תו"/>
    <w:basedOn w:val="a0"/>
    <w:link w:val="af5"/>
    <w:uiPriority w:val="99"/>
    <w:rsid w:val="008E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27896">
      <w:bodyDiv w:val="1"/>
      <w:marLeft w:val="0"/>
      <w:marRight w:val="0"/>
      <w:marTop w:val="0"/>
      <w:marBottom w:val="0"/>
      <w:divBdr>
        <w:top w:val="none" w:sz="0" w:space="0" w:color="auto"/>
        <w:left w:val="none" w:sz="0" w:space="0" w:color="auto"/>
        <w:bottom w:val="none" w:sz="0" w:space="0" w:color="auto"/>
        <w:right w:val="none" w:sz="0" w:space="0" w:color="auto"/>
      </w:divBdr>
    </w:div>
    <w:div w:id="474953965">
      <w:bodyDiv w:val="1"/>
      <w:marLeft w:val="0"/>
      <w:marRight w:val="0"/>
      <w:marTop w:val="0"/>
      <w:marBottom w:val="0"/>
      <w:divBdr>
        <w:top w:val="none" w:sz="0" w:space="0" w:color="auto"/>
        <w:left w:val="none" w:sz="0" w:space="0" w:color="auto"/>
        <w:bottom w:val="none" w:sz="0" w:space="0" w:color="auto"/>
        <w:right w:val="none" w:sz="0" w:space="0" w:color="auto"/>
      </w:divBdr>
    </w:div>
    <w:div w:id="1197884774">
      <w:bodyDiv w:val="1"/>
      <w:marLeft w:val="0"/>
      <w:marRight w:val="0"/>
      <w:marTop w:val="0"/>
      <w:marBottom w:val="0"/>
      <w:divBdr>
        <w:top w:val="none" w:sz="0" w:space="0" w:color="auto"/>
        <w:left w:val="none" w:sz="0" w:space="0" w:color="auto"/>
        <w:bottom w:val="none" w:sz="0" w:space="0" w:color="auto"/>
        <w:right w:val="none" w:sz="0" w:space="0" w:color="auto"/>
      </w:divBdr>
    </w:div>
    <w:div w:id="1728649740">
      <w:bodyDiv w:val="1"/>
      <w:marLeft w:val="0"/>
      <w:marRight w:val="0"/>
      <w:marTop w:val="0"/>
      <w:marBottom w:val="0"/>
      <w:divBdr>
        <w:top w:val="none" w:sz="0" w:space="0" w:color="auto"/>
        <w:left w:val="none" w:sz="0" w:space="0" w:color="auto"/>
        <w:bottom w:val="none" w:sz="0" w:space="0" w:color="auto"/>
        <w:right w:val="none" w:sz="0" w:space="0" w:color="auto"/>
      </w:divBdr>
    </w:div>
    <w:div w:id="20675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D68D6-DBFC-48AB-B39C-4EA88A5CEE78}"/>
</file>

<file path=customXml/itemProps2.xml><?xml version="1.0" encoding="utf-8"?>
<ds:datastoreItem xmlns:ds="http://schemas.openxmlformats.org/officeDocument/2006/customXml" ds:itemID="{E5297527-4220-4A09-B8A0-97446986FC5C}"/>
</file>

<file path=customXml/itemProps3.xml><?xml version="1.0" encoding="utf-8"?>
<ds:datastoreItem xmlns:ds="http://schemas.openxmlformats.org/officeDocument/2006/customXml" ds:itemID="{7083ECA2-42A9-4B62-B5A4-D151A1891824}"/>
</file>

<file path=customXml/itemProps4.xml><?xml version="1.0" encoding="utf-8"?>
<ds:datastoreItem xmlns:ds="http://schemas.openxmlformats.org/officeDocument/2006/customXml" ds:itemID="{74CA34C7-8F85-4A1A-B82E-EE11232CF317}"/>
</file>

<file path=docProps/app.xml><?xml version="1.0" encoding="utf-8"?>
<Properties xmlns="http://schemas.openxmlformats.org/officeDocument/2006/extended-properties" xmlns:vt="http://schemas.openxmlformats.org/officeDocument/2006/docPropsVTypes">
  <Template>Normal.dotm</Template>
  <TotalTime>14</TotalTime>
  <Pages>8</Pages>
  <Words>1748</Words>
  <Characters>8744</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מיטל רולניצקי</cp:lastModifiedBy>
  <cp:revision>3</cp:revision>
  <dcterms:created xsi:type="dcterms:W3CDTF">2022-03-21T09:07:00Z</dcterms:created>
  <dcterms:modified xsi:type="dcterms:W3CDTF">2022-03-21T09:23:00Z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