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A116A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EB2C81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EB2C81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EB2C81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EB2C81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‏כ"ג אייר,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EB2C81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‏21 מאי,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Default="00EB2C81" w:rsidP="008A56F8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>
        <w:rPr>
          <w:rFonts w:asciiTheme="minorHAnsi" w:hAnsiTheme="minorHAnsi" w:cstheme="minorHAnsi" w:hint="cs"/>
          <w:rtl/>
          <w:lang w:bidi="ar-SA"/>
        </w:rPr>
        <w:t>بيان صحفي:</w:t>
      </w:r>
    </w:p>
    <w:p w:rsidR="005E5894" w:rsidRDefault="00EB2C81" w:rsidP="00B71396">
      <w:pPr>
        <w:pStyle w:val="Title"/>
        <w:rPr>
          <w:rFonts w:asciiTheme="minorHAnsi" w:hAnsiTheme="minorHAnsi" w:cstheme="minorHAnsi"/>
          <w:sz w:val="24"/>
          <w:szCs w:val="24"/>
          <w:u w:val="single"/>
          <w:rtl/>
          <w:lang w:bidi="ar-SA"/>
        </w:rPr>
      </w:pPr>
      <w:bookmarkStart w:id="0" w:name="_GoBack"/>
      <w:r>
        <w:rPr>
          <w:rFonts w:asciiTheme="minorHAnsi" w:hAnsiTheme="minorHAnsi" w:cstheme="minorHAnsi" w:hint="cs"/>
          <w:sz w:val="24"/>
          <w:szCs w:val="24"/>
          <w:u w:val="single"/>
          <w:rtl/>
          <w:lang w:bidi="ar-SA"/>
        </w:rPr>
        <w:t>توقعات التضخم الما</w:t>
      </w:r>
      <w:r w:rsidR="00C1547C">
        <w:rPr>
          <w:rFonts w:asciiTheme="minorHAnsi" w:hAnsiTheme="minorHAnsi" w:cstheme="minorHAnsi" w:hint="cs"/>
          <w:sz w:val="24"/>
          <w:szCs w:val="24"/>
          <w:u w:val="single"/>
          <w:rtl/>
          <w:lang w:bidi="ar-SA"/>
        </w:rPr>
        <w:t>ل</w:t>
      </w:r>
      <w:r>
        <w:rPr>
          <w:rFonts w:asciiTheme="minorHAnsi" w:hAnsiTheme="minorHAnsi" w:cstheme="minorHAnsi" w:hint="cs"/>
          <w:sz w:val="24"/>
          <w:szCs w:val="24"/>
          <w:u w:val="single"/>
          <w:rtl/>
          <w:lang w:bidi="ar-SA"/>
        </w:rPr>
        <w:t>ي من ال</w:t>
      </w:r>
      <w:r w:rsidR="003466D7">
        <w:rPr>
          <w:rFonts w:asciiTheme="minorHAnsi" w:hAnsiTheme="minorHAnsi" w:cstheme="minorHAnsi" w:hint="cs"/>
          <w:sz w:val="24"/>
          <w:szCs w:val="24"/>
          <w:u w:val="single"/>
          <w:rtl/>
          <w:lang w:bidi="ar-SA"/>
        </w:rPr>
        <w:t>م</w:t>
      </w:r>
      <w:r>
        <w:rPr>
          <w:rFonts w:asciiTheme="minorHAnsi" w:hAnsiTheme="minorHAnsi" w:cstheme="minorHAnsi" w:hint="cs"/>
          <w:sz w:val="24"/>
          <w:szCs w:val="24"/>
          <w:u w:val="single"/>
          <w:rtl/>
          <w:lang w:bidi="ar-SA"/>
        </w:rPr>
        <w:t xml:space="preserve">صادر المختلفة </w:t>
      </w:r>
    </w:p>
    <w:p w:rsidR="00B71396" w:rsidRPr="00B71396" w:rsidRDefault="00B71396" w:rsidP="003466D7">
      <w:pPr>
        <w:bidi/>
        <w:rPr>
          <w:rtl/>
          <w:lang w:bidi="ar-SA"/>
        </w:rPr>
      </w:pPr>
    </w:p>
    <w:tbl>
      <w:tblPr>
        <w:tblpPr w:leftFromText="180" w:rightFromText="180" w:vertAnchor="text" w:horzAnchor="margin" w:tblpXSpec="center" w:tblpY="166"/>
        <w:bidiVisual/>
        <w:tblW w:w="1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214"/>
        <w:gridCol w:w="1276"/>
        <w:gridCol w:w="1276"/>
        <w:gridCol w:w="1134"/>
        <w:gridCol w:w="1275"/>
        <w:gridCol w:w="993"/>
        <w:gridCol w:w="992"/>
        <w:gridCol w:w="993"/>
      </w:tblGrid>
      <w:tr w:rsidR="007A116A" w:rsidTr="00C1547C">
        <w:trPr>
          <w:cantSplit/>
          <w:trHeight w:val="88"/>
        </w:trPr>
        <w:tc>
          <w:tcPr>
            <w:tcW w:w="1125" w:type="dxa"/>
            <w:vAlign w:val="bottom"/>
          </w:tcPr>
          <w:p w:rsidR="005E5894" w:rsidRPr="00BD2C74" w:rsidRDefault="005E5894" w:rsidP="002C3647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من رأس المال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Ref459297858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للسنة الأولى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من سوق رأس المال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Ref459297858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للسنة الثانية (مستقبلية)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من سوق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 xml:space="preserve"> رأس المال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Ref459297858 \r \h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 xml:space="preserve"> للسنة الثالثة (مستقبلية)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C1547C">
            <w:pPr>
              <w:bidi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من سوق رأس المال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 xml:space="preserve"> 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Ref459297858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ل</w:t>
            </w:r>
            <w:r w:rsidR="003B15C0"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ـ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5-</w:t>
            </w:r>
            <w:r w:rsidR="003B15C0" w:rsidRPr="00BD2C74">
              <w:rPr>
                <w:rFonts w:asciiTheme="minorHAnsi" w:hAnsiTheme="minorHAnsi" w:cstheme="minorHAnsi" w:hint="cs"/>
                <w:b/>
                <w:bCs/>
                <w:rtl/>
              </w:rPr>
              <w:t>3</w:t>
            </w:r>
            <w:r w:rsidR="003B15C0" w:rsidRPr="00BD2C74"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 xml:space="preserve"> سنوات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(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مستقبلية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)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Ref459297924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من سوق رأس المال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 xml:space="preserve"> 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Ref459297858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لخمس سنوات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من سوق رأس المال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 xml:space="preserve"> 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Ref459297858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لـ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10-5 </w:t>
            </w:r>
            <w:r w:rsidRPr="00BD2C7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D2C74"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 xml:space="preserve"> سنوات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(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مستقبلية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)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 xml:space="preserve"> 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 xml:space="preserve"> REF _Ref459297936 \r \h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متوسط التوقعات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Ref459297946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4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  <w:r w:rsidR="00C1547C"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التضخم التالي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 xml:space="preserve">لـ 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12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شهرًا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القادمة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لسنة مشتقة من الفوائد الداخلية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Ref459297953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\*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</w:rPr>
              <w:t>5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التوقعات لسنة من متنبئي التضخم المالي</w:t>
            </w:r>
            <w:r w:rsidRPr="00BD2C74">
              <w:rPr>
                <w:rFonts w:asciiTheme="minorHAnsi" w:hAnsiTheme="minorHAnsi" w:cstheme="minorHAnsi"/>
                <w:b/>
                <w:bCs/>
                <w:vertAlign w:val="superscript"/>
                <w:rtl/>
              </w:rPr>
              <w:t>7</w:t>
            </w:r>
          </w:p>
        </w:tc>
      </w:tr>
      <w:tr w:rsidR="007A116A" w:rsidTr="00C1547C">
        <w:trPr>
          <w:cantSplit/>
          <w:trHeight w:val="8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المعطيات السنوية</w:t>
            </w:r>
          </w:p>
        </w:tc>
        <w:tc>
          <w:tcPr>
            <w:tcW w:w="1125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14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5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3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2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3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7A116A" w:rsidTr="00C1547C">
        <w:trPr>
          <w:cantSplit/>
          <w:trHeight w:val="107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2020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993" w:type="dxa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7A116A" w:rsidTr="00C1547C">
        <w:trPr>
          <w:cantSplit/>
          <w:trHeight w:val="107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2021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993" w:type="dxa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7A116A" w:rsidTr="00C1547C">
        <w:trPr>
          <w:cantSplit/>
          <w:trHeight w:val="107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2022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7A116A" w:rsidTr="00C1547C">
        <w:trPr>
          <w:cantSplit/>
          <w:trHeight w:val="107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7A116A" w:rsidTr="00C1547C">
        <w:trPr>
          <w:cantSplit/>
          <w:trHeight w:val="107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A116A" w:rsidTr="00C1547C">
        <w:trPr>
          <w:cantSplit/>
          <w:trHeight w:val="8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المعطيات الشهرية</w:t>
            </w:r>
          </w:p>
        </w:tc>
        <w:tc>
          <w:tcPr>
            <w:tcW w:w="1125" w:type="dxa"/>
            <w:vAlign w:val="bottom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14" w:type="dxa"/>
            <w:vAlign w:val="bottom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  <w:vAlign w:val="bottom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  <w:vAlign w:val="center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2" w:type="dxa"/>
            <w:vAlign w:val="bottom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3" w:type="dxa"/>
          </w:tcPr>
          <w:p w:rsidR="005E5894" w:rsidRPr="00BD2C74" w:rsidRDefault="005E5894" w:rsidP="002C3647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14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5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3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2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3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آب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lastRenderedPageBreak/>
              <w:t>تشرين أول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تشرين ثاني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كانون أول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t>2025</w:t>
            </w:r>
          </w:p>
        </w:tc>
        <w:tc>
          <w:tcPr>
            <w:tcW w:w="1125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14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6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75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3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2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93" w:type="dxa"/>
            <w:vAlign w:val="bottom"/>
          </w:tcPr>
          <w:p w:rsidR="005E5894" w:rsidRPr="00BD2C74" w:rsidRDefault="005E5894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7A116A" w:rsidTr="00C1547C">
        <w:trPr>
          <w:cantSplit/>
          <w:trHeight w:val="128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</w:tr>
      <w:tr w:rsidR="007A116A" w:rsidTr="00C1547C">
        <w:trPr>
          <w:cantSplit/>
          <w:trHeight w:val="546"/>
        </w:trPr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المعطى الحالي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Ref462058817 \r \h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 \* </w:instrText>
            </w:r>
            <w:r w:rsidRPr="00BD2C74">
              <w:rPr>
                <w:rFonts w:asciiTheme="minorHAnsi" w:hAnsiTheme="minorHAnsi" w:cstheme="minorHAnsi"/>
                <w:b/>
                <w:bCs/>
              </w:rPr>
              <w:instrText>MERGEFORMAT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fldChar w:fldCharType="separate"/>
            </w:r>
            <w:r w:rsidRPr="00BD2C7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BD2C74">
              <w:rPr>
                <w:rFonts w:asciiTheme="minorHAnsi" w:hAnsiTheme="minorHAnsi" w:cstheme="minorHAnsi"/>
                <w:vertAlign w:val="superscript"/>
              </w:rPr>
              <w:t>6</w:t>
            </w:r>
            <w:r w:rsidRPr="00BD2C74"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21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276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34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75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993" w:type="dxa"/>
            <w:vAlign w:val="bottom"/>
          </w:tcPr>
          <w:p w:rsidR="005E5894" w:rsidRPr="00BD2C74" w:rsidRDefault="00EB2C81" w:rsidP="002C364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BD2C74">
              <w:rPr>
                <w:rFonts w:asciiTheme="minorHAnsi" w:hAnsiTheme="minorHAnsi" w:cstheme="minorHAnsi"/>
                <w:rtl/>
              </w:rPr>
              <w:t>2.0</w:t>
            </w:r>
          </w:p>
        </w:tc>
      </w:tr>
    </w:tbl>
    <w:p w:rsidR="00280E49" w:rsidRPr="00C1547C" w:rsidRDefault="00EB2C81" w:rsidP="00280E49">
      <w:pPr>
        <w:pStyle w:val="ListParagraph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تعرّف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التضخم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المالي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سوق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رأس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المال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على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أنّها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النسبة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بين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عائدات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السندات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الحكوميّة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غير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المرتبطة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بجدول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الغلاء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وعائدات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السندات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Times New Roman" w:hint="cs"/>
          <w:sz w:val="22"/>
          <w:szCs w:val="22"/>
          <w:rtl/>
          <w:lang w:bidi="ar-SA"/>
        </w:rPr>
        <w:t>الحكوميّة</w:t>
      </w:r>
      <w:r w:rsidRPr="00C1547C">
        <w:rPr>
          <w:rFonts w:ascii="AppleSystemUIFont" w:eastAsiaTheme="minorHAnsi" w:hAnsi="AppleSystemUIFont" w:cs="Times New Roman"/>
          <w:sz w:val="22"/>
          <w:szCs w:val="22"/>
          <w:rtl/>
          <w:lang w:bidi="ar-SA"/>
        </w:rPr>
        <w:t xml:space="preserve"> المرتبطة 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(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Break-even Inflation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)</w:t>
      </w:r>
      <w:r w:rsidRPr="00C1547C">
        <w:rPr>
          <w:rFonts w:ascii="AppleSystemUIFont" w:eastAsiaTheme="minorHAnsi" w:hAnsi="AppleSystemUIFont" w:cs="Times New Roman"/>
          <w:sz w:val="22"/>
          <w:szCs w:val="22"/>
          <w:rtl/>
          <w:lang w:bidi="ar-SA"/>
        </w:rPr>
        <w:t>، وهي تشمل مركّب رسوم المخاطر التضخميّة إضافةً إلى تعديلات مختلفة ناجمة عن الاختلافات الضريبيّة والاختلافات في السيولة بين أنواع السندات المختلفة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</w:p>
    <w:p w:rsidR="00280E49" w:rsidRPr="00C1547C" w:rsidRDefault="00EB2C81" w:rsidP="00280E49">
      <w:pPr>
        <w:pStyle w:val="ListParagraph"/>
        <w:tabs>
          <w:tab w:val="left" w:pos="-1"/>
          <w:tab w:val="left" w:pos="141"/>
        </w:tabs>
        <w:bidi/>
        <w:ind w:left="360"/>
        <w:jc w:val="both"/>
        <w:rPr>
          <w:rFonts w:asciiTheme="minorHAnsi" w:hAnsiTheme="minorHAnsi" w:cstheme="minorHAnsi"/>
          <w:sz w:val="22"/>
          <w:szCs w:val="22"/>
          <w:rtl/>
          <w:lang w:bidi="ar-SA"/>
        </w:rPr>
      </w:pP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تتضمن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التضخم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المستمدة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سوق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رأس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مكون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أقساط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التأمين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بالإضافة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إلى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تعديلات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مختلفة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ناجمة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الاختلافات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الضريبية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والاختلافات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في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السيولة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أو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عمق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السوق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ووفقا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لتقديراتنا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في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كانون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ثاني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2024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فإن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التعديلات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على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لفترة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عام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واحد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أكبر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المعتاد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يمكن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إيجاد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شرح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حول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كيفية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حساب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عبر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الموقع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الالكتروني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:  </w:t>
      </w:r>
    </w:p>
    <w:p w:rsidR="005E5894" w:rsidRPr="00C1547C" w:rsidRDefault="00EB2C81" w:rsidP="005E5894">
      <w:pPr>
        <w:pStyle w:val="ListParagraph"/>
        <w:bidi/>
        <w:ind w:left="360"/>
        <w:jc w:val="right"/>
        <w:rPr>
          <w:rFonts w:asciiTheme="minorHAnsi" w:hAnsiTheme="minorHAnsi" w:cstheme="minorHAnsi"/>
          <w:color w:val="1F497D"/>
          <w:sz w:val="22"/>
          <w:szCs w:val="22"/>
        </w:rPr>
      </w:pPr>
      <w:hyperlink r:id="rId8" w:history="1">
        <w:r w:rsidRPr="00C1547C">
          <w:rPr>
            <w:rStyle w:val="Hyperlink"/>
            <w:rFonts w:asciiTheme="minorHAnsi" w:hAnsiTheme="minorHAnsi" w:cstheme="minorHAnsi"/>
            <w:sz w:val="22"/>
            <w:szCs w:val="22"/>
          </w:rPr>
          <w:t>https://www.boi.org.il/boi_files/Statistics/inflation_expectations_boi.docx</w:t>
        </w:r>
      </w:hyperlink>
    </w:p>
    <w:p w:rsidR="005E5894" w:rsidRPr="00C1547C" w:rsidRDefault="005E5894" w:rsidP="005E5894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asciiTheme="minorHAnsi" w:hAnsiTheme="minorHAnsi" w:cstheme="minorHAnsi"/>
          <w:sz w:val="22"/>
          <w:szCs w:val="22"/>
          <w:rtl/>
        </w:rPr>
      </w:pPr>
    </w:p>
    <w:p w:rsidR="00280E49" w:rsidRPr="00C1547C" w:rsidRDefault="00EB2C81" w:rsidP="005E5894">
      <w:pPr>
        <w:tabs>
          <w:tab w:val="left" w:pos="-1"/>
          <w:tab w:val="left" w:pos="141"/>
        </w:tabs>
        <w:bidi/>
        <w:ind w:left="141" w:hanging="142"/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</w:pPr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المستقبلية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هي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للتضخم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خلال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الفترة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المقبلة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يتم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احتساب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المس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تقبلية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(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k,j)exp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طريق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اشتقاقها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لـ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k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سنوات،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j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سنوات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: </w:t>
      </w:r>
    </w:p>
    <w:p w:rsidR="005E5894" w:rsidRPr="00C1547C" w:rsidRDefault="00EB2C81" w:rsidP="00280E49">
      <w:pPr>
        <w:tabs>
          <w:tab w:val="left" w:pos="-1"/>
          <w:tab w:val="left" w:pos="141"/>
        </w:tabs>
        <w:bidi/>
        <w:ind w:left="141" w:hanging="142"/>
        <w:rPr>
          <w:rFonts w:asciiTheme="minorHAnsi" w:hAnsiTheme="minorHAnsi" w:cstheme="minorHAnsi"/>
          <w:sz w:val="22"/>
          <w:szCs w:val="22"/>
          <w:rtl/>
        </w:rPr>
      </w:pPr>
      <w:r w:rsidRPr="00C1547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492237" cy="466863"/>
            <wp:effectExtent l="0" t="0" r="3810" b="9525"/>
            <wp:docPr id="3" name="תמונה 2" descr="נוסחת  הציפיות פורוורד" title="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0E49" w:rsidRPr="00C1547C" w:rsidRDefault="00EB2C81" w:rsidP="00280E49">
      <w:pPr>
        <w:pStyle w:val="ListParagraph"/>
        <w:tabs>
          <w:tab w:val="left" w:pos="-1"/>
          <w:tab w:val="left" w:pos="141"/>
        </w:tabs>
        <w:bidi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459297924"/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بحيث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تكون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(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j,k)exp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هي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التضخم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المستقبليّة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عام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j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حتى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عام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k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فعلى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سبيل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المثال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(3,5)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exp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هي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السنة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الثالثة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حتى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السنة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الخامسة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(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k)exp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هي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لـ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SystemUIFont" w:eastAsiaTheme="minorHAnsi" w:hAnsi="AppleSystemUIFont" w:cs="AppleSystemUIFont"/>
          <w:sz w:val="22"/>
          <w:szCs w:val="22"/>
          <w:lang w:bidi="ar-SA"/>
        </w:rPr>
        <w:t>k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سنوات،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مثلا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لـ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5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سنوات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جميع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معروضة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على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أساس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سنوي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.</w:t>
      </w:r>
      <w:r w:rsidRPr="00C1547C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p w:rsidR="00280E49" w:rsidRPr="00C1547C" w:rsidRDefault="00EB2C81" w:rsidP="005E5894">
      <w:pPr>
        <w:pStyle w:val="ListParagraph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59297936"/>
      <w:bookmarkEnd w:id="1"/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المستقبلية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لسنوات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كاملة،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السنة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الثالثة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حتى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السنة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الخامسة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.</w:t>
      </w:r>
      <w:r w:rsidRPr="00C1547C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p w:rsidR="00C1547C" w:rsidRPr="00C1547C" w:rsidRDefault="00EB2C81" w:rsidP="005E5894">
      <w:pPr>
        <w:pStyle w:val="ListParagraph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Ref459297946"/>
      <w:bookmarkEnd w:id="2"/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المستقبلية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لسنوات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كاملة،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السنة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الخامسة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حتى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نهاية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السنة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العاشرة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.</w:t>
      </w:r>
      <w:r w:rsidRPr="00C1547C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p w:rsidR="00C1547C" w:rsidRPr="00C1547C" w:rsidRDefault="00EB2C81" w:rsidP="005E5894">
      <w:pPr>
        <w:pStyle w:val="ListParagraph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Ref459297953"/>
      <w:bookmarkEnd w:id="3"/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متوسط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بسيط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التضخم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للبنوك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التجارية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وشركات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الاستشارة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الاقتصادية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ترسل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توقعاتها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إلى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بنك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إسرائيل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بشكل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منتظم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.</w:t>
      </w:r>
      <w:r w:rsidRPr="00C1547C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p w:rsidR="00C1547C" w:rsidRPr="00C1547C" w:rsidRDefault="00EB2C81" w:rsidP="005E5894">
      <w:pPr>
        <w:pStyle w:val="ListParagraph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Ref462058817"/>
      <w:bookmarkEnd w:id="4"/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المشتقة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الفوائد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الداخلية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للبنوك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الخمسة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الكبرى،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والتي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يتم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حسابها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على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أنها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النسبة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بين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أسعار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الفائدة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غير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المرتبطة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وأسعار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الفائدة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المرتبطة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بالمؤشر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.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يتم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احتساب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معدل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الفائدة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الداخلية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لكل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بنك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كمتوسط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بين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سعره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الهامشي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وتجنيد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الموارد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(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الودائع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)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وسعره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الهامشي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وتخصيص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الاستخدامات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(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الائتمان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).</w:t>
      </w:r>
      <w:r w:rsidRPr="00C1547C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bookmarkEnd w:id="5"/>
    <w:p w:rsidR="00C1547C" w:rsidRPr="00C1547C" w:rsidRDefault="00EB2C81" w:rsidP="005E5894">
      <w:pPr>
        <w:pStyle w:val="ListParagraph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بالنسبة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سوق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رأس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الفوائد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الداخليّة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عقود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التضخم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-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المتوسط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لشهر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مؤشر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(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المؤشر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السابق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وحتى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المعطى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الأخير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القائم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قبل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نشر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المؤشر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الحالي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)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،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بالنسبة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للتنبؤات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-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متوسط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المحدثة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بعد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نشر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المؤشّر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.</w:t>
      </w:r>
      <w:r w:rsidRPr="00C1547C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p w:rsidR="005E5894" w:rsidRPr="00C1547C" w:rsidRDefault="00EB2C81" w:rsidP="00C1547C">
      <w:pPr>
        <w:pStyle w:val="ListParagraph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C1547C">
        <w:rPr>
          <w:rFonts w:ascii="AppleExternalUIFontArabic-Regul" w:eastAsiaTheme="minorHAnsi" w:hAnsiTheme="minorHAnsi" w:cs="AppleExternalUIFontArabic-Regul" w:hint="eastAsia"/>
          <w:sz w:val="22"/>
          <w:szCs w:val="22"/>
          <w:rtl/>
          <w:lang w:bidi="ar-SA"/>
        </w:rPr>
        <w:t>التوقعات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لسنة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من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متنبئي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التضخم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المالي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–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متوسط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أسعار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السوق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وتحليلات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بنك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 xml:space="preserve"> </w:t>
      </w:r>
      <w:r w:rsidRPr="00C1547C">
        <w:rPr>
          <w:rFonts w:ascii="AppleExternalUIFontArabic-Regul" w:eastAsiaTheme="minorHAnsi" w:hAnsi="AppleSystemUIFont" w:cs="AppleExternalUIFontArabic-Regul" w:hint="eastAsia"/>
          <w:sz w:val="22"/>
          <w:szCs w:val="22"/>
          <w:rtl/>
          <w:lang w:bidi="ar-SA"/>
        </w:rPr>
        <w:t>اسرائيل</w:t>
      </w:r>
      <w:r w:rsidRPr="00C1547C">
        <w:rPr>
          <w:rFonts w:ascii="AppleSystemUIFont" w:eastAsiaTheme="minorHAnsi" w:hAnsi="AppleSystemUIFont" w:cs="AppleSystemUIFont"/>
          <w:sz w:val="22"/>
          <w:szCs w:val="22"/>
          <w:rtl/>
          <w:lang w:bidi="ar-SA"/>
        </w:rPr>
        <w:t>.</w:t>
      </w:r>
    </w:p>
    <w:p w:rsidR="005E5894" w:rsidRPr="00BD2C74" w:rsidRDefault="005E5894" w:rsidP="005E5894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asciiTheme="minorHAnsi" w:hAnsiTheme="minorHAnsi" w:cstheme="minorHAnsi"/>
        </w:rPr>
      </w:pPr>
    </w:p>
    <w:p w:rsidR="00F25BB5" w:rsidRPr="005E5894" w:rsidRDefault="00F25BB5" w:rsidP="00F25BB5">
      <w:pPr>
        <w:bidi/>
        <w:spacing w:line="360" w:lineRule="auto"/>
        <w:rPr>
          <w:rFonts w:asciiTheme="minorHAnsi" w:hAnsiTheme="minorHAnsi" w:cstheme="minorHAnsi"/>
          <w:rtl/>
        </w:rPr>
      </w:pPr>
    </w:p>
    <w:bookmarkEnd w:id="0"/>
    <w:p w:rsidR="003E7478" w:rsidRPr="005E28F6" w:rsidRDefault="003E7478" w:rsidP="005E28F6">
      <w:pPr>
        <w:bidi/>
        <w:spacing w:line="360" w:lineRule="auto"/>
        <w:jc w:val="both"/>
        <w:rPr>
          <w:rFonts w:asciiTheme="minorHAnsi" w:hAnsiTheme="minorHAnsi" w:cstheme="minorHAnsi"/>
          <w:lang w:bidi="ar-SA"/>
        </w:rPr>
      </w:pPr>
    </w:p>
    <w:sectPr w:rsidR="003E7478" w:rsidRPr="005E28F6" w:rsidSect="00CC2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2C81">
      <w:pPr>
        <w:spacing w:after="0" w:line="240" w:lineRule="auto"/>
      </w:pPr>
      <w:r>
        <w:separator/>
      </w:r>
    </w:p>
  </w:endnote>
  <w:endnote w:type="continuationSeparator" w:id="0">
    <w:p w:rsidR="00000000" w:rsidRDefault="00EB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Arabic-Regul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EB2C81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EB2C81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EB2C81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EB2C81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EB2C8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3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2C81">
      <w:pPr>
        <w:spacing w:after="0" w:line="240" w:lineRule="auto"/>
      </w:pPr>
      <w:r>
        <w:separator/>
      </w:r>
    </w:p>
  </w:footnote>
  <w:footnote w:type="continuationSeparator" w:id="0">
    <w:p w:rsidR="00000000" w:rsidRDefault="00EB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C61232D8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1A5A7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AE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C3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EE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22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2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02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CD8AC306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5A141BB8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AE186BFE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8C9226B6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861AF73C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682E13D4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14B00694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4787FBE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2F1A850A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438912EE"/>
    <w:multiLevelType w:val="hybridMultilevel"/>
    <w:tmpl w:val="58729F30"/>
    <w:lvl w:ilvl="0" w:tplc="518A8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EEC24" w:tentative="1">
      <w:start w:val="1"/>
      <w:numFmt w:val="lowerLetter"/>
      <w:lvlText w:val="%2."/>
      <w:lvlJc w:val="left"/>
      <w:pPr>
        <w:ind w:left="1079" w:hanging="360"/>
      </w:pPr>
    </w:lvl>
    <w:lvl w:ilvl="2" w:tplc="D00AC92C" w:tentative="1">
      <w:start w:val="1"/>
      <w:numFmt w:val="lowerRoman"/>
      <w:lvlText w:val="%3."/>
      <w:lvlJc w:val="right"/>
      <w:pPr>
        <w:ind w:left="1799" w:hanging="180"/>
      </w:pPr>
    </w:lvl>
    <w:lvl w:ilvl="3" w:tplc="33A813F6" w:tentative="1">
      <w:start w:val="1"/>
      <w:numFmt w:val="decimal"/>
      <w:lvlText w:val="%4."/>
      <w:lvlJc w:val="left"/>
      <w:pPr>
        <w:ind w:left="2519" w:hanging="360"/>
      </w:pPr>
    </w:lvl>
    <w:lvl w:ilvl="4" w:tplc="2244F976" w:tentative="1">
      <w:start w:val="1"/>
      <w:numFmt w:val="lowerLetter"/>
      <w:lvlText w:val="%5."/>
      <w:lvlJc w:val="left"/>
      <w:pPr>
        <w:ind w:left="3239" w:hanging="360"/>
      </w:pPr>
    </w:lvl>
    <w:lvl w:ilvl="5" w:tplc="DFB00742" w:tentative="1">
      <w:start w:val="1"/>
      <w:numFmt w:val="lowerRoman"/>
      <w:lvlText w:val="%6."/>
      <w:lvlJc w:val="right"/>
      <w:pPr>
        <w:ind w:left="3959" w:hanging="180"/>
      </w:pPr>
    </w:lvl>
    <w:lvl w:ilvl="6" w:tplc="C1A8D6B0" w:tentative="1">
      <w:start w:val="1"/>
      <w:numFmt w:val="decimal"/>
      <w:lvlText w:val="%7."/>
      <w:lvlJc w:val="left"/>
      <w:pPr>
        <w:ind w:left="4679" w:hanging="360"/>
      </w:pPr>
    </w:lvl>
    <w:lvl w:ilvl="7" w:tplc="9ED2748C" w:tentative="1">
      <w:start w:val="1"/>
      <w:numFmt w:val="lowerLetter"/>
      <w:lvlText w:val="%8."/>
      <w:lvlJc w:val="left"/>
      <w:pPr>
        <w:ind w:left="5399" w:hanging="360"/>
      </w:pPr>
    </w:lvl>
    <w:lvl w:ilvl="8" w:tplc="9F98F0EC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52210C5A"/>
    <w:multiLevelType w:val="hybridMultilevel"/>
    <w:tmpl w:val="1F0214CA"/>
    <w:lvl w:ilvl="0" w:tplc="87DEDA9A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E244F608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5AEA30D2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36ACE6D6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2C7616AC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2DF6902A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DF00716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2A6E054A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56965002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B808B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41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EF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AA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E2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C3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A6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0F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01E36"/>
    <w:rsid w:val="00223D37"/>
    <w:rsid w:val="00225BDF"/>
    <w:rsid w:val="00245BA3"/>
    <w:rsid w:val="00256095"/>
    <w:rsid w:val="00256D97"/>
    <w:rsid w:val="00265657"/>
    <w:rsid w:val="00274912"/>
    <w:rsid w:val="00275FE8"/>
    <w:rsid w:val="00280E49"/>
    <w:rsid w:val="002834B6"/>
    <w:rsid w:val="00290B54"/>
    <w:rsid w:val="00297F94"/>
    <w:rsid w:val="002A2E4C"/>
    <w:rsid w:val="002A3CC4"/>
    <w:rsid w:val="002B564E"/>
    <w:rsid w:val="002B7877"/>
    <w:rsid w:val="002C05A5"/>
    <w:rsid w:val="002C3647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466D7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B15C0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5E5894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116A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A56F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03F9"/>
    <w:rsid w:val="009E2FD2"/>
    <w:rsid w:val="00A076E6"/>
    <w:rsid w:val="00A13844"/>
    <w:rsid w:val="00A16286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C4687"/>
    <w:rsid w:val="00AE7479"/>
    <w:rsid w:val="00AF1FA7"/>
    <w:rsid w:val="00B071B6"/>
    <w:rsid w:val="00B13490"/>
    <w:rsid w:val="00B161CC"/>
    <w:rsid w:val="00B35876"/>
    <w:rsid w:val="00B569FD"/>
    <w:rsid w:val="00B62EEB"/>
    <w:rsid w:val="00B63A33"/>
    <w:rsid w:val="00B677DC"/>
    <w:rsid w:val="00B70E6F"/>
    <w:rsid w:val="00B71396"/>
    <w:rsid w:val="00B91BF0"/>
    <w:rsid w:val="00B955C2"/>
    <w:rsid w:val="00BA0282"/>
    <w:rsid w:val="00BB6985"/>
    <w:rsid w:val="00BD0783"/>
    <w:rsid w:val="00BD17EF"/>
    <w:rsid w:val="00BD2C74"/>
    <w:rsid w:val="00BD7743"/>
    <w:rsid w:val="00BF4F97"/>
    <w:rsid w:val="00BF5589"/>
    <w:rsid w:val="00C0095C"/>
    <w:rsid w:val="00C02512"/>
    <w:rsid w:val="00C10172"/>
    <w:rsid w:val="00C1547C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B2C81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49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Title">
    <w:name w:val="Title"/>
    <w:basedOn w:val="Normal"/>
    <w:next w:val="Normal"/>
    <w:link w:val="TitleChar"/>
    <w:uiPriority w:val="10"/>
    <w:qFormat/>
    <w:rsid w:val="005E58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5E5894"/>
    <w:rPr>
      <w:rFonts w:ascii="Times New Roman" w:eastAsia="Times New Roman" w:hAnsi="Times New Roman"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boi_files/Statistics/inflation_expectations_boi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www.youtube.com/user/thebankofisrae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3582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2025-05-21T06:01:00Z</dcterms:created>
  <dcterms:modified xsi:type="dcterms:W3CDTF">2025-05-21T06:01:00Z</dcterms:modified>
</cp:coreProperties>
</file>